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3183"/>
        <w:gridCol w:w="425"/>
      </w:tblGrid>
      <w:tr w:rsidR="004232DD" w:rsidRPr="002B30C2" w:rsidTr="00036A24">
        <w:trPr>
          <w:cantSplit/>
          <w:trHeight w:val="273"/>
        </w:trPr>
        <w:tc>
          <w:tcPr>
            <w:tcW w:w="14879" w:type="dxa"/>
            <w:gridSpan w:val="4"/>
            <w:shd w:val="clear" w:color="auto" w:fill="9CC2E5" w:themeFill="accent1" w:themeFillTint="99"/>
          </w:tcPr>
          <w:p w:rsidR="004232DD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05167A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E8240F1" wp14:editId="3602092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76200</wp:posOffset>
                  </wp:positionV>
                  <wp:extent cx="396240" cy="265430"/>
                  <wp:effectExtent l="0" t="0" r="381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sz w:val="28"/>
                <w:szCs w:val="40"/>
              </w:rPr>
              <w:t>Year</w:t>
            </w:r>
            <w:r w:rsidR="00897C87">
              <w:rPr>
                <w:rFonts w:ascii="SassoonPrimaryInfant" w:hAnsi="SassoonPrimaryInfant"/>
                <w:b/>
                <w:sz w:val="28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28"/>
                <w:szCs w:val="40"/>
              </w:rPr>
              <w:t>1- Reading Milestone 1</w:t>
            </w:r>
          </w:p>
          <w:p w:rsidR="004232DD" w:rsidRPr="002B30C2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sz w:val="20"/>
              </w:rPr>
            </w:pPr>
          </w:p>
        </w:tc>
      </w:tr>
      <w:tr w:rsidR="001F588A" w:rsidRPr="001F588A" w:rsidTr="00897C87">
        <w:trPr>
          <w:trHeight w:val="272"/>
        </w:trPr>
        <w:tc>
          <w:tcPr>
            <w:tcW w:w="421" w:type="dxa"/>
            <w:vMerge w:val="restart"/>
            <w:shd w:val="clear" w:color="auto" w:fill="FFFF00"/>
            <w:textDirection w:val="btLr"/>
          </w:tcPr>
          <w:p w:rsidR="005D3645" w:rsidRPr="001F588A" w:rsidRDefault="001F58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Word Reading</w:t>
            </w:r>
          </w:p>
        </w:tc>
        <w:tc>
          <w:tcPr>
            <w:tcW w:w="850" w:type="dxa"/>
            <w:vMerge w:val="restart"/>
            <w:shd w:val="clear" w:color="auto" w:fill="FFFF00"/>
            <w:textDirection w:val="btLr"/>
          </w:tcPr>
          <w:p w:rsidR="005D3645" w:rsidRPr="001F588A" w:rsidRDefault="001F58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Phonics skills</w:t>
            </w:r>
          </w:p>
        </w:tc>
        <w:tc>
          <w:tcPr>
            <w:tcW w:w="13183" w:type="dxa"/>
            <w:shd w:val="clear" w:color="auto" w:fill="FFFFFF" w:themeFill="background1"/>
          </w:tcPr>
          <w:p w:rsidR="005D3645" w:rsidRPr="00897C87" w:rsidRDefault="00C37656" w:rsidP="00C37656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97C87">
              <w:rPr>
                <w:rFonts w:ascii="SassoonPrimaryInfant" w:hAnsi="SassoonPrimaryInfant"/>
                <w:color w:val="auto"/>
                <w:sz w:val="22"/>
                <w:szCs w:val="22"/>
              </w:rPr>
              <w:t>I can apply phonic knowledge and skills as the route to decode words</w:t>
            </w:r>
          </w:p>
        </w:tc>
        <w:tc>
          <w:tcPr>
            <w:tcW w:w="425" w:type="dxa"/>
            <w:shd w:val="clear" w:color="auto" w:fill="FFFF00"/>
          </w:tcPr>
          <w:p w:rsidR="005D3645" w:rsidRPr="001F588A" w:rsidRDefault="005D3645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1F588A" w:rsidRPr="001F588A" w:rsidTr="00897C87">
        <w:trPr>
          <w:trHeight w:val="262"/>
        </w:trPr>
        <w:tc>
          <w:tcPr>
            <w:tcW w:w="421" w:type="dxa"/>
            <w:vMerge/>
            <w:shd w:val="clear" w:color="auto" w:fill="FFFF00"/>
          </w:tcPr>
          <w:p w:rsidR="005D3645" w:rsidRPr="001F588A" w:rsidRDefault="005D3645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00"/>
            <w:textDirection w:val="btLr"/>
          </w:tcPr>
          <w:p w:rsidR="005D3645" w:rsidRPr="001F588A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5D3645" w:rsidRPr="00897C87" w:rsidRDefault="00C37656" w:rsidP="00376847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97C87"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I can respond speedily </w:t>
            </w:r>
            <w:bookmarkStart w:id="0" w:name="_GoBack"/>
            <w:bookmarkEnd w:id="0"/>
            <w:r w:rsidRPr="00897C87">
              <w:rPr>
                <w:rFonts w:ascii="SassoonPrimaryInfant" w:hAnsi="SassoonPrimaryInfant"/>
                <w:color w:val="auto"/>
                <w:sz w:val="22"/>
                <w:szCs w:val="22"/>
              </w:rPr>
              <w:t>with the correct sound to graphemes (letters or groups of letters) for all 40+ phonemes, including, where applicable, alternative sounds for graphemes</w:t>
            </w:r>
          </w:p>
        </w:tc>
        <w:tc>
          <w:tcPr>
            <w:tcW w:w="425" w:type="dxa"/>
            <w:shd w:val="clear" w:color="auto" w:fill="FFFF00"/>
          </w:tcPr>
          <w:p w:rsidR="005D3645" w:rsidRPr="001F588A" w:rsidRDefault="005D3645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1F588A" w:rsidRPr="001F588A" w:rsidTr="00897C87">
        <w:trPr>
          <w:trHeight w:val="191"/>
        </w:trPr>
        <w:tc>
          <w:tcPr>
            <w:tcW w:w="421" w:type="dxa"/>
            <w:vMerge/>
            <w:shd w:val="clear" w:color="auto" w:fill="FFFF00"/>
          </w:tcPr>
          <w:p w:rsidR="005D3645" w:rsidRPr="001F588A" w:rsidRDefault="005D3645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00"/>
            <w:textDirection w:val="btLr"/>
          </w:tcPr>
          <w:p w:rsidR="005D3645" w:rsidRPr="001F588A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5D3645" w:rsidRPr="00897C87" w:rsidRDefault="00C37656" w:rsidP="00E717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I can read accurately by blending sounds in unfamiliar words containing GPCs that have been taught</w:t>
            </w:r>
          </w:p>
        </w:tc>
        <w:tc>
          <w:tcPr>
            <w:tcW w:w="425" w:type="dxa"/>
            <w:shd w:val="clear" w:color="auto" w:fill="FFFF00"/>
          </w:tcPr>
          <w:p w:rsidR="005D3645" w:rsidRPr="001F588A" w:rsidRDefault="005D3645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1F588A" w:rsidRPr="001F588A" w:rsidTr="00897C87">
        <w:trPr>
          <w:trHeight w:val="191"/>
        </w:trPr>
        <w:tc>
          <w:tcPr>
            <w:tcW w:w="421" w:type="dxa"/>
            <w:vMerge/>
            <w:shd w:val="clear" w:color="auto" w:fill="FFFF00"/>
          </w:tcPr>
          <w:p w:rsidR="005D3645" w:rsidRPr="001F588A" w:rsidRDefault="005D3645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00"/>
            <w:textDirection w:val="btLr"/>
          </w:tcPr>
          <w:p w:rsidR="005D3645" w:rsidRPr="001F588A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5D3645" w:rsidRPr="00897C87" w:rsidRDefault="00C37656" w:rsidP="004C10F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I can read common exception words, noting unusual correspondences between spelling and sound and where these occur in the word</w:t>
            </w:r>
          </w:p>
        </w:tc>
        <w:tc>
          <w:tcPr>
            <w:tcW w:w="425" w:type="dxa"/>
            <w:shd w:val="clear" w:color="auto" w:fill="FFFF00"/>
          </w:tcPr>
          <w:p w:rsidR="005D3645" w:rsidRPr="001F588A" w:rsidRDefault="005D3645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1F588A" w:rsidRPr="001F588A" w:rsidTr="00897C87">
        <w:trPr>
          <w:trHeight w:val="247"/>
        </w:trPr>
        <w:tc>
          <w:tcPr>
            <w:tcW w:w="421" w:type="dxa"/>
            <w:vMerge/>
            <w:shd w:val="clear" w:color="auto" w:fill="FFFF00"/>
          </w:tcPr>
          <w:p w:rsidR="005D3645" w:rsidRPr="001F588A" w:rsidRDefault="005D3645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00"/>
            <w:textDirection w:val="btLr"/>
          </w:tcPr>
          <w:p w:rsidR="005D3645" w:rsidRPr="001F588A" w:rsidRDefault="005D3645" w:rsidP="004C10F4">
            <w:pPr>
              <w:jc w:val="center"/>
            </w:pPr>
          </w:p>
        </w:tc>
        <w:tc>
          <w:tcPr>
            <w:tcW w:w="13183" w:type="dxa"/>
            <w:shd w:val="clear" w:color="auto" w:fill="FFFFFF" w:themeFill="background1"/>
          </w:tcPr>
          <w:p w:rsidR="005D3645" w:rsidRPr="00897C87" w:rsidRDefault="00C37656" w:rsidP="004C10F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I can read words containing taught GPCs and –s, –es, –ing, –ed, –er and –est endings</w:t>
            </w:r>
          </w:p>
        </w:tc>
        <w:tc>
          <w:tcPr>
            <w:tcW w:w="425" w:type="dxa"/>
            <w:shd w:val="clear" w:color="auto" w:fill="FFFF00"/>
          </w:tcPr>
          <w:p w:rsidR="005D3645" w:rsidRPr="001F588A" w:rsidRDefault="005D3645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1F588A" w:rsidRPr="001F588A" w:rsidTr="00897C87">
        <w:trPr>
          <w:trHeight w:val="209"/>
        </w:trPr>
        <w:tc>
          <w:tcPr>
            <w:tcW w:w="421" w:type="dxa"/>
            <w:vMerge/>
            <w:shd w:val="clear" w:color="auto" w:fill="FFFF00"/>
          </w:tcPr>
          <w:p w:rsidR="005D3645" w:rsidRPr="001F588A" w:rsidRDefault="005D3645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00"/>
            <w:textDirection w:val="btLr"/>
          </w:tcPr>
          <w:p w:rsidR="005D3645" w:rsidRPr="001F588A" w:rsidRDefault="005D3645" w:rsidP="004C10F4">
            <w:pPr>
              <w:jc w:val="center"/>
            </w:pPr>
          </w:p>
        </w:tc>
        <w:tc>
          <w:tcPr>
            <w:tcW w:w="13183" w:type="dxa"/>
            <w:shd w:val="clear" w:color="auto" w:fill="FFFFFF" w:themeFill="background1"/>
          </w:tcPr>
          <w:p w:rsidR="005D3645" w:rsidRPr="00897C87" w:rsidRDefault="00C37656" w:rsidP="00237D4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I can read other words of more than one syllable that contain taught GPC’s</w:t>
            </w:r>
          </w:p>
        </w:tc>
        <w:tc>
          <w:tcPr>
            <w:tcW w:w="425" w:type="dxa"/>
            <w:shd w:val="clear" w:color="auto" w:fill="FFFF00"/>
          </w:tcPr>
          <w:p w:rsidR="005D3645" w:rsidRPr="001F588A" w:rsidRDefault="005D3645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C37656" w:rsidRPr="001F588A" w:rsidTr="00897C87">
        <w:trPr>
          <w:trHeight w:val="271"/>
        </w:trPr>
        <w:tc>
          <w:tcPr>
            <w:tcW w:w="421" w:type="dxa"/>
            <w:vMerge/>
            <w:shd w:val="clear" w:color="auto" w:fill="FFFF00"/>
          </w:tcPr>
          <w:p w:rsidR="00C37656" w:rsidRPr="001F588A" w:rsidRDefault="00C37656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00"/>
            <w:textDirection w:val="btLr"/>
          </w:tcPr>
          <w:p w:rsidR="00C37656" w:rsidRPr="001F588A" w:rsidRDefault="00C37656" w:rsidP="004C10F4">
            <w:pPr>
              <w:jc w:val="center"/>
            </w:pPr>
          </w:p>
        </w:tc>
        <w:tc>
          <w:tcPr>
            <w:tcW w:w="13183" w:type="dxa"/>
            <w:shd w:val="clear" w:color="auto" w:fill="FFFFFF" w:themeFill="background1"/>
          </w:tcPr>
          <w:p w:rsidR="00C37656" w:rsidRPr="00897C87" w:rsidRDefault="00C37656" w:rsidP="004D4E4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I can read words with contractions [for example, I’m, I’ll, we’ll], and understand that the apostrophe represents the omitted letter(s)</w:t>
            </w:r>
          </w:p>
        </w:tc>
        <w:tc>
          <w:tcPr>
            <w:tcW w:w="425" w:type="dxa"/>
            <w:shd w:val="clear" w:color="auto" w:fill="FFFF00"/>
          </w:tcPr>
          <w:p w:rsidR="00C37656" w:rsidRPr="001F588A" w:rsidRDefault="00C37656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1F588A" w:rsidRPr="001F588A" w:rsidTr="00897C87">
        <w:trPr>
          <w:cantSplit/>
          <w:trHeight w:val="234"/>
        </w:trPr>
        <w:tc>
          <w:tcPr>
            <w:tcW w:w="421" w:type="dxa"/>
            <w:vMerge/>
            <w:shd w:val="clear" w:color="auto" w:fill="FFFF00"/>
          </w:tcPr>
          <w:p w:rsidR="001F588A" w:rsidRPr="001F588A" w:rsidRDefault="001F588A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FF00"/>
            <w:textDirection w:val="btLr"/>
          </w:tcPr>
          <w:p w:rsidR="001F588A" w:rsidRPr="001F588A" w:rsidRDefault="001F58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Fluency </w:t>
            </w:r>
          </w:p>
        </w:tc>
        <w:tc>
          <w:tcPr>
            <w:tcW w:w="13183" w:type="dxa"/>
            <w:shd w:val="clear" w:color="auto" w:fill="FFFFFF" w:themeFill="background1"/>
          </w:tcPr>
          <w:p w:rsidR="001F588A" w:rsidRPr="00897C87" w:rsidRDefault="00C37656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I can read aloud accurately books that are consistent with my developing phonic knowledge and that do not require them to use other strategies to work out words</w:t>
            </w:r>
          </w:p>
        </w:tc>
        <w:tc>
          <w:tcPr>
            <w:tcW w:w="425" w:type="dxa"/>
            <w:shd w:val="clear" w:color="auto" w:fill="FFFF00"/>
          </w:tcPr>
          <w:p w:rsidR="001F588A" w:rsidRPr="001F588A" w:rsidRDefault="001F588A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C37656" w:rsidRPr="001F588A" w:rsidTr="00897C87">
        <w:trPr>
          <w:cantSplit/>
          <w:trHeight w:val="443"/>
        </w:trPr>
        <w:tc>
          <w:tcPr>
            <w:tcW w:w="421" w:type="dxa"/>
            <w:vMerge/>
            <w:shd w:val="clear" w:color="auto" w:fill="FFFF00"/>
          </w:tcPr>
          <w:p w:rsidR="00C37656" w:rsidRPr="001F588A" w:rsidRDefault="00C37656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00"/>
            <w:textDirection w:val="btLr"/>
          </w:tcPr>
          <w:p w:rsidR="00C37656" w:rsidRPr="001F588A" w:rsidRDefault="00C37656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C37656" w:rsidRPr="00897C87" w:rsidRDefault="00C37656" w:rsidP="00C3765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I can re-read these books to build up my fluency and confidence in word reading</w:t>
            </w:r>
          </w:p>
        </w:tc>
        <w:tc>
          <w:tcPr>
            <w:tcW w:w="425" w:type="dxa"/>
            <w:shd w:val="clear" w:color="auto" w:fill="FFFF00"/>
          </w:tcPr>
          <w:p w:rsidR="00C37656" w:rsidRPr="001F588A" w:rsidRDefault="00C37656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88"/>
        </w:trPr>
        <w:tc>
          <w:tcPr>
            <w:tcW w:w="421" w:type="dxa"/>
            <w:vMerge w:val="restart"/>
            <w:shd w:val="clear" w:color="auto" w:fill="FFC000" w:themeFill="accent4"/>
            <w:textDirection w:val="btLr"/>
          </w:tcPr>
          <w:p w:rsidR="004232DD" w:rsidRPr="001F588A" w:rsidRDefault="004232DD" w:rsidP="007D3612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Comprehension</w:t>
            </w:r>
          </w:p>
        </w:tc>
        <w:tc>
          <w:tcPr>
            <w:tcW w:w="850" w:type="dxa"/>
            <w:vMerge w:val="restart"/>
            <w:shd w:val="clear" w:color="auto" w:fill="FFC000" w:themeFill="accent4"/>
            <w:textDirection w:val="btLr"/>
          </w:tcPr>
          <w:p w:rsidR="004232DD" w:rsidRDefault="004232DD" w:rsidP="00BB056F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auto"/>
                <w:sz w:val="22"/>
                <w:szCs w:val="22"/>
              </w:rPr>
              <w:t>Texts</w:t>
            </w: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4232DD">
            <w:pPr>
              <w:rPr>
                <w:rFonts w:ascii="SassoonPrimaryInfant" w:hAnsi="SassoonPrimaryInfant"/>
                <w:i/>
              </w:rPr>
            </w:pPr>
            <w:r w:rsidRPr="00897C87">
              <w:rPr>
                <w:rFonts w:ascii="SassoonPrimaryInfant" w:hAnsi="SassoonPrimaryInfant"/>
                <w:i/>
              </w:rPr>
              <w:t>I can develop pleasure in reading, motivation to read, vocabulary and understanding by:</w:t>
            </w:r>
          </w:p>
          <w:p w:rsidR="004232DD" w:rsidRPr="00897C87" w:rsidRDefault="004232DD" w:rsidP="004232DD">
            <w:pPr>
              <w:rPr>
                <w:rFonts w:ascii="SassoonPrimaryInfant" w:hAnsi="SassoonPrimaryInfant"/>
                <w:i/>
              </w:rPr>
            </w:pP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88"/>
        </w:trPr>
        <w:tc>
          <w:tcPr>
            <w:tcW w:w="421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2418A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4232D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 xml:space="preserve">listening to and discussing a wide range of poems, stories and non-fiction at a level beyond that at which I can read independently 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92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being encouraged to link what I read or hear read to my own experiences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204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becoming very familiar with key stories, fairy stories and traditional tales, retelling them and considering their particular characteristics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204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4232D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 xml:space="preserve">recognising and joining in with predictable phrases 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204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learning to appreciate rhymes and poems, and to recite some by heart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242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C000" w:themeFill="accent4"/>
            <w:textDirection w:val="btLr"/>
          </w:tcPr>
          <w:p w:rsidR="004232DD" w:rsidRPr="001F588A" w:rsidRDefault="004232DD" w:rsidP="00E6784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auto"/>
                <w:sz w:val="22"/>
                <w:szCs w:val="22"/>
              </w:rPr>
              <w:t>Vocabulary</w:t>
            </w: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4232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 xml:space="preserve">discussing word meanings, linking new meanings to those already known 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467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4232DD">
            <w:pPr>
              <w:rPr>
                <w:rFonts w:ascii="SassoonPrimaryInfant" w:hAnsi="SassoonPrimaryInfant"/>
                <w:i/>
              </w:rPr>
            </w:pPr>
            <w:r w:rsidRPr="00897C87">
              <w:rPr>
                <w:rFonts w:ascii="SassoonPrimaryInfant" w:hAnsi="SassoonPrimaryInfant"/>
                <w:i/>
              </w:rPr>
              <w:t>I can u</w:t>
            </w:r>
            <w:r w:rsidR="00450997" w:rsidRPr="00897C87">
              <w:rPr>
                <w:rFonts w:ascii="SassoonPrimaryInfant" w:hAnsi="SassoonPrimaryInfant"/>
                <w:i/>
              </w:rPr>
              <w:t xml:space="preserve">nderstand both the books I </w:t>
            </w:r>
            <w:r w:rsidRPr="00897C87">
              <w:rPr>
                <w:rFonts w:ascii="SassoonPrimaryInfant" w:hAnsi="SassoonPrimaryInfant"/>
                <w:i/>
              </w:rPr>
              <w:t>can already read accurately and fluently and those I listen to by: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166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DF060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drawing on what I already know or on background information and vocabulary provided by the teacher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166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4232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checking that the text makes sense to me as I read and correcting inaccurate reading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77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FFC000" w:themeFill="accent4"/>
            <w:textDirection w:val="btLr"/>
          </w:tcPr>
          <w:p w:rsidR="004232DD" w:rsidRPr="001F588A" w:rsidRDefault="004232DD" w:rsidP="00E7085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auto"/>
                <w:sz w:val="22"/>
                <w:szCs w:val="22"/>
              </w:rPr>
              <w:t>Understanding</w:t>
            </w: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4232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discussing the significan</w:t>
            </w:r>
            <w:r w:rsidR="00F87400">
              <w:rPr>
                <w:rFonts w:ascii="SassoonPrimaryInfant" w:hAnsi="SassoonPrimaryInfant"/>
              </w:rPr>
              <w:t xml:space="preserve">ce of the title and events 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146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42649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0D168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making inferences on the basis of what is being said</w:t>
            </w:r>
            <w:r w:rsidR="00F87400">
              <w:rPr>
                <w:rFonts w:ascii="SassoonPrimaryInfant" w:hAnsi="SassoonPrimaryInfant"/>
              </w:rPr>
              <w:t xml:space="preserve"> and done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123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CC345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 xml:space="preserve">predicting what might happen on the basis of what has been read so far 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112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4232D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 xml:space="preserve">participating in discussion about what is read to me, taking turns and listening to what others say 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4877E9">
            <w:pPr>
              <w:pStyle w:val="ListParagraph"/>
              <w:spacing w:line="240" w:lineRule="auto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4232DD" w:rsidRPr="001F588A" w:rsidTr="00897C87">
        <w:trPr>
          <w:cantSplit/>
          <w:trHeight w:val="335"/>
        </w:trPr>
        <w:tc>
          <w:tcPr>
            <w:tcW w:w="421" w:type="dxa"/>
            <w:vMerge/>
            <w:shd w:val="clear" w:color="auto" w:fill="FFC000" w:themeFill="accent4"/>
          </w:tcPr>
          <w:p w:rsidR="004232DD" w:rsidRPr="001F588A" w:rsidRDefault="004232DD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C000" w:themeFill="accent4"/>
            <w:textDirection w:val="btLr"/>
          </w:tcPr>
          <w:p w:rsidR="004232DD" w:rsidRPr="001F588A" w:rsidRDefault="004232DD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FFFFFF" w:themeFill="background1"/>
          </w:tcPr>
          <w:p w:rsidR="004232DD" w:rsidRPr="00897C87" w:rsidRDefault="004232DD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897C87">
              <w:rPr>
                <w:rFonts w:ascii="SassoonPrimaryInfant" w:hAnsi="SassoonPrimaryInfant"/>
              </w:rPr>
              <w:t>explain clearly their understanding of what is read to them.</w:t>
            </w:r>
          </w:p>
        </w:tc>
        <w:tc>
          <w:tcPr>
            <w:tcW w:w="425" w:type="dxa"/>
            <w:shd w:val="clear" w:color="auto" w:fill="FFCC00"/>
          </w:tcPr>
          <w:p w:rsidR="004232DD" w:rsidRPr="001F588A" w:rsidRDefault="004232DD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</w:tbl>
    <w:p w:rsidR="0003358B" w:rsidRPr="001F588A" w:rsidRDefault="0003358B" w:rsidP="004C10F4">
      <w:pPr>
        <w:rPr>
          <w:color w:val="FFF2CC" w:themeColor="accent4" w:themeTint="33"/>
        </w:rPr>
      </w:pPr>
    </w:p>
    <w:p w:rsidR="001F588A" w:rsidRDefault="001F588A" w:rsidP="004C10F4"/>
    <w:p w:rsidR="001F588A" w:rsidRDefault="001F588A" w:rsidP="004C10F4"/>
    <w:p w:rsidR="001F588A" w:rsidRPr="00E67841" w:rsidRDefault="001F588A" w:rsidP="004C10F4"/>
    <w:sectPr w:rsidR="001F588A" w:rsidRPr="00E67841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9E" w:rsidRDefault="003C5B9E" w:rsidP="005A0C29">
      <w:pPr>
        <w:spacing w:after="0" w:line="240" w:lineRule="auto"/>
      </w:pPr>
      <w:r>
        <w:separator/>
      </w:r>
    </w:p>
  </w:endnote>
  <w:endnote w:type="continuationSeparator" w:id="0">
    <w:p w:rsidR="003C5B9E" w:rsidRDefault="003C5B9E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9E" w:rsidRDefault="003C5B9E" w:rsidP="005A0C29">
      <w:pPr>
        <w:spacing w:after="0" w:line="240" w:lineRule="auto"/>
      </w:pPr>
      <w:r>
        <w:separator/>
      </w:r>
    </w:p>
  </w:footnote>
  <w:footnote w:type="continuationSeparator" w:id="0">
    <w:p w:rsidR="003C5B9E" w:rsidRDefault="003C5B9E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D06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3358B"/>
    <w:rsid w:val="0005167A"/>
    <w:rsid w:val="00053B3A"/>
    <w:rsid w:val="000575D6"/>
    <w:rsid w:val="00057CA1"/>
    <w:rsid w:val="000C3C4E"/>
    <w:rsid w:val="000D0A7E"/>
    <w:rsid w:val="000D1688"/>
    <w:rsid w:val="00100F70"/>
    <w:rsid w:val="00114ADD"/>
    <w:rsid w:val="00133998"/>
    <w:rsid w:val="001B4D43"/>
    <w:rsid w:val="001D527B"/>
    <w:rsid w:val="001F588A"/>
    <w:rsid w:val="00237D46"/>
    <w:rsid w:val="00241456"/>
    <w:rsid w:val="002418A5"/>
    <w:rsid w:val="00262B01"/>
    <w:rsid w:val="00285F74"/>
    <w:rsid w:val="00294F12"/>
    <w:rsid w:val="002B30C2"/>
    <w:rsid w:val="002F7957"/>
    <w:rsid w:val="003235DF"/>
    <w:rsid w:val="00331EE4"/>
    <w:rsid w:val="00344A87"/>
    <w:rsid w:val="00376847"/>
    <w:rsid w:val="00397A64"/>
    <w:rsid w:val="003B3592"/>
    <w:rsid w:val="003C5B9E"/>
    <w:rsid w:val="003D320A"/>
    <w:rsid w:val="003E2791"/>
    <w:rsid w:val="004113B3"/>
    <w:rsid w:val="004232DD"/>
    <w:rsid w:val="00450997"/>
    <w:rsid w:val="0045139E"/>
    <w:rsid w:val="00473209"/>
    <w:rsid w:val="00475DFA"/>
    <w:rsid w:val="00480B9B"/>
    <w:rsid w:val="0048297A"/>
    <w:rsid w:val="004877E9"/>
    <w:rsid w:val="004C10F4"/>
    <w:rsid w:val="004D33BA"/>
    <w:rsid w:val="004D4E45"/>
    <w:rsid w:val="004E2548"/>
    <w:rsid w:val="004F0B75"/>
    <w:rsid w:val="005134D4"/>
    <w:rsid w:val="005A0C29"/>
    <w:rsid w:val="005B3CDF"/>
    <w:rsid w:val="005C013E"/>
    <w:rsid w:val="005C025C"/>
    <w:rsid w:val="005C5622"/>
    <w:rsid w:val="005D3645"/>
    <w:rsid w:val="005E1D36"/>
    <w:rsid w:val="005F272A"/>
    <w:rsid w:val="00654498"/>
    <w:rsid w:val="006B3E5D"/>
    <w:rsid w:val="006B4AF2"/>
    <w:rsid w:val="006E182B"/>
    <w:rsid w:val="006F4D17"/>
    <w:rsid w:val="0071696B"/>
    <w:rsid w:val="007438E1"/>
    <w:rsid w:val="00773AA7"/>
    <w:rsid w:val="00793E95"/>
    <w:rsid w:val="007A2C5D"/>
    <w:rsid w:val="007B0449"/>
    <w:rsid w:val="007E6316"/>
    <w:rsid w:val="007E6666"/>
    <w:rsid w:val="00897C87"/>
    <w:rsid w:val="008E466E"/>
    <w:rsid w:val="008F67E7"/>
    <w:rsid w:val="009024A9"/>
    <w:rsid w:val="00905003"/>
    <w:rsid w:val="009160A7"/>
    <w:rsid w:val="00922BF4"/>
    <w:rsid w:val="00926C96"/>
    <w:rsid w:val="009345CE"/>
    <w:rsid w:val="00966A37"/>
    <w:rsid w:val="0097766A"/>
    <w:rsid w:val="0099100A"/>
    <w:rsid w:val="009A0688"/>
    <w:rsid w:val="009B2DFE"/>
    <w:rsid w:val="009B4595"/>
    <w:rsid w:val="009B552A"/>
    <w:rsid w:val="009F5FB1"/>
    <w:rsid w:val="00A326C4"/>
    <w:rsid w:val="00A902A9"/>
    <w:rsid w:val="00AC053C"/>
    <w:rsid w:val="00AC2BE9"/>
    <w:rsid w:val="00B24FA1"/>
    <w:rsid w:val="00B258C0"/>
    <w:rsid w:val="00B647C6"/>
    <w:rsid w:val="00B738AD"/>
    <w:rsid w:val="00BA0CEE"/>
    <w:rsid w:val="00BA3B14"/>
    <w:rsid w:val="00BA6A18"/>
    <w:rsid w:val="00BB0FE2"/>
    <w:rsid w:val="00BE3068"/>
    <w:rsid w:val="00C26983"/>
    <w:rsid w:val="00C37656"/>
    <w:rsid w:val="00C50E42"/>
    <w:rsid w:val="00C708B3"/>
    <w:rsid w:val="00C75710"/>
    <w:rsid w:val="00CA7308"/>
    <w:rsid w:val="00CC11D8"/>
    <w:rsid w:val="00CC3454"/>
    <w:rsid w:val="00CD643C"/>
    <w:rsid w:val="00D03BD3"/>
    <w:rsid w:val="00D23B53"/>
    <w:rsid w:val="00D63876"/>
    <w:rsid w:val="00D664F9"/>
    <w:rsid w:val="00D75B36"/>
    <w:rsid w:val="00D96AED"/>
    <w:rsid w:val="00DB3F84"/>
    <w:rsid w:val="00DF0603"/>
    <w:rsid w:val="00E02481"/>
    <w:rsid w:val="00E2545F"/>
    <w:rsid w:val="00E35A53"/>
    <w:rsid w:val="00E426F3"/>
    <w:rsid w:val="00E57A77"/>
    <w:rsid w:val="00E67841"/>
    <w:rsid w:val="00E71730"/>
    <w:rsid w:val="00E7199C"/>
    <w:rsid w:val="00E84C29"/>
    <w:rsid w:val="00ED2480"/>
    <w:rsid w:val="00F349D7"/>
    <w:rsid w:val="00F43C0C"/>
    <w:rsid w:val="00F614C5"/>
    <w:rsid w:val="00F87400"/>
    <w:rsid w:val="00FC446E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8C81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1E4E-F286-48A9-A31A-B2349225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Home</cp:lastModifiedBy>
  <cp:revision>9</cp:revision>
  <cp:lastPrinted>2018-06-11T11:33:00Z</cp:lastPrinted>
  <dcterms:created xsi:type="dcterms:W3CDTF">2021-01-13T11:47:00Z</dcterms:created>
  <dcterms:modified xsi:type="dcterms:W3CDTF">2021-03-03T15:07:00Z</dcterms:modified>
</cp:coreProperties>
</file>