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1FFD3" w14:textId="77777777" w:rsidR="00D41080" w:rsidRDefault="00D41080" w:rsidP="00D41080">
      <w:pPr>
        <w:jc w:val="both"/>
        <w:rPr>
          <w:rFonts w:ascii="Lato" w:hAnsi="Lato"/>
        </w:rPr>
      </w:pPr>
      <w:r>
        <w:rPr>
          <w:rFonts w:ascii="Lato" w:hAnsi="Lato"/>
        </w:rPr>
        <w:t>Dear Parents/Kinship Carers of Current Year 5 pupils</w:t>
      </w:r>
    </w:p>
    <w:p w14:paraId="01A00A0A" w14:textId="77777777" w:rsidR="00D41080" w:rsidRDefault="00D41080" w:rsidP="00D41080">
      <w:pPr>
        <w:jc w:val="both"/>
        <w:rPr>
          <w:rFonts w:ascii="Lato" w:hAnsi="Lato"/>
        </w:rPr>
      </w:pPr>
      <w:r>
        <w:rPr>
          <w:rFonts w:ascii="Lato" w:hAnsi="Lato"/>
        </w:rPr>
        <w:t>Before the summer holidays begin, we wanted to get in touch with you about next term's prospective secondary school application, and how important it is to consider home to transport prior to making your final decision.</w:t>
      </w:r>
    </w:p>
    <w:p w14:paraId="73ADC093" w14:textId="77777777" w:rsidR="00D41080" w:rsidRDefault="00D41080" w:rsidP="00D41080">
      <w:pPr>
        <w:jc w:val="both"/>
        <w:rPr>
          <w:rFonts w:ascii="Lato" w:hAnsi="Lato"/>
        </w:rPr>
      </w:pPr>
      <w:r>
        <w:rPr>
          <w:rFonts w:ascii="Lato" w:hAnsi="Lato"/>
        </w:rPr>
        <w:t xml:space="preserve">You must consider carefully how your child will get to and from your preferred secondary schools before submitting your application for a school place. </w:t>
      </w:r>
    </w:p>
    <w:p w14:paraId="6BC1C847" w14:textId="77777777" w:rsidR="00D41080" w:rsidRDefault="00D41080" w:rsidP="00D41080">
      <w:pPr>
        <w:jc w:val="both"/>
        <w:rPr>
          <w:rFonts w:ascii="Lato" w:hAnsi="Lato"/>
        </w:rPr>
      </w:pPr>
      <w:r>
        <w:rPr>
          <w:rFonts w:ascii="Lato" w:hAnsi="Lato"/>
        </w:rPr>
        <w:t xml:space="preserve">Pupils will only be eligible for free travel if they have an entitlement under the County Council’s </w:t>
      </w:r>
      <w:hyperlink r:id="rId4" w:history="1">
        <w:r>
          <w:rPr>
            <w:rStyle w:val="Hyperlink"/>
            <w:rFonts w:ascii="Lato" w:hAnsi="Lato"/>
          </w:rPr>
          <w:t>Home to School Transport Policy.</w:t>
        </w:r>
      </w:hyperlink>
      <w:r>
        <w:rPr>
          <w:rFonts w:ascii="Lato" w:hAnsi="Lato"/>
        </w:rPr>
        <w:t xml:space="preserve">  It is important, when selecting your preferences for a school place, that you have read and understood the information available on the </w:t>
      </w:r>
      <w:hyperlink r:id="rId5" w:history="1">
        <w:r>
          <w:rPr>
            <w:rStyle w:val="Hyperlink"/>
            <w:rFonts w:ascii="Lato" w:hAnsi="Lato"/>
          </w:rPr>
          <w:t>website</w:t>
        </w:r>
      </w:hyperlink>
      <w:r>
        <w:rPr>
          <w:rFonts w:ascii="Lato" w:hAnsi="Lato"/>
        </w:rPr>
        <w:t xml:space="preserve"> regarding </w:t>
      </w:r>
      <w:hyperlink r:id="rId6" w:history="1">
        <w:r>
          <w:rPr>
            <w:rStyle w:val="Hyperlink"/>
            <w:rFonts w:ascii="Lato" w:hAnsi="Lato"/>
          </w:rPr>
          <w:t>school admissions</w:t>
        </w:r>
      </w:hyperlink>
      <w:r>
        <w:rPr>
          <w:rFonts w:ascii="Lato" w:hAnsi="Lato"/>
        </w:rPr>
        <w:t xml:space="preserve"> and </w:t>
      </w:r>
      <w:hyperlink r:id="rId7" w:history="1">
        <w:r>
          <w:rPr>
            <w:rStyle w:val="Hyperlink"/>
            <w:rFonts w:ascii="Lato" w:hAnsi="Lato"/>
          </w:rPr>
          <w:t>travel assistance</w:t>
        </w:r>
      </w:hyperlink>
      <w:r>
        <w:rPr>
          <w:rFonts w:ascii="Lato" w:hAnsi="Lato"/>
        </w:rPr>
        <w:t>.</w:t>
      </w:r>
    </w:p>
    <w:p w14:paraId="042D415C" w14:textId="77777777" w:rsidR="00D41080" w:rsidRDefault="00D41080" w:rsidP="00D41080">
      <w:pPr>
        <w:jc w:val="both"/>
        <w:rPr>
          <w:rFonts w:ascii="Lato" w:hAnsi="Lato"/>
        </w:rPr>
      </w:pPr>
      <w:r>
        <w:rPr>
          <w:rFonts w:ascii="Lato" w:hAnsi="Lato"/>
        </w:rPr>
        <w:t>It is essential to remember - for transport purposes - the 'nearest suitable school' is the nearest school to the family home – and - in some cases, the nearest school will be located within another local authority area.</w:t>
      </w:r>
    </w:p>
    <w:p w14:paraId="573119BF" w14:textId="77777777" w:rsidR="00D41080" w:rsidRDefault="00D41080" w:rsidP="00D41080">
      <w:pPr>
        <w:jc w:val="both"/>
        <w:rPr>
          <w:rFonts w:ascii="Lato" w:hAnsi="Lato"/>
        </w:rPr>
      </w:pPr>
      <w:r>
        <w:rPr>
          <w:rFonts w:ascii="Lato" w:hAnsi="Lato" w:cs="Open Sans"/>
          <w:color w:val="212529"/>
          <w:shd w:val="clear" w:color="auto" w:fill="FFFFFF"/>
        </w:rPr>
        <w:t xml:space="preserve">If you choose to send your child to a school that Lancashire County Council does not consider to be the nearest suitable school, there is no duty to provide free transport. You will need to make your own transport arrangements.  </w:t>
      </w:r>
    </w:p>
    <w:p w14:paraId="11B59E7D" w14:textId="77777777" w:rsidR="00D41080" w:rsidRDefault="00D41080" w:rsidP="00D41080">
      <w:pPr>
        <w:jc w:val="both"/>
        <w:rPr>
          <w:rFonts w:ascii="Lato" w:hAnsi="Lato"/>
        </w:rPr>
      </w:pPr>
      <w:r>
        <w:rPr>
          <w:rFonts w:ascii="Lato" w:hAnsi="Lato"/>
        </w:rPr>
        <w:t xml:space="preserve">Assistance with home to school travel will not be needed for most children as they will attend their local school which will be within a reasonable walking distance when accompanied by a parent/carer as necessary. </w:t>
      </w:r>
    </w:p>
    <w:p w14:paraId="7F8DDCAD" w14:textId="77777777" w:rsidR="00D41080" w:rsidRDefault="00D41080" w:rsidP="00D41080">
      <w:pPr>
        <w:jc w:val="both"/>
        <w:rPr>
          <w:rFonts w:ascii="Lato" w:hAnsi="Lato"/>
        </w:rPr>
      </w:pPr>
      <w:r>
        <w:rPr>
          <w:rFonts w:ascii="Lato" w:hAnsi="Lato"/>
        </w:rPr>
        <w:t>However, if transport costs are a concern to you, please contact your Area Education Office before submitting your application:</w:t>
      </w:r>
    </w:p>
    <w:tbl>
      <w:tblPr>
        <w:tblW w:w="9356" w:type="dxa"/>
        <w:tblInd w:w="-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77"/>
        <w:gridCol w:w="3119"/>
        <w:gridCol w:w="3260"/>
      </w:tblGrid>
      <w:tr w:rsidR="00D41080" w14:paraId="378AD191" w14:textId="77777777" w:rsidTr="00D41080">
        <w:tc>
          <w:tcPr>
            <w:tcW w:w="2977" w:type="dxa"/>
            <w:tcBorders>
              <w:top w:val="single" w:sz="6" w:space="0" w:color="auto"/>
              <w:left w:val="single" w:sz="6" w:space="0" w:color="auto"/>
              <w:bottom w:val="nil"/>
              <w:right w:val="single" w:sz="6" w:space="0" w:color="auto"/>
            </w:tcBorders>
            <w:hideMark/>
          </w:tcPr>
          <w:p w14:paraId="0057CCB1" w14:textId="77777777" w:rsidR="00D41080" w:rsidRDefault="00D41080">
            <w:pPr>
              <w:spacing w:before="40"/>
              <w:jc w:val="both"/>
              <w:rPr>
                <w:rFonts w:ascii="Lato" w:hAnsi="Lato"/>
                <w:bCs/>
              </w:rPr>
            </w:pPr>
            <w:r>
              <w:rPr>
                <w:rFonts w:ascii="Lato" w:hAnsi="Lato"/>
                <w:bCs/>
              </w:rPr>
              <w:t>NORTH AREA</w:t>
            </w:r>
          </w:p>
        </w:tc>
        <w:tc>
          <w:tcPr>
            <w:tcW w:w="3119" w:type="dxa"/>
            <w:tcBorders>
              <w:top w:val="single" w:sz="6" w:space="0" w:color="auto"/>
              <w:left w:val="single" w:sz="6" w:space="0" w:color="auto"/>
              <w:bottom w:val="nil"/>
              <w:right w:val="single" w:sz="6" w:space="0" w:color="auto"/>
            </w:tcBorders>
            <w:vAlign w:val="center"/>
            <w:hideMark/>
          </w:tcPr>
          <w:p w14:paraId="43544EE2" w14:textId="77777777" w:rsidR="00D41080" w:rsidRDefault="00D41080">
            <w:pPr>
              <w:spacing w:before="40"/>
              <w:jc w:val="both"/>
              <w:rPr>
                <w:rFonts w:ascii="Lato" w:hAnsi="Lato"/>
                <w:bCs/>
              </w:rPr>
            </w:pPr>
            <w:r>
              <w:rPr>
                <w:rFonts w:ascii="Lato" w:hAnsi="Lato"/>
                <w:bCs/>
              </w:rPr>
              <w:t>SOUTH AREA</w:t>
            </w:r>
          </w:p>
        </w:tc>
        <w:tc>
          <w:tcPr>
            <w:tcW w:w="3260" w:type="dxa"/>
            <w:tcBorders>
              <w:top w:val="single" w:sz="6" w:space="0" w:color="auto"/>
              <w:left w:val="single" w:sz="6" w:space="0" w:color="auto"/>
              <w:bottom w:val="nil"/>
              <w:right w:val="single" w:sz="6" w:space="0" w:color="auto"/>
            </w:tcBorders>
            <w:hideMark/>
          </w:tcPr>
          <w:p w14:paraId="146310DE" w14:textId="77777777" w:rsidR="00D41080" w:rsidRDefault="00D41080">
            <w:pPr>
              <w:spacing w:before="40"/>
              <w:jc w:val="both"/>
              <w:rPr>
                <w:rFonts w:ascii="Lato" w:hAnsi="Lato"/>
                <w:bCs/>
              </w:rPr>
            </w:pPr>
            <w:r>
              <w:rPr>
                <w:rFonts w:ascii="Lato" w:hAnsi="Lato"/>
                <w:bCs/>
              </w:rPr>
              <w:t>EAST AREA</w:t>
            </w:r>
          </w:p>
        </w:tc>
      </w:tr>
      <w:tr w:rsidR="00D41080" w14:paraId="5DCB946A" w14:textId="77777777" w:rsidTr="00D41080">
        <w:tc>
          <w:tcPr>
            <w:tcW w:w="2977" w:type="dxa"/>
            <w:tcBorders>
              <w:top w:val="nil"/>
              <w:left w:val="single" w:sz="6" w:space="0" w:color="auto"/>
              <w:bottom w:val="single" w:sz="6" w:space="0" w:color="auto"/>
              <w:right w:val="single" w:sz="6" w:space="0" w:color="auto"/>
            </w:tcBorders>
            <w:hideMark/>
          </w:tcPr>
          <w:p w14:paraId="63967500" w14:textId="77777777" w:rsidR="00D41080" w:rsidRDefault="00D41080">
            <w:pPr>
              <w:spacing w:before="80"/>
              <w:jc w:val="both"/>
              <w:rPr>
                <w:rFonts w:ascii="Lato" w:hAnsi="Lato"/>
                <w:bCs/>
              </w:rPr>
            </w:pPr>
            <w:r>
              <w:rPr>
                <w:rFonts w:ascii="Lato" w:hAnsi="Lato"/>
                <w:bCs/>
              </w:rPr>
              <w:t>Lancaster, Morecambe,</w:t>
            </w:r>
          </w:p>
          <w:p w14:paraId="1E136C3A" w14:textId="77777777" w:rsidR="00D41080" w:rsidRDefault="00D41080">
            <w:pPr>
              <w:spacing w:after="80"/>
              <w:jc w:val="both"/>
              <w:rPr>
                <w:rFonts w:ascii="Lato" w:hAnsi="Lato"/>
                <w:bCs/>
              </w:rPr>
            </w:pPr>
            <w:r>
              <w:rPr>
                <w:rFonts w:ascii="Lato" w:hAnsi="Lato"/>
                <w:bCs/>
              </w:rPr>
              <w:t>Wyre and Fylde</w:t>
            </w:r>
          </w:p>
        </w:tc>
        <w:tc>
          <w:tcPr>
            <w:tcW w:w="3119" w:type="dxa"/>
            <w:tcBorders>
              <w:top w:val="nil"/>
              <w:left w:val="single" w:sz="6" w:space="0" w:color="auto"/>
              <w:bottom w:val="single" w:sz="6" w:space="0" w:color="auto"/>
              <w:right w:val="single" w:sz="6" w:space="0" w:color="auto"/>
            </w:tcBorders>
            <w:vAlign w:val="center"/>
            <w:hideMark/>
          </w:tcPr>
          <w:p w14:paraId="6A2B9DC5" w14:textId="77777777" w:rsidR="00D41080" w:rsidRDefault="00D41080">
            <w:pPr>
              <w:jc w:val="both"/>
              <w:rPr>
                <w:rFonts w:ascii="Lato" w:hAnsi="Lato"/>
                <w:bCs/>
              </w:rPr>
            </w:pPr>
            <w:r>
              <w:rPr>
                <w:rFonts w:ascii="Lato" w:hAnsi="Lato"/>
                <w:bCs/>
              </w:rPr>
              <w:t>Preston, South Ribble,</w:t>
            </w:r>
          </w:p>
          <w:p w14:paraId="26509151" w14:textId="77777777" w:rsidR="00D41080" w:rsidRDefault="00D41080">
            <w:pPr>
              <w:jc w:val="both"/>
              <w:rPr>
                <w:rFonts w:ascii="Lato" w:hAnsi="Lato"/>
                <w:bCs/>
              </w:rPr>
            </w:pPr>
            <w:r>
              <w:rPr>
                <w:rFonts w:ascii="Lato" w:hAnsi="Lato"/>
                <w:bCs/>
              </w:rPr>
              <w:t xml:space="preserve"> West Lancashire and Chorley</w:t>
            </w:r>
          </w:p>
        </w:tc>
        <w:tc>
          <w:tcPr>
            <w:tcW w:w="3260" w:type="dxa"/>
            <w:tcBorders>
              <w:top w:val="nil"/>
              <w:left w:val="single" w:sz="6" w:space="0" w:color="auto"/>
              <w:bottom w:val="single" w:sz="6" w:space="0" w:color="auto"/>
              <w:right w:val="single" w:sz="6" w:space="0" w:color="auto"/>
            </w:tcBorders>
            <w:hideMark/>
          </w:tcPr>
          <w:p w14:paraId="7BE3A8D6" w14:textId="77777777" w:rsidR="00D41080" w:rsidRDefault="00D41080">
            <w:pPr>
              <w:spacing w:before="80"/>
              <w:jc w:val="both"/>
              <w:rPr>
                <w:rFonts w:ascii="Lato" w:hAnsi="Lato"/>
                <w:bCs/>
              </w:rPr>
            </w:pPr>
            <w:r>
              <w:rPr>
                <w:rFonts w:ascii="Lato" w:hAnsi="Lato"/>
                <w:bCs/>
              </w:rPr>
              <w:t xml:space="preserve">Hyndburn, Ribble Valley, Burnley, </w:t>
            </w:r>
          </w:p>
          <w:p w14:paraId="67D126D4" w14:textId="77777777" w:rsidR="00D41080" w:rsidRDefault="00D41080">
            <w:pPr>
              <w:jc w:val="both"/>
              <w:rPr>
                <w:rFonts w:ascii="Lato" w:hAnsi="Lato"/>
                <w:bCs/>
              </w:rPr>
            </w:pPr>
            <w:r>
              <w:rPr>
                <w:rFonts w:ascii="Lato" w:hAnsi="Lato"/>
                <w:bCs/>
              </w:rPr>
              <w:t>Pendle and Rossendale</w:t>
            </w:r>
          </w:p>
        </w:tc>
      </w:tr>
      <w:tr w:rsidR="00D41080" w14:paraId="48D07D52" w14:textId="77777777" w:rsidTr="00D41080">
        <w:trPr>
          <w:trHeight w:hRule="exact" w:val="113"/>
        </w:trPr>
        <w:tc>
          <w:tcPr>
            <w:tcW w:w="2977" w:type="dxa"/>
            <w:tcBorders>
              <w:top w:val="single" w:sz="6" w:space="0" w:color="auto"/>
              <w:left w:val="single" w:sz="6" w:space="0" w:color="auto"/>
              <w:bottom w:val="nil"/>
              <w:right w:val="single" w:sz="6" w:space="0" w:color="auto"/>
            </w:tcBorders>
          </w:tcPr>
          <w:p w14:paraId="66099AF2" w14:textId="77777777" w:rsidR="00D41080" w:rsidRDefault="00D41080">
            <w:pPr>
              <w:jc w:val="both"/>
              <w:rPr>
                <w:rFonts w:ascii="Lato" w:hAnsi="Lato"/>
              </w:rPr>
            </w:pPr>
          </w:p>
        </w:tc>
        <w:tc>
          <w:tcPr>
            <w:tcW w:w="3119" w:type="dxa"/>
            <w:tcBorders>
              <w:top w:val="single" w:sz="6" w:space="0" w:color="auto"/>
              <w:left w:val="single" w:sz="6" w:space="0" w:color="auto"/>
              <w:bottom w:val="nil"/>
              <w:right w:val="single" w:sz="6" w:space="0" w:color="auto"/>
            </w:tcBorders>
          </w:tcPr>
          <w:p w14:paraId="198A1A19" w14:textId="77777777" w:rsidR="00D41080" w:rsidRDefault="00D41080">
            <w:pPr>
              <w:jc w:val="both"/>
              <w:rPr>
                <w:rFonts w:ascii="Lato" w:hAnsi="Lato"/>
                <w:b/>
              </w:rPr>
            </w:pPr>
          </w:p>
        </w:tc>
        <w:tc>
          <w:tcPr>
            <w:tcW w:w="3260" w:type="dxa"/>
            <w:tcBorders>
              <w:top w:val="single" w:sz="6" w:space="0" w:color="auto"/>
              <w:left w:val="single" w:sz="6" w:space="0" w:color="auto"/>
              <w:bottom w:val="nil"/>
              <w:right w:val="single" w:sz="6" w:space="0" w:color="auto"/>
            </w:tcBorders>
          </w:tcPr>
          <w:p w14:paraId="6217DEF0" w14:textId="77777777" w:rsidR="00D41080" w:rsidRDefault="00D41080">
            <w:pPr>
              <w:jc w:val="both"/>
              <w:rPr>
                <w:rFonts w:ascii="Lato" w:hAnsi="Lato"/>
              </w:rPr>
            </w:pPr>
          </w:p>
        </w:tc>
      </w:tr>
      <w:tr w:rsidR="00D41080" w14:paraId="2B9002E9" w14:textId="77777777" w:rsidTr="00D41080">
        <w:tc>
          <w:tcPr>
            <w:tcW w:w="2977" w:type="dxa"/>
            <w:tcBorders>
              <w:top w:val="nil"/>
              <w:left w:val="single" w:sz="6" w:space="0" w:color="auto"/>
              <w:bottom w:val="single" w:sz="4" w:space="0" w:color="auto"/>
              <w:right w:val="single" w:sz="6" w:space="0" w:color="auto"/>
            </w:tcBorders>
            <w:hideMark/>
          </w:tcPr>
          <w:p w14:paraId="01648E5B" w14:textId="77777777" w:rsidR="00D41080" w:rsidRDefault="00D41080">
            <w:pPr>
              <w:spacing w:before="100" w:after="140"/>
              <w:jc w:val="both"/>
              <w:rPr>
                <w:rFonts w:ascii="Lato" w:hAnsi="Lato"/>
              </w:rPr>
            </w:pPr>
            <w:r>
              <w:rPr>
                <w:rFonts w:ascii="Lato" w:hAnsi="Lato"/>
              </w:rPr>
              <w:t>(01524) 581148</w:t>
            </w:r>
          </w:p>
        </w:tc>
        <w:tc>
          <w:tcPr>
            <w:tcW w:w="3119" w:type="dxa"/>
            <w:tcBorders>
              <w:top w:val="nil"/>
              <w:left w:val="single" w:sz="6" w:space="0" w:color="auto"/>
              <w:bottom w:val="single" w:sz="4" w:space="0" w:color="auto"/>
              <w:right w:val="single" w:sz="6" w:space="0" w:color="auto"/>
            </w:tcBorders>
            <w:vAlign w:val="center"/>
            <w:hideMark/>
          </w:tcPr>
          <w:p w14:paraId="09B5EB30" w14:textId="77777777" w:rsidR="00D41080" w:rsidRDefault="00D41080">
            <w:pPr>
              <w:spacing w:before="100" w:after="140"/>
              <w:jc w:val="both"/>
              <w:rPr>
                <w:rFonts w:ascii="Lato" w:hAnsi="Lato"/>
                <w:b/>
              </w:rPr>
            </w:pPr>
            <w:r>
              <w:rPr>
                <w:rFonts w:ascii="Lato" w:hAnsi="Lato"/>
              </w:rPr>
              <w:t>(01772) 532109</w:t>
            </w:r>
          </w:p>
        </w:tc>
        <w:tc>
          <w:tcPr>
            <w:tcW w:w="3260" w:type="dxa"/>
            <w:tcBorders>
              <w:top w:val="nil"/>
              <w:left w:val="single" w:sz="6" w:space="0" w:color="auto"/>
              <w:bottom w:val="single" w:sz="4" w:space="0" w:color="auto"/>
              <w:right w:val="single" w:sz="6" w:space="0" w:color="auto"/>
            </w:tcBorders>
            <w:hideMark/>
          </w:tcPr>
          <w:p w14:paraId="230C57C6" w14:textId="77777777" w:rsidR="00D41080" w:rsidRDefault="00D41080">
            <w:pPr>
              <w:spacing w:before="100" w:after="140"/>
              <w:jc w:val="both"/>
              <w:rPr>
                <w:rFonts w:ascii="Lato" w:hAnsi="Lato"/>
              </w:rPr>
            </w:pPr>
            <w:r>
              <w:rPr>
                <w:rFonts w:ascii="Lato" w:hAnsi="Lato"/>
              </w:rPr>
              <w:t>(01254) 220747</w:t>
            </w:r>
          </w:p>
        </w:tc>
      </w:tr>
    </w:tbl>
    <w:p w14:paraId="4ECC7AC6" w14:textId="77777777" w:rsidR="00D41080" w:rsidRDefault="00D41080" w:rsidP="00D41080">
      <w:pPr>
        <w:jc w:val="both"/>
        <w:rPr>
          <w:rFonts w:ascii="Lato" w:hAnsi="Lato"/>
        </w:rPr>
      </w:pPr>
    </w:p>
    <w:p w14:paraId="158EE320" w14:textId="77777777" w:rsidR="00D41080" w:rsidRDefault="00D41080" w:rsidP="00D41080">
      <w:pPr>
        <w:jc w:val="both"/>
        <w:rPr>
          <w:rFonts w:ascii="Lato" w:hAnsi="Lato"/>
        </w:rPr>
      </w:pPr>
      <w:r>
        <w:rPr>
          <w:rFonts w:ascii="Lato" w:hAnsi="Lato"/>
        </w:rPr>
        <w:t>If your child is not eligible for free travel assistance but you would like your child to travel to school by bus, you may be able to buy a season travel pass from us.</w:t>
      </w:r>
    </w:p>
    <w:p w14:paraId="25ABEEAF" w14:textId="77777777" w:rsidR="00D41080" w:rsidRDefault="00D41080" w:rsidP="00D41080">
      <w:pPr>
        <w:jc w:val="both"/>
        <w:rPr>
          <w:rFonts w:ascii="Lato" w:hAnsi="Lato"/>
        </w:rPr>
      </w:pPr>
      <w:r>
        <w:rPr>
          <w:rFonts w:ascii="Lato" w:hAnsi="Lato" w:cs="Open Sans"/>
          <w:color w:val="212529"/>
          <w:shd w:val="clear" w:color="auto" w:fill="FFFFFF"/>
        </w:rPr>
        <w:t>The County Council will not provide extra services for non-statutory pupils and you will need to </w:t>
      </w:r>
      <w:hyperlink r:id="rId8" w:tooltip="School transport information" w:history="1">
        <w:r>
          <w:rPr>
            <w:rStyle w:val="Hyperlink"/>
            <w:rFonts w:ascii="Lato" w:hAnsi="Lato" w:cs="Open Sans"/>
            <w:color w:val="005EA5"/>
            <w:shd w:val="clear" w:color="auto" w:fill="FFFFFF"/>
          </w:rPr>
          <w:t>plan how your child will get to school</w:t>
        </w:r>
      </w:hyperlink>
      <w:r>
        <w:rPr>
          <w:rFonts w:ascii="Lato" w:hAnsi="Lato" w:cs="Open Sans"/>
          <w:color w:val="212529"/>
          <w:shd w:val="clear" w:color="auto" w:fill="FFFFFF"/>
        </w:rPr>
        <w:t> if space on the bus is not available.</w:t>
      </w:r>
    </w:p>
    <w:p w14:paraId="4FF081EB" w14:textId="77777777" w:rsidR="00D41080" w:rsidRDefault="00D41080" w:rsidP="00D41080">
      <w:pPr>
        <w:jc w:val="both"/>
        <w:rPr>
          <w:rFonts w:ascii="Lato" w:hAnsi="Lato" w:cs="Arial"/>
        </w:rPr>
      </w:pPr>
      <w:r>
        <w:rPr>
          <w:rStyle w:val="cf01"/>
          <w:rFonts w:ascii="Lato" w:hAnsi="Lato" w:cs="Arial"/>
        </w:rPr>
        <w:t xml:space="preserve">Please call 0300-123-6738 or visit </w:t>
      </w:r>
      <w:hyperlink r:id="rId9" w:history="1">
        <w:r>
          <w:rPr>
            <w:rStyle w:val="Hyperlink"/>
            <w:rFonts w:ascii="Lato" w:hAnsi="Lato" w:cs="Arial"/>
          </w:rPr>
          <w:t>School bus season tickets - Lancashire County Council</w:t>
        </w:r>
      </w:hyperlink>
      <w:r>
        <w:rPr>
          <w:rStyle w:val="cf01"/>
          <w:rFonts w:ascii="Lato" w:hAnsi="Lato" w:cs="Arial"/>
        </w:rPr>
        <w:t xml:space="preserve"> to make an application.</w:t>
      </w:r>
    </w:p>
    <w:p w14:paraId="58B5061C" w14:textId="77777777" w:rsidR="00D41080" w:rsidRDefault="00D41080" w:rsidP="00D41080">
      <w:pPr>
        <w:jc w:val="both"/>
        <w:rPr>
          <w:rFonts w:ascii="Lato" w:hAnsi="Lato" w:cs="Arial"/>
        </w:rPr>
      </w:pPr>
      <w:r>
        <w:rPr>
          <w:rFonts w:ascii="Lato" w:hAnsi="Lato" w:cs="Arial"/>
        </w:rPr>
        <w:t>It is important to plan ahead.  Please make sure that appropriate transport is available, should a place be allocated at your preferred school.</w:t>
      </w:r>
    </w:p>
    <w:p w14:paraId="2C104FCB" w14:textId="77777777" w:rsidR="005F5073" w:rsidRDefault="005F5073" w:rsidP="005F5073">
      <w:pPr>
        <w:spacing w:after="0"/>
        <w:jc w:val="both"/>
        <w:rPr>
          <w:rFonts w:ascii="Lato" w:hAnsi="Lato"/>
        </w:rPr>
      </w:pPr>
    </w:p>
    <w:p w14:paraId="5B23207E" w14:textId="71ECFF70" w:rsidR="005F5073" w:rsidRDefault="005F5073" w:rsidP="005F5073">
      <w:pPr>
        <w:spacing w:after="0"/>
        <w:jc w:val="both"/>
        <w:rPr>
          <w:rFonts w:ascii="Lato" w:hAnsi="Lato"/>
        </w:rPr>
      </w:pPr>
      <w:r>
        <w:rPr>
          <w:rFonts w:ascii="Lato" w:hAnsi="Lato"/>
        </w:rPr>
        <w:t>With kind regards,</w:t>
      </w:r>
    </w:p>
    <w:p w14:paraId="5327EBE8" w14:textId="08D1EC00" w:rsidR="005F5073" w:rsidRDefault="005F5073" w:rsidP="005F5073">
      <w:pPr>
        <w:spacing w:after="0"/>
        <w:jc w:val="both"/>
        <w:rPr>
          <w:rFonts w:ascii="Lato" w:hAnsi="Lato"/>
        </w:rPr>
      </w:pPr>
      <w:r>
        <w:rPr>
          <w:rFonts w:ascii="Lato" w:hAnsi="Lato"/>
        </w:rPr>
        <w:t>Pupil Access and Integrated Transport Teams – July 2025</w:t>
      </w:r>
    </w:p>
    <w:p w14:paraId="09266224" w14:textId="77777777" w:rsidR="006427F8" w:rsidRDefault="006427F8"/>
    <w:sectPr w:rsidR="006427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ato">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080"/>
    <w:rsid w:val="005F5073"/>
    <w:rsid w:val="006427F8"/>
    <w:rsid w:val="00914889"/>
    <w:rsid w:val="00CC03E9"/>
    <w:rsid w:val="00D41080"/>
    <w:rsid w:val="00D41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51831"/>
  <w15:chartTrackingRefBased/>
  <w15:docId w15:val="{30A5DBCF-0C2F-4F68-8C0B-6B07AA04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080"/>
    <w:pPr>
      <w:spacing w:line="256" w:lineRule="auto"/>
    </w:pPr>
  </w:style>
  <w:style w:type="paragraph" w:styleId="Heading1">
    <w:name w:val="heading 1"/>
    <w:basedOn w:val="Normal"/>
    <w:next w:val="Normal"/>
    <w:link w:val="Heading1Char"/>
    <w:uiPriority w:val="9"/>
    <w:qFormat/>
    <w:rsid w:val="00D41080"/>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1080"/>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1080"/>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1080"/>
    <w:pPr>
      <w:keepNext/>
      <w:keepLines/>
      <w:spacing w:before="80" w:after="40" w:line="259"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1080"/>
    <w:pPr>
      <w:keepNext/>
      <w:keepLines/>
      <w:spacing w:before="80" w:after="40" w:line="259"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1080"/>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1080"/>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1080"/>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1080"/>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0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10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10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10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10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10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10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10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1080"/>
    <w:rPr>
      <w:rFonts w:eastAsiaTheme="majorEastAsia" w:cstheme="majorBidi"/>
      <w:color w:val="272727" w:themeColor="text1" w:themeTint="D8"/>
    </w:rPr>
  </w:style>
  <w:style w:type="paragraph" w:styleId="Title">
    <w:name w:val="Title"/>
    <w:basedOn w:val="Normal"/>
    <w:next w:val="Normal"/>
    <w:link w:val="TitleChar"/>
    <w:uiPriority w:val="10"/>
    <w:qFormat/>
    <w:rsid w:val="00D410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0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1080"/>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10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1080"/>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D41080"/>
    <w:rPr>
      <w:i/>
      <w:iCs/>
      <w:color w:val="404040" w:themeColor="text1" w:themeTint="BF"/>
    </w:rPr>
  </w:style>
  <w:style w:type="paragraph" w:styleId="ListParagraph">
    <w:name w:val="List Paragraph"/>
    <w:basedOn w:val="Normal"/>
    <w:uiPriority w:val="34"/>
    <w:qFormat/>
    <w:rsid w:val="00D41080"/>
    <w:pPr>
      <w:spacing w:line="259" w:lineRule="auto"/>
      <w:ind w:left="720"/>
      <w:contextualSpacing/>
    </w:pPr>
  </w:style>
  <w:style w:type="character" w:styleId="IntenseEmphasis">
    <w:name w:val="Intense Emphasis"/>
    <w:basedOn w:val="DefaultParagraphFont"/>
    <w:uiPriority w:val="21"/>
    <w:qFormat/>
    <w:rsid w:val="00D41080"/>
    <w:rPr>
      <w:i/>
      <w:iCs/>
      <w:color w:val="2F5496" w:themeColor="accent1" w:themeShade="BF"/>
    </w:rPr>
  </w:style>
  <w:style w:type="paragraph" w:styleId="IntenseQuote">
    <w:name w:val="Intense Quote"/>
    <w:basedOn w:val="Normal"/>
    <w:next w:val="Normal"/>
    <w:link w:val="IntenseQuoteChar"/>
    <w:uiPriority w:val="30"/>
    <w:qFormat/>
    <w:rsid w:val="00D41080"/>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1080"/>
    <w:rPr>
      <w:i/>
      <w:iCs/>
      <w:color w:val="2F5496" w:themeColor="accent1" w:themeShade="BF"/>
    </w:rPr>
  </w:style>
  <w:style w:type="character" w:styleId="IntenseReference">
    <w:name w:val="Intense Reference"/>
    <w:basedOn w:val="DefaultParagraphFont"/>
    <w:uiPriority w:val="32"/>
    <w:qFormat/>
    <w:rsid w:val="00D41080"/>
    <w:rPr>
      <w:b/>
      <w:bCs/>
      <w:smallCaps/>
      <w:color w:val="2F5496" w:themeColor="accent1" w:themeShade="BF"/>
      <w:spacing w:val="5"/>
    </w:rPr>
  </w:style>
  <w:style w:type="character" w:styleId="Hyperlink">
    <w:name w:val="Hyperlink"/>
    <w:basedOn w:val="DefaultParagraphFont"/>
    <w:uiPriority w:val="99"/>
    <w:semiHidden/>
    <w:unhideWhenUsed/>
    <w:rsid w:val="00D41080"/>
    <w:rPr>
      <w:color w:val="0563C1" w:themeColor="hyperlink"/>
      <w:u w:val="single"/>
    </w:rPr>
  </w:style>
  <w:style w:type="character" w:customStyle="1" w:styleId="cf01">
    <w:name w:val="cf01"/>
    <w:basedOn w:val="DefaultParagraphFont"/>
    <w:rsid w:val="00D41080"/>
    <w:rPr>
      <w:rFonts w:ascii="Arial Narrow" w:hAnsi="Arial Narrow"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113605">
      <w:bodyDiv w:val="1"/>
      <w:marLeft w:val="0"/>
      <w:marRight w:val="0"/>
      <w:marTop w:val="0"/>
      <w:marBottom w:val="0"/>
      <w:divBdr>
        <w:top w:val="none" w:sz="0" w:space="0" w:color="auto"/>
        <w:left w:val="none" w:sz="0" w:space="0" w:color="auto"/>
        <w:bottom w:val="none" w:sz="0" w:space="0" w:color="auto"/>
        <w:right w:val="none" w:sz="0" w:space="0" w:color="auto"/>
      </w:divBdr>
    </w:div>
    <w:div w:id="161081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ashire.gov.uk/children-education-families/schools/school-transport/school-transport-information/?url=https%3A%2F%2Fwww.lancashire.gov.uk%2Fchildren-education-families%2Fschools%2Fschool-transport%2Fschool-transport-information%2F&amp;data=05%7C01%7CRachel.Kinsey%40lancashire.gov.uk%7C06ef113e796741869d1f08dbdb83f5d0%7C9f683e26d8b946099ec4e1a36e4bb4d2%7C0%7C0%7C638345132046949092%7CUnknown%7CTWFpbGZsb3d8eyJWIjoiMC4wLjAwMDAiLCJQIjoiV2luMzIiLCJBTiI6Ik1haWwiLCJXVCI6Mn0%3D%7C3000%7C%7C%7C&amp;sdata=TJOZEM%2F6tCFQdcttAm7WPArhNCV1%2FejE9FOBeV1y5UQ%3D&amp;reserved=0" TargetMode="External"/><Relationship Id="rId3" Type="http://schemas.openxmlformats.org/officeDocument/2006/relationships/webSettings" Target="webSettings.xml"/><Relationship Id="rId7" Type="http://schemas.openxmlformats.org/officeDocument/2006/relationships/hyperlink" Target="https://www.lancashire.gov.uk/children-education-families/schools/school-transport/free-travel-to-and-from-schoo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ncashire.gov.uk/children-education-families/schools/apply-for-a-school-place/starting-secondary-school/" TargetMode="External"/><Relationship Id="rId11" Type="http://schemas.openxmlformats.org/officeDocument/2006/relationships/theme" Target="theme/theme1.xml"/><Relationship Id="rId5" Type="http://schemas.openxmlformats.org/officeDocument/2006/relationships/hyperlink" Target="https://www.lancashire.gov.uk/children-education-families/schools/school-transport/free-travel-to-and-from-school/" TargetMode="External"/><Relationship Id="rId10" Type="http://schemas.openxmlformats.org/officeDocument/2006/relationships/fontTable" Target="fontTable.xml"/><Relationship Id="rId4" Type="http://schemas.openxmlformats.org/officeDocument/2006/relationships/hyperlink" Target="https://www.lancashire.gov.uk/council/strategies-policies-plans/children-education-and-families/school-transport/" TargetMode="External"/><Relationship Id="rId9" Type="http://schemas.openxmlformats.org/officeDocument/2006/relationships/hyperlink" Target="https://www.lancashire.gov.uk/children-education-families/schools/school-transport/school-bus-season-tick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8025, bursar</dc:creator>
  <cp:keywords/>
  <dc:description/>
  <cp:lastModifiedBy>8025, bursar</cp:lastModifiedBy>
  <cp:revision>2</cp:revision>
  <dcterms:created xsi:type="dcterms:W3CDTF">2025-07-11T07:50:00Z</dcterms:created>
  <dcterms:modified xsi:type="dcterms:W3CDTF">2025-07-11T07:52:00Z</dcterms:modified>
</cp:coreProperties>
</file>