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ayout w:type="fixed"/>
        <w:tblLook w:val="04A0" w:firstRow="1" w:lastRow="0" w:firstColumn="1" w:lastColumn="0" w:noHBand="0" w:noVBand="1"/>
      </w:tblPr>
      <w:tblGrid>
        <w:gridCol w:w="685"/>
        <w:gridCol w:w="2284"/>
        <w:gridCol w:w="570"/>
        <w:gridCol w:w="2124"/>
        <w:gridCol w:w="1278"/>
        <w:gridCol w:w="2336"/>
        <w:gridCol w:w="917"/>
      </w:tblGrid>
      <w:tr w:rsidR="00CE380A" w14:paraId="50FDBCBE" w14:textId="77777777" w:rsidTr="00E11D31">
        <w:trPr>
          <w:trHeight w:val="608"/>
        </w:trPr>
        <w:tc>
          <w:tcPr>
            <w:tcW w:w="2969" w:type="dxa"/>
            <w:gridSpan w:val="2"/>
            <w:vAlign w:val="center"/>
          </w:tcPr>
          <w:p w14:paraId="0D508C36" w14:textId="61A6DA1E" w:rsidR="00A03C72" w:rsidRPr="00EC282C" w:rsidRDefault="00D845C0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Curie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661FB328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28CF96FD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917" w:type="dxa"/>
            <w:vAlign w:val="center"/>
          </w:tcPr>
          <w:p w14:paraId="2FEDCDD2" w14:textId="38FB7E3C" w:rsidR="00A03C72" w:rsidRPr="00EC282C" w:rsidRDefault="00892B86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 xml:space="preserve">Spring </w:t>
            </w:r>
            <w:r w:rsidR="00D845C0" w:rsidRPr="00EC282C">
              <w:rPr>
                <w:rFonts w:ascii="Twinkl Cursive Looped" w:hAnsi="Twinkl Cursive Looped"/>
              </w:rPr>
              <w:t xml:space="preserve">Week </w:t>
            </w:r>
            <w:r w:rsidR="00F24040">
              <w:rPr>
                <w:rFonts w:ascii="Twinkl Cursive Looped" w:hAnsi="Twinkl Cursive Looped"/>
              </w:rPr>
              <w:t>7</w:t>
            </w:r>
          </w:p>
        </w:tc>
      </w:tr>
      <w:tr w:rsidR="00CE380A" w14:paraId="5D94F137" w14:textId="77777777" w:rsidTr="00E11D31">
        <w:trPr>
          <w:trHeight w:val="607"/>
        </w:trPr>
        <w:tc>
          <w:tcPr>
            <w:tcW w:w="2969" w:type="dxa"/>
            <w:gridSpan w:val="2"/>
            <w:vAlign w:val="center"/>
          </w:tcPr>
          <w:p w14:paraId="2DB284BA" w14:textId="26DD365D" w:rsidR="00A03C72" w:rsidRPr="00EC282C" w:rsidRDefault="00DD7491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Mixed curriculum</w:t>
            </w:r>
          </w:p>
        </w:tc>
        <w:tc>
          <w:tcPr>
            <w:tcW w:w="2694" w:type="dxa"/>
            <w:gridSpan w:val="2"/>
            <w:vMerge/>
            <w:vAlign w:val="center"/>
          </w:tcPr>
          <w:p w14:paraId="349A9FC6" w14:textId="77777777" w:rsidR="00A03C72" w:rsidRPr="00EC282C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614" w:type="dxa"/>
            <w:gridSpan w:val="2"/>
            <w:vAlign w:val="center"/>
          </w:tcPr>
          <w:p w14:paraId="4EFB3B93" w14:textId="161AA239" w:rsidR="00A03C72" w:rsidRPr="00EC282C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917" w:type="dxa"/>
            <w:vAlign w:val="center"/>
          </w:tcPr>
          <w:p w14:paraId="2AF03E5B" w14:textId="3192A7A3" w:rsidR="00A03C72" w:rsidRPr="00EC282C" w:rsidRDefault="00D845C0" w:rsidP="00806E1A">
            <w:pPr>
              <w:jc w:val="center"/>
              <w:rPr>
                <w:rFonts w:ascii="Twinkl Cursive Looped" w:hAnsi="Twinkl Cursive Looped"/>
              </w:rPr>
            </w:pPr>
            <w:r w:rsidRPr="00EC282C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E11D31">
        <w:trPr>
          <w:trHeight w:val="1207"/>
        </w:trPr>
        <w:tc>
          <w:tcPr>
            <w:tcW w:w="685" w:type="dxa"/>
            <w:vAlign w:val="center"/>
          </w:tcPr>
          <w:p w14:paraId="6989E1AF" w14:textId="0316B750" w:rsidR="00806E1A" w:rsidRPr="00EC282C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509" w:type="dxa"/>
            <w:gridSpan w:val="6"/>
            <w:vAlign w:val="center"/>
          </w:tcPr>
          <w:p w14:paraId="4604E8AF" w14:textId="38108176" w:rsidR="001A24B7" w:rsidRDefault="001A24B7" w:rsidP="001A24B7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color w:val="FF0000"/>
                <w:sz w:val="28"/>
                <w:szCs w:val="28"/>
              </w:rPr>
              <w:t>H</w:t>
            </w:r>
            <w:r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ere is a link from our lovely PE teachers. Choose an activity and a time to suit you. </w:t>
            </w:r>
            <w:hyperlink r:id="rId5" w:tgtFrame="_blank" w:history="1">
              <w:r w:rsidR="005A497A">
                <w:rPr>
                  <w:rStyle w:val="xnormaltextrun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Nursery &amp; Reception PE week 6 link</w:t>
              </w:r>
            </w:hyperlink>
            <w:r w:rsidR="00EF1D73">
              <w:t xml:space="preserve"> </w:t>
            </w:r>
            <w:r w:rsidR="00EF1D73" w:rsidRPr="00DE3997">
              <w:rPr>
                <w:rFonts w:ascii="Twinkl Cursive Looped" w:hAnsi="Twinkl Cursive Looped"/>
                <w:color w:val="FF0000"/>
                <w:sz w:val="28"/>
                <w:szCs w:val="28"/>
              </w:rPr>
              <w:t>and</w:t>
            </w:r>
            <w:r w:rsidR="00EF1D73">
              <w:rPr>
                <w:rFonts w:ascii="Twinkl Cursive Looped" w:hAnsi="Twinkl Cursive Looped"/>
                <w:color w:val="FF0000"/>
                <w:sz w:val="28"/>
                <w:szCs w:val="28"/>
              </w:rPr>
              <w:t xml:space="preserve"> </w:t>
            </w:r>
            <w:hyperlink r:id="rId6" w:tgtFrame="_blank" w:history="1">
              <w:r w:rsidR="00EF1D73">
                <w:rPr>
                  <w:rStyle w:val="xnormaltextrun"/>
                  <w:rFonts w:ascii="Calibri" w:hAnsi="Calibri" w:cs="Calibri"/>
                  <w:color w:val="0563C1"/>
                  <w:bdr w:val="none" w:sz="0" w:space="0" w:color="auto" w:frame="1"/>
                  <w:shd w:val="clear" w:color="auto" w:fill="FFFFFF"/>
                </w:rPr>
                <w:t>EYFS &amp; KS1 Half Term Family pack link</w:t>
              </w:r>
            </w:hyperlink>
          </w:p>
          <w:p w14:paraId="578438D7" w14:textId="77777777" w:rsidR="001A24B7" w:rsidRDefault="001A24B7" w:rsidP="007024E9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</w:p>
          <w:p w14:paraId="3C21481B" w14:textId="29211641" w:rsidR="007024E9" w:rsidRPr="00632B91" w:rsidRDefault="007024E9" w:rsidP="007024E9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Whilst there are lots of lessons for your child to engage with, please remember to provide plenty of time for your child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to enjoy </w:t>
            </w:r>
            <w:r w:rsidR="005441C9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‘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free choice play</w:t>
            </w:r>
            <w:r w:rsidR="005441C9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’</w:t>
            </w:r>
            <w:r w:rsidR="008A2E4E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. It is amazing how much children learn</w:t>
            </w:r>
            <w:r w:rsidR="0080272D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when playing, whether they are role playing different characters</w:t>
            </w:r>
            <w:r w:rsidR="005B52E3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,</w:t>
            </w:r>
            <w:r w:rsidR="0080272D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creating their own narratives with small world play</w:t>
            </w:r>
            <w:r w:rsidR="005B52E3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 xml:space="preserve"> or constructing a </w:t>
            </w:r>
            <w:r w:rsidR="00D544FC" w:rsidRPr="00632B91">
              <w:rPr>
                <w:rFonts w:ascii="Twinkl Cursive Looped" w:hAnsi="Twinkl Cursive Looped"/>
                <w:color w:val="00B050"/>
                <w:sz w:val="24"/>
                <w:szCs w:val="24"/>
              </w:rPr>
              <w:t>masterpiece!</w:t>
            </w:r>
          </w:p>
          <w:p w14:paraId="21955295" w14:textId="24F563A8" w:rsidR="00806E1A" w:rsidRPr="00A03C72" w:rsidRDefault="00EA1AE6" w:rsidP="00EA1AE6">
            <w:pPr>
              <w:jc w:val="center"/>
              <w:rPr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2E4E48" w:rsidRPr="00A03C72" w14:paraId="703FE4CA" w14:textId="77777777" w:rsidTr="00E11D31">
        <w:trPr>
          <w:cantSplit/>
          <w:trHeight w:val="2061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2854" w:type="dxa"/>
            <w:gridSpan w:val="2"/>
            <w:vAlign w:val="center"/>
          </w:tcPr>
          <w:p w14:paraId="5945E39C" w14:textId="77777777" w:rsidR="002E4E48" w:rsidRDefault="002E4E48" w:rsidP="002E4E48">
            <w:pPr>
              <w:jc w:val="center"/>
            </w:pPr>
          </w:p>
          <w:p w14:paraId="0A389B9B" w14:textId="4C4E6CA5" w:rsidR="00F24040" w:rsidRDefault="000310CC" w:rsidP="002E4E48">
            <w:pPr>
              <w:jc w:val="center"/>
            </w:pPr>
            <w:hyperlink r:id="rId7" w:history="1">
              <w:r w:rsidR="00F24040" w:rsidRPr="009269BB">
                <w:rPr>
                  <w:rStyle w:val="Hyperlink"/>
                </w:rPr>
                <w:t>https://whiterosemaths.com/homelearning/early-years/building-9-10-week-2/</w:t>
              </w:r>
            </w:hyperlink>
          </w:p>
          <w:p w14:paraId="2B52A2F4" w14:textId="4045EFAC" w:rsidR="002E4E48" w:rsidRPr="009322B1" w:rsidRDefault="00A73A9F" w:rsidP="002E4E48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Session 1 – </w:t>
            </w:r>
            <w:r w:rsidR="00F24040">
              <w:rPr>
                <w:rFonts w:ascii="Twinkl Cursive Looped" w:hAnsi="Twinkl Cursive Looped"/>
                <w:sz w:val="24"/>
                <w:szCs w:val="24"/>
              </w:rPr>
              <w:t>Counting back from 10</w:t>
            </w:r>
          </w:p>
        </w:tc>
        <w:tc>
          <w:tcPr>
            <w:tcW w:w="3402" w:type="dxa"/>
            <w:gridSpan w:val="2"/>
            <w:vAlign w:val="center"/>
          </w:tcPr>
          <w:p w14:paraId="582982A5" w14:textId="77777777" w:rsidR="00F77F71" w:rsidRDefault="00F77F71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67F2B79" w14:textId="77777777" w:rsidR="00F77F71" w:rsidRDefault="00F77F71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94895ED" w14:textId="4B6BA0C8" w:rsidR="00751410" w:rsidRDefault="000310CC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F24040" w:rsidRPr="009269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https://classroom.thenational.academy/lessons/to-listen-and-join-in-with-a-recount-75j6ar</w:t>
              </w:r>
            </w:hyperlink>
          </w:p>
          <w:p w14:paraId="2022B046" w14:textId="77777777" w:rsidR="00F24040" w:rsidRDefault="00F24040" w:rsidP="002E4E48">
            <w:pPr>
              <w:jc w:val="center"/>
            </w:pPr>
          </w:p>
          <w:p w14:paraId="1C423D4A" w14:textId="7E217A49" w:rsidR="007423DF" w:rsidRPr="00FD3E8D" w:rsidRDefault="007423DF" w:rsidP="002E4E48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654909D1" w14:textId="4D4E336E" w:rsidR="00026E7D" w:rsidRDefault="000310CC" w:rsidP="00026E7D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0F3143" w:rsidRPr="009269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https://classroom.thenational.academy/lessons/to-understand-the-difference-between-hot-and-cold-6cukcr</w:t>
              </w:r>
            </w:hyperlink>
          </w:p>
          <w:p w14:paraId="30CAD451" w14:textId="0C2E3F8F" w:rsidR="000F3143" w:rsidRPr="006C62D8" w:rsidRDefault="000F3143" w:rsidP="00026E7D">
            <w:pPr>
              <w:jc w:val="center"/>
              <w:rPr>
                <w:rFonts w:ascii="Twinkl Cursive Looped" w:hAnsi="Twinkl Cursive Looped"/>
                <w:b/>
                <w:bCs/>
              </w:rPr>
            </w:pPr>
          </w:p>
        </w:tc>
      </w:tr>
      <w:tr w:rsidR="002E4E48" w:rsidRPr="00A03C72" w14:paraId="3564D6C7" w14:textId="77777777" w:rsidTr="00E11D31">
        <w:trPr>
          <w:cantSplit/>
          <w:trHeight w:val="1923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2854" w:type="dxa"/>
            <w:gridSpan w:val="2"/>
            <w:vAlign w:val="center"/>
          </w:tcPr>
          <w:p w14:paraId="7A125905" w14:textId="6915285A" w:rsidR="00F24040" w:rsidRDefault="000310CC" w:rsidP="002E4E48">
            <w:pPr>
              <w:jc w:val="center"/>
            </w:pPr>
            <w:hyperlink r:id="rId10" w:history="1">
              <w:r w:rsidR="00F24040" w:rsidRPr="009269BB">
                <w:rPr>
                  <w:rStyle w:val="Hyperlink"/>
                </w:rPr>
                <w:t>https://whiterosemaths.com/homelearning/early-years/building-9-10-week-2/</w:t>
              </w:r>
            </w:hyperlink>
          </w:p>
          <w:p w14:paraId="29827C6F" w14:textId="6C50DB24" w:rsidR="002E4E48" w:rsidRPr="009322B1" w:rsidRDefault="00A73A9F" w:rsidP="002E4E48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Session 2 – </w:t>
            </w:r>
            <w:r w:rsidR="00F24040">
              <w:rPr>
                <w:rFonts w:ascii="Twinkl Cursive Looped" w:hAnsi="Twinkl Cursive Looped"/>
                <w:sz w:val="24"/>
                <w:szCs w:val="24"/>
              </w:rPr>
              <w:t>Comparing numbers within 10</w:t>
            </w:r>
          </w:p>
        </w:tc>
        <w:tc>
          <w:tcPr>
            <w:tcW w:w="3402" w:type="dxa"/>
            <w:gridSpan w:val="2"/>
            <w:vAlign w:val="center"/>
          </w:tcPr>
          <w:p w14:paraId="15A6BE9F" w14:textId="16B3A764" w:rsidR="00751410" w:rsidRDefault="000310CC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F24040" w:rsidRPr="009269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https://classroom.thenational.academy/lessons/to-map-and-speak-a-recount-6mtk8t</w:t>
              </w:r>
            </w:hyperlink>
          </w:p>
          <w:p w14:paraId="0DEC79B5" w14:textId="0F0032BA" w:rsidR="00F24040" w:rsidRPr="00FD3E8D" w:rsidRDefault="00F24040" w:rsidP="002E4E48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4D195824" w14:textId="7A8C34D8" w:rsidR="00026E7D" w:rsidRDefault="000310CC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0F3143" w:rsidRPr="009269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https://classroom.thenational.academy/lessons/to-understand-how-humans-react-differently-to-hot-and-cold-6tj32d</w:t>
              </w:r>
            </w:hyperlink>
          </w:p>
          <w:p w14:paraId="5E35149E" w14:textId="4C17EE2F" w:rsidR="000F3143" w:rsidRPr="00FD3E8D" w:rsidRDefault="000F3143" w:rsidP="002E4E48">
            <w:pPr>
              <w:jc w:val="center"/>
            </w:pPr>
          </w:p>
        </w:tc>
      </w:tr>
      <w:tr w:rsidR="002E4E48" w:rsidRPr="00A03C72" w14:paraId="00483533" w14:textId="77777777" w:rsidTr="00E11D31">
        <w:trPr>
          <w:cantSplit/>
          <w:trHeight w:val="2055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2854" w:type="dxa"/>
            <w:gridSpan w:val="2"/>
            <w:vAlign w:val="center"/>
          </w:tcPr>
          <w:p w14:paraId="17BA1853" w14:textId="7AF506BC" w:rsidR="00F24040" w:rsidRDefault="000310CC" w:rsidP="002E4E48">
            <w:pPr>
              <w:jc w:val="center"/>
            </w:pPr>
            <w:hyperlink r:id="rId13" w:history="1">
              <w:r w:rsidR="00F24040" w:rsidRPr="009269BB">
                <w:rPr>
                  <w:rStyle w:val="Hyperlink"/>
                </w:rPr>
                <w:t>https://whiterosemaths.com/homelearning/early-years/building-9-10-week-2/</w:t>
              </w:r>
            </w:hyperlink>
          </w:p>
          <w:p w14:paraId="5C8F3F38" w14:textId="7A14708B" w:rsidR="002E4E48" w:rsidRPr="00FD3E8D" w:rsidRDefault="00A73A9F" w:rsidP="002E4E48">
            <w:pPr>
              <w:jc w:val="center"/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Session 3 – </w:t>
            </w:r>
            <w:r w:rsidR="00F24040">
              <w:rPr>
                <w:rFonts w:ascii="Twinkl Cursive Looped" w:hAnsi="Twinkl Cursive Looped"/>
                <w:sz w:val="24"/>
                <w:szCs w:val="24"/>
              </w:rPr>
              <w:t>Comparing numbers within 10</w:t>
            </w:r>
          </w:p>
        </w:tc>
        <w:tc>
          <w:tcPr>
            <w:tcW w:w="3402" w:type="dxa"/>
            <w:gridSpan w:val="2"/>
            <w:vAlign w:val="center"/>
          </w:tcPr>
          <w:p w14:paraId="22FEADBE" w14:textId="4B8D83A5" w:rsidR="00751410" w:rsidRDefault="000310CC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F24040" w:rsidRPr="009269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https://classroom.thenational.academy/lessons/to-step-and-speak-a-recount-c8tkje</w:t>
              </w:r>
            </w:hyperlink>
          </w:p>
          <w:p w14:paraId="7E792D2B" w14:textId="6F22BECD" w:rsidR="00F24040" w:rsidRPr="00FD3E8D" w:rsidRDefault="00F24040" w:rsidP="002E4E48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3A8AAF33" w14:textId="0778C5CD" w:rsidR="00026E7D" w:rsidRDefault="000310CC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0F3143" w:rsidRPr="009269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https://classroom.thenational.academy/lessons/to-name-things-that-you-can-see-outside-in-winter-c4t3ec</w:t>
              </w:r>
            </w:hyperlink>
          </w:p>
          <w:p w14:paraId="7B1C1B17" w14:textId="6FD431E2" w:rsidR="000F3143" w:rsidRPr="00FD3E8D" w:rsidRDefault="000F3143" w:rsidP="002E4E48">
            <w:pPr>
              <w:jc w:val="center"/>
            </w:pPr>
          </w:p>
        </w:tc>
      </w:tr>
      <w:tr w:rsidR="002E4E48" w:rsidRPr="00A03C72" w14:paraId="12281523" w14:textId="77777777" w:rsidTr="00E11D31">
        <w:trPr>
          <w:cantSplit/>
          <w:trHeight w:val="1970"/>
        </w:trPr>
        <w:tc>
          <w:tcPr>
            <w:tcW w:w="685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2854" w:type="dxa"/>
            <w:gridSpan w:val="2"/>
            <w:vAlign w:val="center"/>
          </w:tcPr>
          <w:p w14:paraId="3E35A7F7" w14:textId="13D7590D" w:rsidR="00F24040" w:rsidRDefault="000310CC" w:rsidP="002E4E48">
            <w:pPr>
              <w:jc w:val="center"/>
            </w:pPr>
            <w:hyperlink r:id="rId16" w:history="1">
              <w:r w:rsidR="00F24040" w:rsidRPr="009269BB">
                <w:rPr>
                  <w:rStyle w:val="Hyperlink"/>
                </w:rPr>
                <w:t>https://whiterosemaths.com/homelearning/early-years/building-9-10-week-2/</w:t>
              </w:r>
            </w:hyperlink>
          </w:p>
          <w:p w14:paraId="6B0E5E95" w14:textId="2E2BA43C" w:rsidR="002E4E48" w:rsidRPr="00FD3E8D" w:rsidRDefault="00A73A9F" w:rsidP="002E4E48">
            <w:pPr>
              <w:jc w:val="center"/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Session 4 – </w:t>
            </w:r>
            <w:r w:rsidR="00F24040">
              <w:rPr>
                <w:rFonts w:ascii="Twinkl Cursive Looped" w:hAnsi="Twinkl Cursive Looped"/>
                <w:sz w:val="24"/>
                <w:szCs w:val="24"/>
              </w:rPr>
              <w:t>Making 10</w:t>
            </w:r>
          </w:p>
        </w:tc>
        <w:tc>
          <w:tcPr>
            <w:tcW w:w="3402" w:type="dxa"/>
            <w:gridSpan w:val="2"/>
            <w:vAlign w:val="center"/>
          </w:tcPr>
          <w:p w14:paraId="36208661" w14:textId="7C5F4D3B" w:rsidR="00751410" w:rsidRDefault="000310CC" w:rsidP="002E4E48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F24040" w:rsidRPr="009269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https://classroom.thenational.academy/lessons/to-explore-a-recounted-piece-through-song-cgt3at</w:t>
              </w:r>
            </w:hyperlink>
          </w:p>
          <w:p w14:paraId="214F6128" w14:textId="572B6076" w:rsidR="00F24040" w:rsidRPr="00FD3E8D" w:rsidRDefault="00F24040" w:rsidP="002E4E48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7C920012" w14:textId="1E80FA9D" w:rsidR="00E60763" w:rsidRPr="008B109D" w:rsidRDefault="00456D9D" w:rsidP="00E60763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Can you make a collage of a winter scene? What materials can you use from around the house?</w:t>
            </w:r>
          </w:p>
          <w:p w14:paraId="44086C1B" w14:textId="456D3405" w:rsidR="00026E7D" w:rsidRPr="00FD3E8D" w:rsidRDefault="00026E7D" w:rsidP="002E4E48">
            <w:pPr>
              <w:jc w:val="center"/>
            </w:pPr>
          </w:p>
        </w:tc>
      </w:tr>
      <w:tr w:rsidR="002E4E48" w:rsidRPr="00A03C72" w14:paraId="5D751299" w14:textId="77777777" w:rsidTr="00E11D31">
        <w:trPr>
          <w:cantSplit/>
          <w:trHeight w:val="2258"/>
        </w:trPr>
        <w:tc>
          <w:tcPr>
            <w:tcW w:w="685" w:type="dxa"/>
            <w:textDirection w:val="btLr"/>
            <w:vAlign w:val="center"/>
          </w:tcPr>
          <w:p w14:paraId="26BFA493" w14:textId="533826B0" w:rsidR="002E4E48" w:rsidRPr="00EC282C" w:rsidRDefault="002E4E48" w:rsidP="002E4E48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EC282C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2854" w:type="dxa"/>
            <w:gridSpan w:val="2"/>
            <w:vAlign w:val="center"/>
          </w:tcPr>
          <w:p w14:paraId="7CE92738" w14:textId="68EA75D6" w:rsidR="00F24040" w:rsidRDefault="000310CC" w:rsidP="000D7189">
            <w:pPr>
              <w:jc w:val="center"/>
            </w:pPr>
            <w:hyperlink r:id="rId18" w:history="1">
              <w:r w:rsidR="00F24040" w:rsidRPr="009269BB">
                <w:rPr>
                  <w:rStyle w:val="Hyperlink"/>
                </w:rPr>
                <w:t>https://whiterosemaths.com/homelearning/early-years/building-9-10-week-2/</w:t>
              </w:r>
            </w:hyperlink>
          </w:p>
          <w:p w14:paraId="3B62F0E9" w14:textId="7FC135D1" w:rsidR="002E4E48" w:rsidRPr="00FD3E8D" w:rsidRDefault="00A73A9F" w:rsidP="000D7189">
            <w:pPr>
              <w:jc w:val="center"/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Session 5 – </w:t>
            </w:r>
            <w:r w:rsidR="00F24040">
              <w:rPr>
                <w:rFonts w:ascii="Twinkl Cursive Looped" w:hAnsi="Twinkl Cursive Looped"/>
                <w:sz w:val="24"/>
                <w:szCs w:val="24"/>
              </w:rPr>
              <w:t>Making 10</w:t>
            </w:r>
          </w:p>
        </w:tc>
        <w:tc>
          <w:tcPr>
            <w:tcW w:w="3402" w:type="dxa"/>
            <w:gridSpan w:val="2"/>
            <w:vAlign w:val="center"/>
          </w:tcPr>
          <w:p w14:paraId="0DB668FE" w14:textId="1FE96098" w:rsidR="00751410" w:rsidRDefault="000310CC" w:rsidP="00F77F71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F24040" w:rsidRPr="009269B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https://classroom.thenational.academy/lessons/to-use-role-play-to-deepen-understanding-crvk4c</w:t>
              </w:r>
            </w:hyperlink>
          </w:p>
          <w:p w14:paraId="5DC0E26D" w14:textId="323A9D6F" w:rsidR="00F24040" w:rsidRPr="00FD3E8D" w:rsidRDefault="00F24040" w:rsidP="00F77F71">
            <w:pPr>
              <w:jc w:val="center"/>
            </w:pPr>
          </w:p>
        </w:tc>
        <w:tc>
          <w:tcPr>
            <w:tcW w:w="3253" w:type="dxa"/>
            <w:gridSpan w:val="2"/>
            <w:vAlign w:val="center"/>
          </w:tcPr>
          <w:p w14:paraId="684941FA" w14:textId="458C977B" w:rsidR="0021560F" w:rsidRPr="000310CC" w:rsidRDefault="000310CC" w:rsidP="000310CC">
            <w:pPr>
              <w:rPr>
                <w:rFonts w:ascii="Twinkl Cursive Looped" w:hAnsi="Twinkl Cursive Looped" w:cs="Arial"/>
                <w:color w:val="434343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Now you have made some artwork, try looking at the different pieces of artwork in the PowerPoint ‘Inspirational Art to Explore’. They are  made in a variety of ways by different artists. Answer the questions about each piece of art. You could discuss them with somebody at home.</w:t>
            </w:r>
          </w:p>
        </w:tc>
      </w:tr>
    </w:tbl>
    <w:p w14:paraId="0BF4FA72" w14:textId="70ADF535" w:rsidR="000B4891" w:rsidRDefault="000B4891" w:rsidP="00EF1D73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03287"/>
    <w:multiLevelType w:val="hybridMultilevel"/>
    <w:tmpl w:val="4C84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26E7D"/>
    <w:rsid w:val="000310CC"/>
    <w:rsid w:val="00083372"/>
    <w:rsid w:val="000B4891"/>
    <w:rsid w:val="000D7189"/>
    <w:rsid w:val="000F3143"/>
    <w:rsid w:val="00144B3F"/>
    <w:rsid w:val="0017096C"/>
    <w:rsid w:val="001777F6"/>
    <w:rsid w:val="001A24B7"/>
    <w:rsid w:val="001B7979"/>
    <w:rsid w:val="001C434D"/>
    <w:rsid w:val="001D6CF2"/>
    <w:rsid w:val="001F5410"/>
    <w:rsid w:val="00201CE1"/>
    <w:rsid w:val="0021560F"/>
    <w:rsid w:val="0024152C"/>
    <w:rsid w:val="002B49A9"/>
    <w:rsid w:val="002D0DB8"/>
    <w:rsid w:val="002E4E48"/>
    <w:rsid w:val="00321AB5"/>
    <w:rsid w:val="003227F3"/>
    <w:rsid w:val="00334EB2"/>
    <w:rsid w:val="00354EDE"/>
    <w:rsid w:val="003C2174"/>
    <w:rsid w:val="0045599C"/>
    <w:rsid w:val="00456D9D"/>
    <w:rsid w:val="004774A4"/>
    <w:rsid w:val="004A6317"/>
    <w:rsid w:val="004D6342"/>
    <w:rsid w:val="005441C9"/>
    <w:rsid w:val="005845C9"/>
    <w:rsid w:val="005A497A"/>
    <w:rsid w:val="005B52E3"/>
    <w:rsid w:val="005B72DD"/>
    <w:rsid w:val="005C57DF"/>
    <w:rsid w:val="00632B91"/>
    <w:rsid w:val="006C62D8"/>
    <w:rsid w:val="006E15A4"/>
    <w:rsid w:val="007024E9"/>
    <w:rsid w:val="007224D8"/>
    <w:rsid w:val="007423DF"/>
    <w:rsid w:val="00751410"/>
    <w:rsid w:val="007D62AF"/>
    <w:rsid w:val="0080272D"/>
    <w:rsid w:val="00806E1A"/>
    <w:rsid w:val="00875439"/>
    <w:rsid w:val="00892B86"/>
    <w:rsid w:val="008A2E4E"/>
    <w:rsid w:val="008C7E40"/>
    <w:rsid w:val="009072C6"/>
    <w:rsid w:val="009309AE"/>
    <w:rsid w:val="009322B1"/>
    <w:rsid w:val="009A40E3"/>
    <w:rsid w:val="009B2F34"/>
    <w:rsid w:val="009B794B"/>
    <w:rsid w:val="009C28E1"/>
    <w:rsid w:val="009C5738"/>
    <w:rsid w:val="00A03C72"/>
    <w:rsid w:val="00A73A9F"/>
    <w:rsid w:val="00BA7D94"/>
    <w:rsid w:val="00BB0A08"/>
    <w:rsid w:val="00BB233C"/>
    <w:rsid w:val="00C417B1"/>
    <w:rsid w:val="00CE1741"/>
    <w:rsid w:val="00CE380A"/>
    <w:rsid w:val="00CF4F1C"/>
    <w:rsid w:val="00D03ECC"/>
    <w:rsid w:val="00D04310"/>
    <w:rsid w:val="00D23492"/>
    <w:rsid w:val="00D544FC"/>
    <w:rsid w:val="00D845C0"/>
    <w:rsid w:val="00D96287"/>
    <w:rsid w:val="00DD7491"/>
    <w:rsid w:val="00E11D31"/>
    <w:rsid w:val="00E457E0"/>
    <w:rsid w:val="00E60763"/>
    <w:rsid w:val="00E9497D"/>
    <w:rsid w:val="00E958C1"/>
    <w:rsid w:val="00EA1AE6"/>
    <w:rsid w:val="00EB28B7"/>
    <w:rsid w:val="00EC282C"/>
    <w:rsid w:val="00EC5894"/>
    <w:rsid w:val="00EF1D73"/>
    <w:rsid w:val="00F24040"/>
    <w:rsid w:val="00F77F71"/>
    <w:rsid w:val="00F866AC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customStyle="1" w:styleId="xnormaltextrun">
    <w:name w:val="x_normaltextrun"/>
    <w:basedOn w:val="DefaultParagraphFont"/>
    <w:rsid w:val="001A24B7"/>
  </w:style>
  <w:style w:type="character" w:styleId="FollowedHyperlink">
    <w:name w:val="FollowedHyperlink"/>
    <w:basedOn w:val="DefaultParagraphFont"/>
    <w:uiPriority w:val="99"/>
    <w:semiHidden/>
    <w:unhideWhenUsed/>
    <w:rsid w:val="007423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listen-and-join-in-with-a-recount-75j6ar" TargetMode="External"/><Relationship Id="rId13" Type="http://schemas.openxmlformats.org/officeDocument/2006/relationships/hyperlink" Target="https://whiterosemaths.com/homelearning/early-years/building-9-10-week-2/" TargetMode="External"/><Relationship Id="rId18" Type="http://schemas.openxmlformats.org/officeDocument/2006/relationships/hyperlink" Target="https://whiterosemaths.com/homelearning/early-years/building-9-10-week-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early-years/building-9-10-week-2/" TargetMode="External"/><Relationship Id="rId12" Type="http://schemas.openxmlformats.org/officeDocument/2006/relationships/hyperlink" Target="https://classroom.thenational.academy/lessons/to-understand-how-humans-react-differently-to-hot-and-cold-6tj32d" TargetMode="External"/><Relationship Id="rId17" Type="http://schemas.openxmlformats.org/officeDocument/2006/relationships/hyperlink" Target="https://classroom.thenational.academy/lessons/to-explore-a-recounted-piece-through-song-cgt3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hiterosemaths.com/homelearning/early-years/building-9-10-week-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nITtih9Ts2jIHnZySB6KiE8UITEMBVz9" TargetMode="External"/><Relationship Id="rId11" Type="http://schemas.openxmlformats.org/officeDocument/2006/relationships/hyperlink" Target="https://classroom.thenational.academy/lessons/to-map-and-speak-a-recount-6mtk8t" TargetMode="External"/><Relationship Id="rId5" Type="http://schemas.openxmlformats.org/officeDocument/2006/relationships/hyperlink" Target="https://drive.google.com/drive/folders/1_4m2UYzf39UHdtCBoTOhEBb89Lc_MBjh" TargetMode="External"/><Relationship Id="rId15" Type="http://schemas.openxmlformats.org/officeDocument/2006/relationships/hyperlink" Target="https://classroom.thenational.academy/lessons/to-name-things-that-you-can-see-outside-in-winter-c4t3ec" TargetMode="External"/><Relationship Id="rId10" Type="http://schemas.openxmlformats.org/officeDocument/2006/relationships/hyperlink" Target="https://whiterosemaths.com/homelearning/early-years/building-9-10-week-2/" TargetMode="External"/><Relationship Id="rId19" Type="http://schemas.openxmlformats.org/officeDocument/2006/relationships/hyperlink" Target="https://classroom.thenational.academy/lessons/to-use-role-play-to-deepen-understanding-crvk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understand-the-difference-between-hot-and-cold-6cukcr" TargetMode="External"/><Relationship Id="rId14" Type="http://schemas.openxmlformats.org/officeDocument/2006/relationships/hyperlink" Target="https://classroom.thenational.academy/lessons/to-step-and-speak-a-recount-c8tk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10</cp:revision>
  <dcterms:created xsi:type="dcterms:W3CDTF">2021-02-10T20:54:00Z</dcterms:created>
  <dcterms:modified xsi:type="dcterms:W3CDTF">2021-02-12T14:55:00Z</dcterms:modified>
</cp:coreProperties>
</file>