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D64C016"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11F28">
        <w:t xml:space="preserve"> – Downs Infant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0836F7A" w:rsidR="002940F3" w:rsidRDefault="002B5DB7" w:rsidP="00C31636">
            <w:pPr>
              <w:pStyle w:val="TableRow"/>
              <w:ind w:left="0" w:right="0"/>
            </w:pPr>
            <w:r>
              <w:t>324</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6BF33C0" w:rsidR="002940F3" w:rsidRDefault="002B5DB7" w:rsidP="00C31636">
            <w:pPr>
              <w:pStyle w:val="TableRow"/>
              <w:ind w:left="0" w:right="0"/>
            </w:pPr>
            <w:r>
              <w:t xml:space="preserve">14.2% </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2F1B27" w14:textId="77777777" w:rsidR="002B5DB7" w:rsidRDefault="002B5DB7" w:rsidP="00C31636">
            <w:pPr>
              <w:pStyle w:val="TableRow"/>
              <w:ind w:left="0" w:right="0"/>
            </w:pPr>
            <w:r>
              <w:t xml:space="preserve">2024-2025 </w:t>
            </w:r>
          </w:p>
          <w:p w14:paraId="78B30963" w14:textId="77777777" w:rsidR="002940F3" w:rsidRDefault="002B5DB7" w:rsidP="00C31636">
            <w:pPr>
              <w:pStyle w:val="TableRow"/>
              <w:ind w:left="0" w:right="0"/>
            </w:pPr>
            <w:r>
              <w:t>2025-2026</w:t>
            </w:r>
          </w:p>
          <w:p w14:paraId="2A7D54BF" w14:textId="37C4E9C9" w:rsidR="002B5DB7" w:rsidRDefault="002B5DB7" w:rsidP="00C31636">
            <w:pPr>
              <w:pStyle w:val="TableRow"/>
              <w:ind w:left="0" w:right="0"/>
            </w:pPr>
            <w:r>
              <w:t>2026-2027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3A5EDED" w:rsidR="002940F3" w:rsidRDefault="002B5DB7" w:rsidP="00C31636">
            <w:pPr>
              <w:pStyle w:val="TableRow"/>
              <w:ind w:left="0" w:right="0"/>
            </w:pPr>
            <w:r>
              <w:t>03/03/25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D55B3C5" w:rsidR="002940F3" w:rsidRDefault="002B5DB7" w:rsidP="00C31636">
            <w:pPr>
              <w:pStyle w:val="TableRow"/>
              <w:ind w:left="0" w:right="0"/>
            </w:pPr>
            <w:r>
              <w:t>03/03/26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89830F9" w:rsidR="002940F3" w:rsidRDefault="002406AC" w:rsidP="00C31636">
            <w:pPr>
              <w:pStyle w:val="TableRow"/>
              <w:ind w:left="0" w:right="0"/>
            </w:pPr>
            <w:r>
              <w:t>Lisa Walker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15D6244" w:rsidR="002940F3" w:rsidRDefault="002406AC" w:rsidP="00C31636">
            <w:pPr>
              <w:pStyle w:val="TableRow"/>
              <w:ind w:left="0" w:right="0"/>
            </w:pPr>
            <w:r>
              <w:t>Lisa Walker</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7AEAAED" w:rsidR="002940F3" w:rsidRDefault="002406AC" w:rsidP="00C31636">
            <w:pPr>
              <w:pStyle w:val="TableRow"/>
              <w:ind w:left="0" w:right="0"/>
            </w:pPr>
            <w:r>
              <w:t xml:space="preserve">Tony Fallowfield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08AEC03" w:rsidR="00E66558" w:rsidRDefault="009D71E8" w:rsidP="00C31636">
            <w:pPr>
              <w:pStyle w:val="TableRow"/>
              <w:ind w:left="0" w:right="0"/>
            </w:pPr>
            <w:r>
              <w:t>£</w:t>
            </w:r>
            <w:r w:rsidR="002B5DB7">
              <w:t>68,943 + £17,990</w:t>
            </w:r>
          </w:p>
        </w:tc>
      </w:tr>
      <w:tr w:rsidR="002B5DB7" w14:paraId="64970703"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F44A5F" w14:textId="635A3971" w:rsidR="002B5DB7" w:rsidRDefault="002B5DB7" w:rsidP="00C31636">
            <w:pPr>
              <w:pStyle w:val="TableRow"/>
              <w:ind w:left="0" w:right="0"/>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D5F7FB" w14:textId="5AB03870" w:rsidR="002B5DB7" w:rsidRDefault="002B5DB7" w:rsidP="00C31636">
            <w:pPr>
              <w:pStyle w:val="TableRow"/>
              <w:ind w:left="0" w:right="0"/>
            </w:pPr>
            <w:r>
              <w:t>£1,921</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38B4FBA" w:rsidR="00E66558" w:rsidRDefault="009D71E8" w:rsidP="00C31636">
            <w:pPr>
              <w:pStyle w:val="TableRow"/>
              <w:ind w:left="0" w:right="0"/>
            </w:pPr>
            <w:r>
              <w:t>£</w:t>
            </w:r>
            <w:r w:rsidR="002B5DB7">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C85C26C" w:rsidR="00E66558" w:rsidRDefault="009D71E8" w:rsidP="00C31636">
            <w:pPr>
              <w:pStyle w:val="TableRow"/>
              <w:ind w:left="0" w:right="0"/>
            </w:pPr>
            <w:r>
              <w:t>£</w:t>
            </w:r>
            <w:r w:rsidR="002B5DB7">
              <w:t>88,854</w:t>
            </w:r>
          </w:p>
        </w:tc>
      </w:tr>
    </w:tbl>
    <w:p w14:paraId="2A7D54E4" w14:textId="77777777" w:rsidR="00E66558" w:rsidRDefault="009D71E8">
      <w:pPr>
        <w:pStyle w:val="Heading1"/>
      </w:pPr>
      <w:r>
        <w:lastRenderedPageBreak/>
        <w:t>Part A: Pupil premium strategy plan</w:t>
      </w:r>
    </w:p>
    <w:p w14:paraId="2A7D54E5" w14:textId="4245AF45"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CCE3" w14:textId="4F3724DC" w:rsidR="007C0614" w:rsidRPr="002406AC" w:rsidRDefault="007C0614" w:rsidP="007C0614">
            <w:pPr>
              <w:rPr>
                <w:sz w:val="22"/>
              </w:rPr>
            </w:pPr>
            <w:r w:rsidRPr="002406AC">
              <w:rPr>
                <w:sz w:val="22"/>
              </w:rPr>
              <w:t xml:space="preserve">At Downs Infant School we strive for all our pupils to achieve their potential. We firmly believe that, as an infant school, our primary purpose is to give children a positive and age appropriate early experience of education so that they develop a love of learning and a positive ongoing engagement with school. </w:t>
            </w:r>
          </w:p>
          <w:p w14:paraId="3EE8359E" w14:textId="0D3CF60F" w:rsidR="007C0614" w:rsidRPr="002406AC" w:rsidRDefault="007C0614" w:rsidP="007C0614">
            <w:pPr>
              <w:rPr>
                <w:sz w:val="22"/>
              </w:rPr>
            </w:pPr>
            <w:r w:rsidRPr="002406AC">
              <w:rPr>
                <w:sz w:val="22"/>
              </w:rPr>
              <w:t>We also want all children to have developed the characteristics of learning they will need to be resilient learners as they go to their next stage of education. Research shows this can and does seem to operate as a kind of safety net for disadvantaged children. Where their better off peers benefit from support from their families, access to resources and opportunities and culture that protect them from the consequences of failure or bad decisions, disadvantaged children need more grit, more social intelligence and more self-control and belief than wealthier children (</w:t>
            </w:r>
            <w:r w:rsidRPr="002406AC">
              <w:rPr>
                <w:i/>
                <w:sz w:val="22"/>
              </w:rPr>
              <w:t>Paul Tough in How Children Succeed</w:t>
            </w:r>
            <w:r w:rsidRPr="002406AC">
              <w:rPr>
                <w:sz w:val="22"/>
              </w:rPr>
              <w:t xml:space="preserve">). </w:t>
            </w:r>
          </w:p>
          <w:p w14:paraId="36EEA6B2" w14:textId="0231AA0A" w:rsidR="007C0614" w:rsidRPr="002406AC" w:rsidRDefault="007C0614" w:rsidP="007C0614">
            <w:pPr>
              <w:rPr>
                <w:sz w:val="22"/>
              </w:rPr>
            </w:pPr>
            <w:r w:rsidRPr="002406AC">
              <w:rPr>
                <w:sz w:val="22"/>
              </w:rPr>
              <w:t xml:space="preserve">In order to be able to respond to pupils’ needs in a flexible way, we allocate a significant proportion of this additional funding to keeping a good adult/child ratio for both learning and pastoral purposes. This enables us to ensure that we address the bottom layers of </w:t>
            </w:r>
            <w:r w:rsidRPr="002406AC">
              <w:rPr>
                <w:i/>
                <w:sz w:val="22"/>
              </w:rPr>
              <w:t>Maslow’s Hierarchy of Need</w:t>
            </w:r>
            <w:r w:rsidR="002406AC" w:rsidRPr="002406AC">
              <w:rPr>
                <w:i/>
                <w:sz w:val="22"/>
              </w:rPr>
              <w:t>s</w:t>
            </w:r>
            <w:r w:rsidR="002406AC" w:rsidRPr="00FF4689">
              <w:rPr>
                <w:b/>
                <w:i/>
                <w:sz w:val="22"/>
              </w:rPr>
              <w:t>*</w:t>
            </w:r>
            <w:r w:rsidRPr="002406AC">
              <w:rPr>
                <w:i/>
                <w:sz w:val="22"/>
              </w:rPr>
              <w:t xml:space="preserve"> </w:t>
            </w:r>
            <w:r w:rsidRPr="002406AC">
              <w:rPr>
                <w:sz w:val="22"/>
              </w:rPr>
              <w:t>which are the base on which to build the academic learning.</w:t>
            </w:r>
          </w:p>
          <w:p w14:paraId="6D155360" w14:textId="6BB941B7" w:rsidR="007C0614" w:rsidRPr="002406AC" w:rsidRDefault="002406AC" w:rsidP="007C0614">
            <w:pPr>
              <w:rPr>
                <w:sz w:val="22"/>
              </w:rPr>
            </w:pPr>
            <w:r>
              <w:rPr>
                <w:sz w:val="22"/>
              </w:rPr>
              <w:t>In terms of learning, we believe that</w:t>
            </w:r>
            <w:r w:rsidR="007C0614" w:rsidRPr="002406AC">
              <w:rPr>
                <w:sz w:val="22"/>
              </w:rPr>
              <w:t xml:space="preserve"> learning to read is the gateway into </w:t>
            </w:r>
            <w:r>
              <w:rPr>
                <w:sz w:val="22"/>
              </w:rPr>
              <w:t xml:space="preserve">successful access to ongoing learning. Our </w:t>
            </w:r>
            <w:r w:rsidR="007C0614" w:rsidRPr="002406AC">
              <w:rPr>
                <w:sz w:val="22"/>
              </w:rPr>
              <w:t>primary interventions are therefore around phonics (including phonological awareness a</w:t>
            </w:r>
            <w:r>
              <w:rPr>
                <w:sz w:val="22"/>
              </w:rPr>
              <w:t>nd accurate production of sound), with the aim of ensuring that all children leave us as confident readers</w:t>
            </w:r>
            <w:r w:rsidR="007C0614" w:rsidRPr="002406AC">
              <w:rPr>
                <w:sz w:val="22"/>
              </w:rPr>
              <w:t>.</w:t>
            </w:r>
          </w:p>
          <w:p w14:paraId="2D740AFA" w14:textId="27D5B033" w:rsidR="007C0614" w:rsidRPr="002406AC" w:rsidRDefault="007C0614" w:rsidP="007C0614">
            <w:pPr>
              <w:rPr>
                <w:sz w:val="22"/>
              </w:rPr>
            </w:pPr>
            <w:r w:rsidRPr="002406AC">
              <w:rPr>
                <w:sz w:val="22"/>
              </w:rPr>
              <w:t>In identifying pupils for intervention, we are led firstly by the needs of the pupils, and prioritise those children eligible for pupil premium for these interventions. We are also mindful of the need for children not to be overwhelmed with intervention. As a result of both these principles, not all children eligible for the pupil premium will be in receipt of interventions</w:t>
            </w:r>
            <w:r w:rsidR="00FF4689">
              <w:rPr>
                <w:sz w:val="22"/>
              </w:rPr>
              <w:t>,</w:t>
            </w:r>
            <w:r w:rsidRPr="002406AC">
              <w:rPr>
                <w:sz w:val="22"/>
              </w:rPr>
              <w:t xml:space="preserve"> all of the time. Other children who are not currently eligible for the pupil premium may also</w:t>
            </w:r>
            <w:r w:rsidR="00FF4689">
              <w:rPr>
                <w:sz w:val="22"/>
              </w:rPr>
              <w:t xml:space="preserve"> </w:t>
            </w:r>
            <w:r w:rsidRPr="002406AC">
              <w:rPr>
                <w:sz w:val="22"/>
              </w:rPr>
              <w:t xml:space="preserve">receive interventions. </w:t>
            </w:r>
          </w:p>
          <w:p w14:paraId="0A351AB9" w14:textId="31E785D2" w:rsidR="007C0614" w:rsidRPr="002406AC" w:rsidRDefault="009306FB" w:rsidP="007C0614">
            <w:pPr>
              <w:rPr>
                <w:sz w:val="22"/>
              </w:rPr>
            </w:pPr>
            <w:r w:rsidRPr="00FF4689">
              <w:rPr>
                <w:b/>
                <w:noProof/>
              </w:rPr>
              <w:drawing>
                <wp:anchor distT="0" distB="0" distL="114300" distR="114300" simplePos="0" relativeHeight="251660288" behindDoc="0" locked="0" layoutInCell="1" allowOverlap="1" wp14:anchorId="0E89BD5E" wp14:editId="243ED0ED">
                  <wp:simplePos x="0" y="0"/>
                  <wp:positionH relativeFrom="column">
                    <wp:posOffset>532130</wp:posOffset>
                  </wp:positionH>
                  <wp:positionV relativeFrom="paragraph">
                    <wp:posOffset>295615</wp:posOffset>
                  </wp:positionV>
                  <wp:extent cx="3400425" cy="2402500"/>
                  <wp:effectExtent l="0" t="0" r="0" b="0"/>
                  <wp:wrapSquare wrapText="bothSides"/>
                  <wp:docPr id="2" name="Picture 2" descr="Maslow's Hierarchy of Needs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low's Hierarchy of Needs Pyrami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1488" cy="2403251"/>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14" w:rsidRPr="002406AC">
              <w:rPr>
                <w:sz w:val="22"/>
              </w:rPr>
              <w:t>In reporting on impact, we are mindful of not identifying individuals.</w:t>
            </w:r>
          </w:p>
          <w:p w14:paraId="517D9847" w14:textId="535B313C" w:rsidR="002406AC" w:rsidRDefault="002406AC" w:rsidP="007C0614"/>
          <w:p w14:paraId="2A7D54E9" w14:textId="1D71CD8E" w:rsidR="002406AC" w:rsidRPr="00FF4689" w:rsidRDefault="002406AC" w:rsidP="007C0614">
            <w:pPr>
              <w:rPr>
                <w:b/>
                <w:i/>
                <w:iCs/>
              </w:rPr>
            </w:pPr>
            <w:r w:rsidRPr="00FF4689">
              <w:rPr>
                <w:b/>
              </w:rPr>
              <w:t>*</w:t>
            </w:r>
          </w:p>
        </w:tc>
      </w:tr>
    </w:tbl>
    <w:p w14:paraId="2A7D54EB" w14:textId="77777777" w:rsidR="00E66558" w:rsidRDefault="009D71E8">
      <w:pPr>
        <w:pStyle w:val="Heading2"/>
        <w:spacing w:before="600"/>
      </w:pPr>
      <w:r>
        <w:lastRenderedPageBreak/>
        <w:t>Challenges</w:t>
      </w:r>
    </w:p>
    <w:p w14:paraId="2A7D54EC" w14:textId="6F0AF927" w:rsidR="00E66558" w:rsidRDefault="007C0614" w:rsidP="00AA355B">
      <w:r>
        <w:t>This section details the key challenges to achievement that we have identified among our disadvantaged pupils. We have identified these needs through observation, discussions with parents and carers, looking at data, and discussions with staff and governors.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F1EF" w14:textId="77777777" w:rsidR="007C0614" w:rsidRPr="007C0614" w:rsidRDefault="007C0614" w:rsidP="00C31636">
            <w:pPr>
              <w:pStyle w:val="TableRowCentered"/>
              <w:ind w:left="0" w:right="0"/>
              <w:jc w:val="left"/>
              <w:rPr>
                <w:b/>
              </w:rPr>
            </w:pPr>
            <w:r w:rsidRPr="007C0614">
              <w:rPr>
                <w:b/>
              </w:rPr>
              <w:t xml:space="preserve">Attendance </w:t>
            </w:r>
          </w:p>
          <w:p w14:paraId="2A7D54F1" w14:textId="2806D757" w:rsidR="00E66558" w:rsidRDefault="007C0614" w:rsidP="00C31636">
            <w:pPr>
              <w:pStyle w:val="TableRowCentered"/>
              <w:ind w:left="0" w:right="0"/>
              <w:jc w:val="left"/>
            </w:pPr>
            <w:r>
              <w:t>Pupils eligible for pupil premium are disproportionately represented in our persistent absence numbers. They are also the children who tend to take more time getting ready for learning in the mornings and so therefore miss the first inputs of the day, or our early morning activities.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8AB68" w14:textId="77777777" w:rsidR="007C0614" w:rsidRPr="007C0614" w:rsidRDefault="007C0614" w:rsidP="00C31636">
            <w:pPr>
              <w:pStyle w:val="TableRowCentered"/>
              <w:ind w:left="0" w:right="0"/>
              <w:jc w:val="left"/>
              <w:rPr>
                <w:b/>
              </w:rPr>
            </w:pPr>
            <w:r w:rsidRPr="007C0614">
              <w:rPr>
                <w:b/>
              </w:rPr>
              <w:t xml:space="preserve">Social and Emotional Needs, including the development of the Characteristics of Effective Learning </w:t>
            </w:r>
          </w:p>
          <w:p w14:paraId="2A7D54F4" w14:textId="468605B8" w:rsidR="00E66558" w:rsidRDefault="001F7057" w:rsidP="00C31636">
            <w:pPr>
              <w:pStyle w:val="TableRowCentered"/>
              <w:ind w:left="0" w:right="0"/>
              <w:jc w:val="left"/>
              <w:rPr>
                <w:sz w:val="22"/>
                <w:szCs w:val="22"/>
              </w:rPr>
            </w:pPr>
            <w:r>
              <w:t>Many p</w:t>
            </w:r>
            <w:r w:rsidR="007C0614">
              <w:t>upils eligible for the pupil premium plus present with some significant</w:t>
            </w:r>
            <w:r>
              <w:t xml:space="preserve"> social and emotional needs. Some of our</w:t>
            </w:r>
            <w:r w:rsidR="007C0614">
              <w:t xml:space="preserve"> disadvantaged children struggle more with friendships and their parents tell us they are worried about being included in social events such as parties and play dates. Disadvantaged pupils are sometimes less resilient and able to persevere, but this is not consistent ove</w:t>
            </w:r>
            <w:r>
              <w:t>r all groups and all contexts. F</w:t>
            </w:r>
            <w:r w:rsidR="007C0614">
              <w:t>or example, some children are able to demonstrate these skills in fields where they already have some mastery such as making and modelling.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82D20" w14:textId="77777777" w:rsidR="007C0614" w:rsidRPr="007C0614" w:rsidRDefault="007C0614" w:rsidP="00C31636">
            <w:pPr>
              <w:pStyle w:val="TableRowCentered"/>
              <w:ind w:left="0" w:right="0"/>
              <w:jc w:val="left"/>
              <w:rPr>
                <w:b/>
              </w:rPr>
            </w:pPr>
            <w:r w:rsidRPr="007C0614">
              <w:rPr>
                <w:b/>
              </w:rPr>
              <w:t xml:space="preserve">Literacy and Language </w:t>
            </w:r>
          </w:p>
          <w:p w14:paraId="2A7D54F7" w14:textId="0F54F643" w:rsidR="00E66558" w:rsidRDefault="007C0614" w:rsidP="00C31636">
            <w:pPr>
              <w:pStyle w:val="TableRowCentered"/>
              <w:ind w:left="0" w:right="0"/>
              <w:jc w:val="left"/>
              <w:rPr>
                <w:sz w:val="22"/>
                <w:szCs w:val="22"/>
              </w:rPr>
            </w:pPr>
            <w:r>
              <w:t>Our ‘bottom 20%’ of pupils in reading and phonics are disproportionately those eligible for the pupil premium in all year groups. Pupils who are disadvantaged display less confidence with new vocabulary, and with speaking and listening. Observations of carpet time reveal that they are less likely to engage with talk partners in ways that promote good outcomes.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56E74" w14:textId="77777777" w:rsidR="007C0614" w:rsidRPr="007C0614" w:rsidRDefault="007C0614" w:rsidP="00C31636">
            <w:pPr>
              <w:pStyle w:val="TableRowCentered"/>
              <w:ind w:left="0" w:right="0"/>
              <w:jc w:val="left"/>
              <w:rPr>
                <w:b/>
              </w:rPr>
            </w:pPr>
            <w:r w:rsidRPr="007C0614">
              <w:rPr>
                <w:b/>
              </w:rPr>
              <w:t xml:space="preserve">Home-school Relationships </w:t>
            </w:r>
          </w:p>
          <w:p w14:paraId="2A7D54FA" w14:textId="70C0BF34" w:rsidR="00E66558" w:rsidRPr="00D545C7" w:rsidRDefault="007C0614" w:rsidP="00D545C7">
            <w:pPr>
              <w:suppressAutoHyphens w:val="0"/>
              <w:spacing w:after="0" w:line="240" w:lineRule="auto"/>
              <w:rPr>
                <w:szCs w:val="20"/>
              </w:rPr>
            </w:pPr>
            <w:r>
              <w:t xml:space="preserve">Pupils not eligible for the pupil premium are better represented at parent workshops and meetings than those eligible for PP. Some parents of pupils </w:t>
            </w:r>
            <w:r w:rsidRPr="00D545C7">
              <w:rPr>
                <w:szCs w:val="20"/>
              </w:rPr>
              <w:t>eligible for the pupil premium report negative experiences of their own schooling.</w:t>
            </w:r>
            <w:r w:rsidR="00D545C7" w:rsidRPr="00D545C7">
              <w:rPr>
                <w:szCs w:val="20"/>
              </w:rPr>
              <w:t xml:space="preserve"> As an infant school, we are the first school experience for many families, some of whom have cited adverse school experiences of their own. We therefore work hard to gain the trust and 'buy in' from these families.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671B" w14:textId="77777777" w:rsidR="007C0614" w:rsidRPr="007C0614" w:rsidRDefault="007C0614" w:rsidP="00C31636">
            <w:pPr>
              <w:pStyle w:val="TableRowCentered"/>
              <w:ind w:left="0" w:right="0"/>
              <w:jc w:val="left"/>
              <w:rPr>
                <w:b/>
              </w:rPr>
            </w:pPr>
            <w:r w:rsidRPr="007C0614">
              <w:rPr>
                <w:b/>
              </w:rPr>
              <w:t xml:space="preserve">Overlap with SEND </w:t>
            </w:r>
          </w:p>
          <w:p w14:paraId="2A7D54FD" w14:textId="409D5C26" w:rsidR="00E66558" w:rsidRDefault="007C0614" w:rsidP="00C31636">
            <w:pPr>
              <w:pStyle w:val="TableRowCentered"/>
              <w:ind w:left="0" w:right="0"/>
              <w:jc w:val="left"/>
              <w:rPr>
                <w:iCs/>
                <w:sz w:val="22"/>
              </w:rPr>
            </w:pPr>
            <w:r>
              <w:t>There is a significant overlap of our SEN</w:t>
            </w:r>
            <w:r w:rsidR="003D4CEA">
              <w:t>D</w:t>
            </w:r>
            <w:r>
              <w:t xml:space="preserve"> and pupil premium groups. Pupils eligible for pupil premium who also have SEND are less likely than their peers to achieve age related expectations.</w:t>
            </w:r>
          </w:p>
        </w:tc>
      </w:tr>
    </w:tbl>
    <w:p w14:paraId="2A7D54FF" w14:textId="77777777" w:rsidR="00E66558" w:rsidRDefault="009D71E8">
      <w:pPr>
        <w:pStyle w:val="Heading2"/>
        <w:spacing w:before="600"/>
      </w:pPr>
      <w:r>
        <w:lastRenderedPageBreak/>
        <w:t xml:space="preserve">Intended </w:t>
      </w:r>
      <w:r w:rsidRPr="00A968DA">
        <w:t>outcomes</w:t>
      </w:r>
      <w:r>
        <w:t xml:space="preserve"> </w:t>
      </w:r>
    </w:p>
    <w:p w14:paraId="2A7D5500" w14:textId="6396B53B"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r w:rsidR="007C0614">
        <w:rPr>
          <w:color w:val="auto"/>
        </w:rPr>
        <w:t xml:space="preserve"> </w:t>
      </w:r>
      <w:r w:rsidR="007C0614" w:rsidRPr="00D442CA">
        <w:rPr>
          <w:color w:val="00B050"/>
        </w:rPr>
        <w:t>Coloured annotations show progress towards these outcomes during this academic year (2024-2025).</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CF1572E" w:rsidR="00E66558" w:rsidRPr="00D442CA" w:rsidRDefault="007C0614" w:rsidP="003D4CEA">
            <w:pPr>
              <w:pStyle w:val="TableRow"/>
              <w:ind w:left="0" w:right="0"/>
            </w:pPr>
            <w:r w:rsidRPr="00D442CA">
              <w:t xml:space="preserve">To ensure that by the end of KS1, children eligible for the pupil premium </w:t>
            </w:r>
            <w:r w:rsidR="003D4CEA" w:rsidRPr="00D442CA">
              <w:t>who have no Special Educational Needs and/or Disabilities (SEND)</w:t>
            </w:r>
            <w:r w:rsidRPr="00D442CA">
              <w:t>, ac</w:t>
            </w:r>
            <w:r w:rsidR="003D4CEA" w:rsidRPr="00D442CA">
              <w:t>hieve in line with national non-</w:t>
            </w:r>
            <w:r w:rsidRPr="00D442CA">
              <w:t>pupil premium children in phonics and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B96CF" w14:textId="7619D174" w:rsidR="007C0614" w:rsidRPr="00D442CA" w:rsidRDefault="003D4CEA" w:rsidP="00C31636">
            <w:pPr>
              <w:pStyle w:val="TableRowCentered"/>
              <w:ind w:left="0" w:right="0"/>
              <w:jc w:val="left"/>
            </w:pPr>
            <w:r w:rsidRPr="00D442CA">
              <w:t>Termly data indicates 78</w:t>
            </w:r>
            <w:r w:rsidR="007C0614" w:rsidRPr="00D442CA">
              <w:t xml:space="preserve">% of pupils on track in phonics and reading. Data from reading interventions shows accelerated progress. </w:t>
            </w:r>
          </w:p>
          <w:p w14:paraId="3C5D485D" w14:textId="77777777" w:rsidR="007C0614" w:rsidRPr="00D442CA" w:rsidRDefault="007C0614" w:rsidP="00C31636">
            <w:pPr>
              <w:pStyle w:val="TableRowCentered"/>
              <w:ind w:left="0" w:right="0"/>
              <w:jc w:val="left"/>
              <w:rPr>
                <w:color w:val="FF0000"/>
              </w:rPr>
            </w:pPr>
          </w:p>
          <w:p w14:paraId="0FB4E644" w14:textId="18709EE4" w:rsidR="007C0614" w:rsidRPr="00D442CA" w:rsidRDefault="0005493F" w:rsidP="00C31636">
            <w:pPr>
              <w:pStyle w:val="TableRowCentered"/>
              <w:ind w:left="0" w:right="0"/>
              <w:jc w:val="left"/>
              <w:rPr>
                <w:b/>
                <w:color w:val="00B050"/>
                <w:sz w:val="20"/>
              </w:rPr>
            </w:pPr>
            <w:r>
              <w:rPr>
                <w:b/>
                <w:color w:val="00B050"/>
                <w:sz w:val="20"/>
              </w:rPr>
              <w:t>Spring 2025</w:t>
            </w:r>
            <w:r w:rsidR="007C0614" w:rsidRPr="00D442CA">
              <w:rPr>
                <w:b/>
                <w:color w:val="00B050"/>
                <w:sz w:val="20"/>
              </w:rPr>
              <w:t xml:space="preserve"> DIS PP data: </w:t>
            </w:r>
          </w:p>
          <w:p w14:paraId="01153766" w14:textId="25CA4C38" w:rsidR="003D4CEA" w:rsidRPr="00D442CA" w:rsidRDefault="003D4CEA" w:rsidP="00C31636">
            <w:pPr>
              <w:pStyle w:val="TableRowCentered"/>
              <w:ind w:left="0" w:right="0"/>
              <w:jc w:val="left"/>
              <w:rPr>
                <w:color w:val="00B050"/>
                <w:sz w:val="20"/>
              </w:rPr>
            </w:pPr>
          </w:p>
          <w:p w14:paraId="0E785B2F" w14:textId="0F71C423" w:rsidR="003D4CEA" w:rsidRPr="00D442CA" w:rsidRDefault="003D4CEA" w:rsidP="003D4CEA">
            <w:pPr>
              <w:pStyle w:val="TableRowCentered"/>
              <w:ind w:left="0" w:right="0"/>
              <w:jc w:val="left"/>
              <w:rPr>
                <w:b/>
                <w:color w:val="00B050"/>
                <w:sz w:val="20"/>
              </w:rPr>
            </w:pPr>
            <w:r w:rsidRPr="00D442CA">
              <w:rPr>
                <w:b/>
                <w:color w:val="00B050"/>
                <w:sz w:val="20"/>
              </w:rPr>
              <w:t xml:space="preserve">Reception (11 children) </w:t>
            </w:r>
          </w:p>
          <w:p w14:paraId="3A4ED8DD" w14:textId="17E13CBD" w:rsidR="003D4CEA" w:rsidRPr="00D442CA" w:rsidRDefault="003D4CEA" w:rsidP="00D442CA">
            <w:pPr>
              <w:pStyle w:val="TableRowCentered"/>
              <w:numPr>
                <w:ilvl w:val="0"/>
                <w:numId w:val="20"/>
              </w:numPr>
              <w:ind w:right="0"/>
              <w:jc w:val="left"/>
              <w:rPr>
                <w:color w:val="00B050"/>
                <w:sz w:val="20"/>
              </w:rPr>
            </w:pPr>
            <w:r w:rsidRPr="00D442CA">
              <w:rPr>
                <w:color w:val="00B050"/>
                <w:sz w:val="20"/>
              </w:rPr>
              <w:t xml:space="preserve">45% on track with phonics </w:t>
            </w:r>
          </w:p>
          <w:p w14:paraId="5CDABAC0" w14:textId="78ECBC68" w:rsidR="003D4CEA" w:rsidRPr="00D442CA" w:rsidRDefault="003D4CEA" w:rsidP="00D442CA">
            <w:pPr>
              <w:pStyle w:val="TableRowCentered"/>
              <w:numPr>
                <w:ilvl w:val="0"/>
                <w:numId w:val="20"/>
              </w:numPr>
              <w:ind w:right="0"/>
              <w:jc w:val="left"/>
              <w:rPr>
                <w:color w:val="00B050"/>
                <w:sz w:val="20"/>
              </w:rPr>
            </w:pPr>
            <w:r w:rsidRPr="00D442CA">
              <w:rPr>
                <w:color w:val="00B050"/>
                <w:sz w:val="20"/>
              </w:rPr>
              <w:t>45% on track with reading (book bands)</w:t>
            </w:r>
          </w:p>
          <w:p w14:paraId="713BE1E9" w14:textId="77777777" w:rsidR="003D4CEA" w:rsidRPr="00D442CA" w:rsidRDefault="003D4CEA" w:rsidP="003D4CEA">
            <w:pPr>
              <w:pStyle w:val="TableRowCentered"/>
              <w:ind w:left="0" w:right="0"/>
              <w:jc w:val="left"/>
              <w:rPr>
                <w:color w:val="00B050"/>
                <w:sz w:val="20"/>
              </w:rPr>
            </w:pPr>
          </w:p>
          <w:p w14:paraId="3659F101" w14:textId="42C3FD87" w:rsidR="007C0614" w:rsidRPr="00D442CA" w:rsidRDefault="003D4CEA" w:rsidP="00C31636">
            <w:pPr>
              <w:pStyle w:val="TableRowCentered"/>
              <w:ind w:left="0" w:right="0"/>
              <w:jc w:val="left"/>
              <w:rPr>
                <w:color w:val="00B050"/>
                <w:sz w:val="20"/>
              </w:rPr>
            </w:pPr>
            <w:r w:rsidRPr="00D442CA">
              <w:rPr>
                <w:color w:val="00B050"/>
                <w:sz w:val="20"/>
              </w:rPr>
              <w:t>Year 1 (13</w:t>
            </w:r>
            <w:r w:rsidR="007C0614" w:rsidRPr="00D442CA">
              <w:rPr>
                <w:color w:val="00B050"/>
                <w:sz w:val="20"/>
              </w:rPr>
              <w:t xml:space="preserve"> children) </w:t>
            </w:r>
          </w:p>
          <w:p w14:paraId="36A9D7EF" w14:textId="77777777"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50% on track with reading (book bands)</w:t>
            </w:r>
          </w:p>
          <w:p w14:paraId="62668267" w14:textId="77777777"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29% working towards in reading (book bands)</w:t>
            </w:r>
          </w:p>
          <w:p w14:paraId="24A0AA6A" w14:textId="0766AAB7"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14% below in reading (book bands)</w:t>
            </w:r>
          </w:p>
          <w:p w14:paraId="7E4A1811" w14:textId="0E74745C" w:rsidR="007C0614" w:rsidRPr="00D442CA" w:rsidRDefault="003D4CEA" w:rsidP="00D442CA">
            <w:pPr>
              <w:pStyle w:val="TableRowCentered"/>
              <w:numPr>
                <w:ilvl w:val="0"/>
                <w:numId w:val="18"/>
              </w:numPr>
              <w:ind w:left="360" w:right="0"/>
              <w:jc w:val="left"/>
              <w:rPr>
                <w:color w:val="00B050"/>
                <w:sz w:val="20"/>
              </w:rPr>
            </w:pPr>
            <w:r w:rsidRPr="00D442CA">
              <w:rPr>
                <w:color w:val="00B050"/>
                <w:sz w:val="20"/>
              </w:rPr>
              <w:t>21</w:t>
            </w:r>
            <w:r w:rsidR="007C0614" w:rsidRPr="00D442CA">
              <w:rPr>
                <w:color w:val="00B050"/>
                <w:sz w:val="20"/>
              </w:rPr>
              <w:t xml:space="preserve">% on track with writing </w:t>
            </w:r>
          </w:p>
          <w:p w14:paraId="4D63CA4D" w14:textId="1D5C8AC0" w:rsidR="007C0614" w:rsidRPr="00D442CA" w:rsidRDefault="00D442CA" w:rsidP="00D442CA">
            <w:pPr>
              <w:pStyle w:val="TableRowCentered"/>
              <w:numPr>
                <w:ilvl w:val="0"/>
                <w:numId w:val="18"/>
              </w:numPr>
              <w:ind w:left="360" w:right="0"/>
              <w:jc w:val="left"/>
              <w:rPr>
                <w:color w:val="00B050"/>
                <w:sz w:val="20"/>
              </w:rPr>
            </w:pPr>
            <w:r w:rsidRPr="00D442CA">
              <w:rPr>
                <w:color w:val="00B050"/>
                <w:sz w:val="20"/>
              </w:rPr>
              <w:t>21</w:t>
            </w:r>
            <w:r w:rsidR="007C0614" w:rsidRPr="00D442CA">
              <w:rPr>
                <w:color w:val="00B050"/>
                <w:sz w:val="20"/>
              </w:rPr>
              <w:t xml:space="preserve">% </w:t>
            </w:r>
            <w:r w:rsidRPr="00D442CA">
              <w:rPr>
                <w:color w:val="00B050"/>
                <w:sz w:val="20"/>
              </w:rPr>
              <w:t>working towards in</w:t>
            </w:r>
            <w:r w:rsidR="007C0614" w:rsidRPr="00D442CA">
              <w:rPr>
                <w:color w:val="00B050"/>
                <w:sz w:val="20"/>
              </w:rPr>
              <w:t xml:space="preserve"> writing </w:t>
            </w:r>
          </w:p>
          <w:p w14:paraId="3D1BC807" w14:textId="444367C0"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50</w:t>
            </w:r>
            <w:r w:rsidR="007C0614" w:rsidRPr="00D442CA">
              <w:rPr>
                <w:color w:val="00B050"/>
                <w:sz w:val="20"/>
              </w:rPr>
              <w:t xml:space="preserve">% below on writing </w:t>
            </w:r>
          </w:p>
          <w:p w14:paraId="1C4457BD" w14:textId="76FDA3F1" w:rsidR="007C0614" w:rsidRPr="00D442CA" w:rsidRDefault="00D442CA" w:rsidP="00D442CA">
            <w:pPr>
              <w:pStyle w:val="TableRowCentered"/>
              <w:numPr>
                <w:ilvl w:val="0"/>
                <w:numId w:val="18"/>
              </w:numPr>
              <w:ind w:left="360" w:right="0"/>
              <w:jc w:val="left"/>
              <w:rPr>
                <w:color w:val="00B050"/>
                <w:sz w:val="20"/>
              </w:rPr>
            </w:pPr>
            <w:r w:rsidRPr="00D442CA">
              <w:rPr>
                <w:color w:val="00B050"/>
                <w:sz w:val="20"/>
              </w:rPr>
              <w:t>29</w:t>
            </w:r>
            <w:r w:rsidR="007C0614" w:rsidRPr="00D442CA">
              <w:rPr>
                <w:color w:val="00B050"/>
                <w:sz w:val="20"/>
              </w:rPr>
              <w:t xml:space="preserve">% on track with reading (phonics) </w:t>
            </w:r>
          </w:p>
          <w:p w14:paraId="0F593C35" w14:textId="4C7390C9" w:rsidR="007C0614" w:rsidRPr="00D442CA" w:rsidRDefault="00D442CA" w:rsidP="00D442CA">
            <w:pPr>
              <w:pStyle w:val="TableRowCentered"/>
              <w:numPr>
                <w:ilvl w:val="0"/>
                <w:numId w:val="18"/>
              </w:numPr>
              <w:ind w:left="360" w:right="0"/>
              <w:jc w:val="left"/>
              <w:rPr>
                <w:color w:val="00B050"/>
                <w:sz w:val="20"/>
              </w:rPr>
            </w:pPr>
            <w:r w:rsidRPr="00D442CA">
              <w:rPr>
                <w:color w:val="00B050"/>
                <w:sz w:val="20"/>
              </w:rPr>
              <w:t>36</w:t>
            </w:r>
            <w:r w:rsidR="007C0614" w:rsidRPr="00D442CA">
              <w:rPr>
                <w:color w:val="00B050"/>
                <w:sz w:val="20"/>
              </w:rPr>
              <w:t xml:space="preserve">% above with reading (phonics) </w:t>
            </w:r>
          </w:p>
          <w:p w14:paraId="4A550C60" w14:textId="77777777"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21</w:t>
            </w:r>
            <w:r w:rsidR="007C0614" w:rsidRPr="00D442CA">
              <w:rPr>
                <w:color w:val="00B050"/>
                <w:sz w:val="20"/>
              </w:rPr>
              <w:t xml:space="preserve">% </w:t>
            </w:r>
            <w:r w:rsidRPr="00D442CA">
              <w:rPr>
                <w:color w:val="00B050"/>
                <w:sz w:val="20"/>
              </w:rPr>
              <w:t>working towards in</w:t>
            </w:r>
            <w:r w:rsidR="007C0614" w:rsidRPr="00D442CA">
              <w:rPr>
                <w:color w:val="00B050"/>
                <w:sz w:val="20"/>
              </w:rPr>
              <w:t xml:space="preserve"> reading (phonics) </w:t>
            </w:r>
          </w:p>
          <w:p w14:paraId="0D33AA40" w14:textId="7AB3B478" w:rsidR="007C0614" w:rsidRPr="00D442CA" w:rsidRDefault="00D442CA" w:rsidP="00D442CA">
            <w:pPr>
              <w:pStyle w:val="TableRowCentered"/>
              <w:numPr>
                <w:ilvl w:val="0"/>
                <w:numId w:val="18"/>
              </w:numPr>
              <w:ind w:left="360" w:right="0"/>
              <w:jc w:val="left"/>
              <w:rPr>
                <w:color w:val="00B050"/>
                <w:sz w:val="20"/>
              </w:rPr>
            </w:pPr>
            <w:r w:rsidRPr="00D442CA">
              <w:rPr>
                <w:color w:val="00B050"/>
                <w:sz w:val="20"/>
              </w:rPr>
              <w:t>7</w:t>
            </w:r>
            <w:r w:rsidR="007C0614" w:rsidRPr="00D442CA">
              <w:rPr>
                <w:color w:val="00B050"/>
                <w:sz w:val="20"/>
              </w:rPr>
              <w:t xml:space="preserve">% below with reading (phonics) </w:t>
            </w:r>
          </w:p>
          <w:p w14:paraId="51B7AC28" w14:textId="77777777" w:rsidR="007C0614" w:rsidRPr="00D442CA" w:rsidRDefault="007C0614" w:rsidP="00C31636">
            <w:pPr>
              <w:pStyle w:val="TableRowCentered"/>
              <w:ind w:left="0" w:right="0"/>
              <w:jc w:val="left"/>
              <w:rPr>
                <w:color w:val="FF0000"/>
              </w:rPr>
            </w:pPr>
          </w:p>
          <w:p w14:paraId="69B516B3" w14:textId="356E9162" w:rsidR="007C0614" w:rsidRPr="00D442CA" w:rsidRDefault="00D442CA" w:rsidP="00C31636">
            <w:pPr>
              <w:pStyle w:val="TableRowCentered"/>
              <w:ind w:left="0" w:right="0"/>
              <w:jc w:val="left"/>
              <w:rPr>
                <w:b/>
                <w:color w:val="00B050"/>
                <w:sz w:val="20"/>
              </w:rPr>
            </w:pPr>
            <w:r w:rsidRPr="00D442CA">
              <w:rPr>
                <w:b/>
                <w:color w:val="00B050"/>
                <w:sz w:val="20"/>
              </w:rPr>
              <w:t>Year 2 (21</w:t>
            </w:r>
            <w:r w:rsidR="007C0614" w:rsidRPr="00D442CA">
              <w:rPr>
                <w:b/>
                <w:color w:val="00B050"/>
                <w:sz w:val="20"/>
              </w:rPr>
              <w:t xml:space="preserve"> children) </w:t>
            </w:r>
          </w:p>
          <w:p w14:paraId="4D736A8B" w14:textId="725720E5"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33% on track with reading (book bands)</w:t>
            </w:r>
          </w:p>
          <w:p w14:paraId="1395D66C" w14:textId="7EADBB66"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10% above with reading (book bands)</w:t>
            </w:r>
          </w:p>
          <w:p w14:paraId="5FCB3AE6" w14:textId="140745E7"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24% working towards in reading (book bands)</w:t>
            </w:r>
          </w:p>
          <w:p w14:paraId="129F72AF" w14:textId="117ECE41"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33% below in reading (book bands)</w:t>
            </w:r>
          </w:p>
          <w:p w14:paraId="09FF50FC" w14:textId="50B147F7"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 xml:space="preserve">24% on track with writing </w:t>
            </w:r>
          </w:p>
          <w:p w14:paraId="22D289DF" w14:textId="7D8FA53C"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 xml:space="preserve">43% working towards in writing </w:t>
            </w:r>
          </w:p>
          <w:p w14:paraId="01FFFDF1" w14:textId="47BD49C2"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 xml:space="preserve">33% below on writing </w:t>
            </w:r>
          </w:p>
          <w:p w14:paraId="54BDB66E" w14:textId="2E12DB84"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 xml:space="preserve">62% on track with reading (phonics) </w:t>
            </w:r>
          </w:p>
          <w:p w14:paraId="3228039F" w14:textId="00B1FFB0" w:rsidR="00D442CA" w:rsidRPr="00D442CA" w:rsidRDefault="00D442CA" w:rsidP="00D442CA">
            <w:pPr>
              <w:pStyle w:val="TableRowCentered"/>
              <w:numPr>
                <w:ilvl w:val="0"/>
                <w:numId w:val="18"/>
              </w:numPr>
              <w:ind w:left="360" w:right="0"/>
              <w:jc w:val="left"/>
              <w:rPr>
                <w:color w:val="00B050"/>
                <w:sz w:val="20"/>
              </w:rPr>
            </w:pPr>
            <w:r w:rsidRPr="00D442CA">
              <w:rPr>
                <w:color w:val="00B050"/>
                <w:sz w:val="20"/>
              </w:rPr>
              <w:t xml:space="preserve">14% working towards in reading (phonics) </w:t>
            </w:r>
          </w:p>
          <w:p w14:paraId="5E0CD31F" w14:textId="08900348" w:rsidR="007C0614" w:rsidRPr="00364B0C" w:rsidRDefault="00D442CA" w:rsidP="00364B0C">
            <w:pPr>
              <w:pStyle w:val="TableRowCentered"/>
              <w:numPr>
                <w:ilvl w:val="0"/>
                <w:numId w:val="18"/>
              </w:numPr>
              <w:ind w:left="360" w:right="0"/>
              <w:jc w:val="left"/>
              <w:rPr>
                <w:color w:val="00B050"/>
                <w:sz w:val="20"/>
              </w:rPr>
            </w:pPr>
            <w:r w:rsidRPr="00D442CA">
              <w:rPr>
                <w:color w:val="00B050"/>
                <w:sz w:val="20"/>
              </w:rPr>
              <w:t xml:space="preserve">24% below with reading (phonics) </w:t>
            </w:r>
          </w:p>
          <w:p w14:paraId="1A2928D1" w14:textId="57DEED21" w:rsidR="0005493F" w:rsidRDefault="0005493F" w:rsidP="0005493F">
            <w:pPr>
              <w:pStyle w:val="TableRowCentered"/>
              <w:ind w:left="0" w:right="0"/>
              <w:jc w:val="left"/>
              <w:rPr>
                <w:sz w:val="22"/>
                <w:szCs w:val="22"/>
              </w:rPr>
            </w:pPr>
          </w:p>
          <w:p w14:paraId="1E3C01AD" w14:textId="77777777" w:rsidR="0005493F" w:rsidRDefault="0005493F" w:rsidP="0005493F">
            <w:pPr>
              <w:pStyle w:val="TableRowCentered"/>
              <w:ind w:left="0" w:right="0"/>
              <w:jc w:val="left"/>
              <w:rPr>
                <w:b/>
                <w:color w:val="00B050"/>
                <w:sz w:val="20"/>
              </w:rPr>
            </w:pPr>
          </w:p>
          <w:p w14:paraId="380F8AA1" w14:textId="3E5686FA" w:rsidR="0005493F" w:rsidRDefault="0005493F" w:rsidP="0005493F">
            <w:pPr>
              <w:pStyle w:val="TableRowCentered"/>
              <w:ind w:left="0" w:right="0"/>
              <w:jc w:val="left"/>
              <w:rPr>
                <w:b/>
                <w:color w:val="00B050"/>
                <w:sz w:val="20"/>
              </w:rPr>
            </w:pPr>
            <w:r>
              <w:rPr>
                <w:b/>
                <w:color w:val="00B050"/>
                <w:sz w:val="20"/>
              </w:rPr>
              <w:t>Case study 1 –</w:t>
            </w:r>
            <w:r w:rsidR="00920911">
              <w:rPr>
                <w:b/>
                <w:color w:val="00B050"/>
                <w:sz w:val="20"/>
              </w:rPr>
              <w:t xml:space="preserve"> CL -</w:t>
            </w:r>
            <w:r>
              <w:rPr>
                <w:b/>
                <w:color w:val="00B050"/>
                <w:sz w:val="20"/>
              </w:rPr>
              <w:t xml:space="preserve"> Y2 girl PP, EAL:</w:t>
            </w:r>
          </w:p>
          <w:p w14:paraId="26B94CFB" w14:textId="0473CCF3" w:rsidR="000E0C52" w:rsidRPr="0005493F" w:rsidRDefault="0005493F" w:rsidP="0005493F">
            <w:pPr>
              <w:pStyle w:val="TableRowCentered"/>
              <w:ind w:left="0" w:right="0"/>
              <w:jc w:val="left"/>
              <w:rPr>
                <w:color w:val="00B050"/>
                <w:sz w:val="20"/>
              </w:rPr>
            </w:pPr>
            <w:r w:rsidRPr="0005493F">
              <w:rPr>
                <w:color w:val="00B050"/>
                <w:sz w:val="20"/>
              </w:rPr>
              <w:t>Started 4 x weekly Mastering Number fluency sessions. Now secure in number bonds to 10. Improved confidence and engagement with Maths, regularly putting her hand up to contribute to discussions and is applying knowledge to a range of contexts.</w:t>
            </w:r>
          </w:p>
          <w:p w14:paraId="2A7D5505" w14:textId="7D60065C" w:rsidR="0005493F" w:rsidRPr="00D442CA" w:rsidRDefault="0005493F" w:rsidP="0005493F">
            <w:pPr>
              <w:suppressAutoHyphens w:val="0"/>
              <w:autoSpaceDN/>
              <w:spacing w:after="0" w:line="240" w:lineRule="auto"/>
              <w:rPr>
                <w:sz w:val="22"/>
                <w:szCs w:val="22"/>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A54E041" w:rsidR="00E66558" w:rsidRDefault="007C0614" w:rsidP="00C31636">
            <w:pPr>
              <w:pStyle w:val="TableRow"/>
              <w:ind w:left="0" w:right="0"/>
              <w:rPr>
                <w:sz w:val="22"/>
                <w:szCs w:val="22"/>
              </w:rPr>
            </w:pPr>
            <w:r>
              <w:t>Pupils with speech and language difficulties are well supported with appropriate interventions so that the impact on their phonological development is minimised.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A65A0" w14:textId="77777777" w:rsidR="007C0614" w:rsidRDefault="007C0614" w:rsidP="00C31636">
            <w:pPr>
              <w:pStyle w:val="TableRowCentered"/>
              <w:ind w:left="0" w:right="0"/>
              <w:jc w:val="left"/>
            </w:pPr>
            <w:r>
              <w:t xml:space="preserve">All pupils with identified speech and language difficulties have access to a differentiated programme and high quality intervention. Reviews of interventions show impact. </w:t>
            </w:r>
          </w:p>
          <w:p w14:paraId="291B3126" w14:textId="77777777" w:rsidR="007C0614" w:rsidRPr="00EB5163" w:rsidRDefault="007C0614" w:rsidP="00C31636">
            <w:pPr>
              <w:pStyle w:val="TableRowCentered"/>
              <w:ind w:left="0" w:right="0"/>
              <w:jc w:val="left"/>
            </w:pPr>
          </w:p>
          <w:p w14:paraId="54075E53" w14:textId="528C0552" w:rsidR="00C22B7A" w:rsidRDefault="0060319C" w:rsidP="00C31636">
            <w:pPr>
              <w:pStyle w:val="TableRowCentered"/>
              <w:ind w:left="0" w:right="0"/>
              <w:jc w:val="left"/>
              <w:rPr>
                <w:color w:val="00B050"/>
                <w:sz w:val="20"/>
              </w:rPr>
            </w:pPr>
            <w:r>
              <w:rPr>
                <w:b/>
                <w:color w:val="00B050"/>
                <w:sz w:val="20"/>
              </w:rPr>
              <w:t xml:space="preserve">Case study 1 – </w:t>
            </w:r>
            <w:r w:rsidR="00697F01">
              <w:rPr>
                <w:b/>
                <w:color w:val="00B050"/>
                <w:sz w:val="20"/>
              </w:rPr>
              <w:t xml:space="preserve">JD, MH, SB, TB – YR, 2x boys, 2x girls: </w:t>
            </w:r>
            <w:r w:rsidR="00C22B7A" w:rsidRPr="00EB5163">
              <w:rPr>
                <w:color w:val="00B050"/>
                <w:sz w:val="20"/>
              </w:rPr>
              <w:t xml:space="preserve">Early </w:t>
            </w:r>
            <w:r>
              <w:rPr>
                <w:color w:val="00B050"/>
                <w:sz w:val="20"/>
              </w:rPr>
              <w:t xml:space="preserve">phonics </w:t>
            </w:r>
            <w:r w:rsidR="00C22B7A" w:rsidRPr="00EB5163">
              <w:rPr>
                <w:color w:val="00B050"/>
                <w:sz w:val="20"/>
              </w:rPr>
              <w:t xml:space="preserve">intervention for Reception pupils who are not meeting age-related expectations begin end of Autumn term. At end of Autumn 1 24, 27 pupils were identified as knowing 10 or fewer sounds (of these, </w:t>
            </w:r>
            <w:r w:rsidR="007A4BD5" w:rsidRPr="00EB5163">
              <w:rPr>
                <w:color w:val="00B050"/>
                <w:sz w:val="20"/>
              </w:rPr>
              <w:t xml:space="preserve">4 </w:t>
            </w:r>
            <w:r w:rsidR="00C22B7A" w:rsidRPr="00EB5163">
              <w:rPr>
                <w:color w:val="00B050"/>
                <w:sz w:val="20"/>
              </w:rPr>
              <w:t>were PP</w:t>
            </w:r>
            <w:r w:rsidR="007A4BD5" w:rsidRPr="00EB5163">
              <w:rPr>
                <w:color w:val="00B050"/>
                <w:sz w:val="20"/>
              </w:rPr>
              <w:t>)</w:t>
            </w:r>
            <w:r w:rsidR="00C22B7A" w:rsidRPr="00EB5163">
              <w:rPr>
                <w:color w:val="00B050"/>
                <w:sz w:val="20"/>
              </w:rPr>
              <w:t>. By</w:t>
            </w:r>
            <w:r w:rsidR="007A4BD5" w:rsidRPr="00EB5163">
              <w:rPr>
                <w:color w:val="00B050"/>
                <w:sz w:val="20"/>
              </w:rPr>
              <w:t xml:space="preserve"> the end of</w:t>
            </w:r>
            <w:r w:rsidR="00C22B7A" w:rsidRPr="00EB5163">
              <w:rPr>
                <w:color w:val="00B050"/>
                <w:sz w:val="20"/>
              </w:rPr>
              <w:t xml:space="preserve"> Spring 1,</w:t>
            </w:r>
            <w:r w:rsidR="007A4BD5" w:rsidRPr="00EB5163">
              <w:rPr>
                <w:color w:val="00B050"/>
                <w:sz w:val="20"/>
              </w:rPr>
              <w:t xml:space="preserve"> all 4 PP children knew a minimum of 25 sounds and had moved on to oral blending support.</w:t>
            </w:r>
          </w:p>
          <w:p w14:paraId="599190E1" w14:textId="42FFFC63" w:rsidR="00144AEE" w:rsidRDefault="00144AEE" w:rsidP="00C31636">
            <w:pPr>
              <w:pStyle w:val="TableRowCentered"/>
              <w:ind w:left="0" w:right="0"/>
              <w:jc w:val="left"/>
              <w:rPr>
                <w:color w:val="00B050"/>
                <w:sz w:val="20"/>
              </w:rPr>
            </w:pPr>
          </w:p>
          <w:p w14:paraId="718227A5" w14:textId="17921E38" w:rsidR="00144AEE" w:rsidRPr="00144AEE" w:rsidRDefault="00144AEE" w:rsidP="00C31636">
            <w:pPr>
              <w:pStyle w:val="TableRowCentered"/>
              <w:ind w:left="0" w:right="0"/>
              <w:jc w:val="left"/>
              <w:rPr>
                <w:color w:val="00B050"/>
                <w:sz w:val="20"/>
              </w:rPr>
            </w:pPr>
            <w:r w:rsidRPr="00144AEE">
              <w:rPr>
                <w:b/>
                <w:color w:val="00B050"/>
                <w:sz w:val="20"/>
              </w:rPr>
              <w:t xml:space="preserve">Case study 2 – LN - Y1, girl, PP+: </w:t>
            </w:r>
            <w:r w:rsidR="00A40F74">
              <w:rPr>
                <w:color w:val="00B050"/>
                <w:sz w:val="20"/>
              </w:rPr>
              <w:t>Child was working below ARE in all areas. Language Link assessment used and highlighted suspected Developmental Language Disorder (DLD)</w:t>
            </w:r>
            <w:r w:rsidR="002A07B4">
              <w:rPr>
                <w:color w:val="00B050"/>
                <w:sz w:val="20"/>
              </w:rPr>
              <w:t>. Referral made to SALT and Educational Psychologist, following meeting with mother.</w:t>
            </w:r>
          </w:p>
          <w:p w14:paraId="2DAB7A40" w14:textId="0327F6DD" w:rsidR="00C22B7A" w:rsidRPr="00EB5163" w:rsidRDefault="00C22B7A" w:rsidP="00C31636">
            <w:pPr>
              <w:pStyle w:val="TableRowCentered"/>
              <w:ind w:left="0" w:right="0"/>
              <w:jc w:val="left"/>
              <w:rPr>
                <w:color w:val="00B050"/>
                <w:sz w:val="20"/>
              </w:rPr>
            </w:pPr>
          </w:p>
          <w:p w14:paraId="4156CEA1" w14:textId="00A0A375" w:rsidR="00E66558" w:rsidRPr="00EB5163" w:rsidRDefault="00987E15" w:rsidP="00C31636">
            <w:pPr>
              <w:pStyle w:val="TableRowCentered"/>
              <w:ind w:left="0" w:right="0"/>
              <w:jc w:val="left"/>
              <w:rPr>
                <w:color w:val="00B050"/>
              </w:rPr>
            </w:pPr>
            <w:r w:rsidRPr="00EB5163">
              <w:rPr>
                <w:color w:val="00B050"/>
                <w:sz w:val="20"/>
              </w:rPr>
              <w:t>From September 2025, all Reception pupils will be screened using Language Link in Autumn term.</w:t>
            </w:r>
          </w:p>
          <w:p w14:paraId="2A7D5508" w14:textId="3584C3C3" w:rsidR="00364B0C" w:rsidRDefault="00364B0C" w:rsidP="00C31636">
            <w:pPr>
              <w:pStyle w:val="TableRowCentered"/>
              <w:ind w:left="0" w:right="0"/>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88FFC63" w:rsidR="00E66558" w:rsidRDefault="007C0614" w:rsidP="00C31636">
            <w:pPr>
              <w:pStyle w:val="TableRow"/>
              <w:ind w:left="0" w:right="0"/>
              <w:rPr>
                <w:sz w:val="22"/>
                <w:szCs w:val="22"/>
              </w:rPr>
            </w:pPr>
            <w:r>
              <w:t>Children are able to demonstrate the characteristics of effective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DF7C7" w14:textId="687170C2" w:rsidR="007C0614" w:rsidRDefault="007C0614" w:rsidP="00C31636">
            <w:pPr>
              <w:pStyle w:val="TableRowCentered"/>
              <w:ind w:left="0" w:right="0"/>
              <w:jc w:val="left"/>
            </w:pPr>
            <w:r>
              <w:t xml:space="preserve">Observations of children in continuous provision evidence the characteristics of effective learning. Pupils demonstrate resilience when faced with learning challenges. </w:t>
            </w:r>
          </w:p>
          <w:p w14:paraId="62FFA05C" w14:textId="77777777" w:rsidR="002C3BC1" w:rsidRDefault="002C3BC1" w:rsidP="00C31636">
            <w:pPr>
              <w:pStyle w:val="TableRowCentered"/>
              <w:ind w:left="0" w:right="0"/>
              <w:jc w:val="left"/>
            </w:pPr>
          </w:p>
          <w:p w14:paraId="538C533F" w14:textId="22BB7C93" w:rsidR="00E66558" w:rsidRDefault="0005493F" w:rsidP="00C31636">
            <w:pPr>
              <w:pStyle w:val="TableRowCentered"/>
              <w:ind w:left="0" w:right="0"/>
              <w:jc w:val="left"/>
              <w:rPr>
                <w:b/>
                <w:color w:val="00B050"/>
                <w:sz w:val="20"/>
              </w:rPr>
            </w:pPr>
            <w:r>
              <w:rPr>
                <w:b/>
                <w:color w:val="00B050"/>
                <w:sz w:val="20"/>
              </w:rPr>
              <w:t>Spring 2025</w:t>
            </w:r>
          </w:p>
          <w:p w14:paraId="224F751E" w14:textId="6EDE4454" w:rsidR="00872A73" w:rsidRDefault="00872A73" w:rsidP="00C31636">
            <w:pPr>
              <w:pStyle w:val="TableRowCentered"/>
              <w:ind w:left="0" w:right="0"/>
              <w:jc w:val="left"/>
              <w:rPr>
                <w:b/>
                <w:color w:val="00B050"/>
                <w:sz w:val="20"/>
              </w:rPr>
            </w:pPr>
          </w:p>
          <w:p w14:paraId="10577A98" w14:textId="0FC4FA8E" w:rsidR="000E0C52" w:rsidRDefault="00872A73" w:rsidP="000E0C52">
            <w:pPr>
              <w:pStyle w:val="TableRowCentered"/>
              <w:ind w:left="0" w:right="0"/>
              <w:jc w:val="left"/>
              <w:rPr>
                <w:b/>
                <w:color w:val="00B050"/>
                <w:sz w:val="20"/>
              </w:rPr>
            </w:pPr>
            <w:r>
              <w:rPr>
                <w:b/>
                <w:color w:val="00B050"/>
                <w:sz w:val="20"/>
              </w:rPr>
              <w:t>Case study 1</w:t>
            </w:r>
            <w:r w:rsidR="000E0C52">
              <w:rPr>
                <w:b/>
                <w:color w:val="00B050"/>
                <w:sz w:val="20"/>
              </w:rPr>
              <w:t xml:space="preserve"> – </w:t>
            </w:r>
            <w:r w:rsidR="00920911">
              <w:rPr>
                <w:b/>
                <w:color w:val="00B050"/>
                <w:sz w:val="20"/>
              </w:rPr>
              <w:t xml:space="preserve">ED, TB, KH - </w:t>
            </w:r>
            <w:r w:rsidR="000E0C52">
              <w:rPr>
                <w:b/>
                <w:color w:val="00B050"/>
                <w:sz w:val="20"/>
              </w:rPr>
              <w:t>YR pupils (2 boys, 1 girl), SEN/D:</w:t>
            </w:r>
          </w:p>
          <w:p w14:paraId="0706E19B" w14:textId="3194DF4C" w:rsidR="000E0C52" w:rsidRPr="000E0C52" w:rsidRDefault="000E0C52" w:rsidP="000E0C52">
            <w:pPr>
              <w:pStyle w:val="TableRowCentered"/>
              <w:ind w:left="0" w:right="0"/>
              <w:jc w:val="left"/>
              <w:rPr>
                <w:color w:val="00B050"/>
                <w:sz w:val="20"/>
              </w:rPr>
            </w:pPr>
            <w:r>
              <w:rPr>
                <w:color w:val="00B050"/>
                <w:sz w:val="20"/>
              </w:rPr>
              <w:t xml:space="preserve">Began small group sessions in the Hive, </w:t>
            </w:r>
            <w:r w:rsidR="00B40B30">
              <w:rPr>
                <w:color w:val="00B050"/>
                <w:sz w:val="20"/>
              </w:rPr>
              <w:t>including social skills interventions, sensory circuits and bucket time attention interventions. W</w:t>
            </w:r>
            <w:r>
              <w:rPr>
                <w:color w:val="00B050"/>
                <w:sz w:val="20"/>
              </w:rPr>
              <w:t>eekly round ups on Tapestry highlight a level of sustained focus and attention not observed within the main classroom, following structured routine, targeted planning, 1:1 and small group work. All are making progress towards IEP targets.</w:t>
            </w:r>
          </w:p>
          <w:p w14:paraId="5A2CA334" w14:textId="26D7B244" w:rsidR="00872A73" w:rsidRDefault="00872A73" w:rsidP="00C31636">
            <w:pPr>
              <w:pStyle w:val="TableRowCentered"/>
              <w:ind w:left="0" w:right="0"/>
              <w:jc w:val="left"/>
              <w:rPr>
                <w:b/>
                <w:color w:val="00B050"/>
                <w:sz w:val="20"/>
              </w:rPr>
            </w:pPr>
          </w:p>
          <w:p w14:paraId="3A3F224D" w14:textId="6A3AD9E4" w:rsidR="00872A73" w:rsidRDefault="00872A73" w:rsidP="00C31636">
            <w:pPr>
              <w:pStyle w:val="TableRowCentered"/>
              <w:ind w:left="0" w:right="0"/>
              <w:jc w:val="left"/>
              <w:rPr>
                <w:b/>
                <w:color w:val="00B050"/>
                <w:sz w:val="20"/>
              </w:rPr>
            </w:pPr>
            <w:r>
              <w:rPr>
                <w:b/>
                <w:color w:val="00B050"/>
                <w:sz w:val="20"/>
              </w:rPr>
              <w:t>Case study 2</w:t>
            </w:r>
            <w:r w:rsidR="00312619">
              <w:rPr>
                <w:b/>
                <w:color w:val="00B050"/>
                <w:sz w:val="20"/>
              </w:rPr>
              <w:t xml:space="preserve"> - </w:t>
            </w:r>
          </w:p>
          <w:p w14:paraId="38B9A6D8" w14:textId="77777777" w:rsidR="002C3BC1" w:rsidRDefault="002C3BC1" w:rsidP="00C31636">
            <w:pPr>
              <w:pStyle w:val="TableRowCentered"/>
              <w:ind w:left="0" w:right="0"/>
              <w:jc w:val="left"/>
              <w:rPr>
                <w:b/>
                <w:color w:val="00B050"/>
                <w:sz w:val="20"/>
              </w:rPr>
            </w:pPr>
          </w:p>
          <w:p w14:paraId="2A7D550B" w14:textId="19A70D65" w:rsidR="002C3BC1" w:rsidRDefault="002C3BC1" w:rsidP="00C31636">
            <w:pPr>
              <w:pStyle w:val="TableRowCentered"/>
              <w:ind w:left="0" w:right="0"/>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7F15E82" w:rsidR="00E66558" w:rsidRDefault="007C0614" w:rsidP="007C53A9">
            <w:pPr>
              <w:pStyle w:val="TableRow"/>
              <w:ind w:left="0" w:right="0"/>
              <w:rPr>
                <w:sz w:val="22"/>
                <w:szCs w:val="22"/>
              </w:rPr>
            </w:pPr>
            <w:r>
              <w:t>Children are supported to manage their social, emotional and mental health needs at an age appropriate level.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C72E8" w14:textId="1BC154CC" w:rsidR="007C0614" w:rsidRDefault="007C0614" w:rsidP="00C31636">
            <w:pPr>
              <w:pStyle w:val="TableRowCentered"/>
              <w:ind w:left="0" w:right="0"/>
              <w:jc w:val="left"/>
            </w:pPr>
            <w:r>
              <w:t>PSE and PSHE monitoring finds evidence</w:t>
            </w:r>
            <w:r w:rsidR="000E0C52">
              <w:t xml:space="preserve"> that most children are able to self-</w:t>
            </w:r>
            <w:r>
              <w:t xml:space="preserve">regulate and have age appropriate social and emotional skills. Children with an identified SEN for SEMH have access to enhanced support and make progress as a result of this. </w:t>
            </w:r>
          </w:p>
          <w:p w14:paraId="2FA36C41" w14:textId="77777777" w:rsidR="007C0614" w:rsidRDefault="007C0614" w:rsidP="00C31636">
            <w:pPr>
              <w:pStyle w:val="TableRowCentered"/>
              <w:ind w:left="0" w:right="0"/>
              <w:jc w:val="left"/>
            </w:pPr>
          </w:p>
          <w:p w14:paraId="2D352AE9" w14:textId="4397A781" w:rsidR="00F3084B" w:rsidRDefault="00F3084B" w:rsidP="00F3084B">
            <w:pPr>
              <w:pStyle w:val="TableRowCentered"/>
              <w:ind w:left="0" w:right="0"/>
              <w:jc w:val="left"/>
              <w:rPr>
                <w:b/>
                <w:color w:val="00B050"/>
                <w:sz w:val="20"/>
              </w:rPr>
            </w:pPr>
            <w:r w:rsidRPr="00D442CA">
              <w:rPr>
                <w:b/>
                <w:color w:val="00B050"/>
                <w:sz w:val="20"/>
              </w:rPr>
              <w:t>Spring 20</w:t>
            </w:r>
            <w:r w:rsidR="0005493F">
              <w:rPr>
                <w:b/>
                <w:color w:val="00B050"/>
                <w:sz w:val="20"/>
              </w:rPr>
              <w:t>25</w:t>
            </w:r>
          </w:p>
          <w:p w14:paraId="6BBC03EF" w14:textId="77777777" w:rsidR="00F3084B" w:rsidRDefault="00F3084B" w:rsidP="00F3084B">
            <w:pPr>
              <w:pStyle w:val="TableRowCentered"/>
              <w:ind w:left="0" w:right="0"/>
              <w:jc w:val="left"/>
              <w:rPr>
                <w:b/>
                <w:color w:val="00B050"/>
                <w:sz w:val="20"/>
              </w:rPr>
            </w:pPr>
          </w:p>
          <w:p w14:paraId="26EFD91E" w14:textId="771A606F" w:rsidR="00F3084B" w:rsidRPr="00920911" w:rsidRDefault="00F3084B" w:rsidP="00F3084B">
            <w:pPr>
              <w:pStyle w:val="TableRowCentered"/>
              <w:ind w:left="0" w:right="0"/>
              <w:jc w:val="left"/>
              <w:rPr>
                <w:color w:val="00B050"/>
                <w:sz w:val="20"/>
              </w:rPr>
            </w:pPr>
            <w:r>
              <w:rPr>
                <w:b/>
                <w:color w:val="00B050"/>
                <w:sz w:val="20"/>
              </w:rPr>
              <w:t>Case study 1</w:t>
            </w:r>
            <w:r w:rsidR="000E0C52">
              <w:rPr>
                <w:b/>
                <w:color w:val="00B050"/>
                <w:sz w:val="20"/>
              </w:rPr>
              <w:t xml:space="preserve"> – </w:t>
            </w:r>
            <w:r w:rsidR="00920911">
              <w:rPr>
                <w:b/>
                <w:color w:val="00B050"/>
                <w:sz w:val="20"/>
              </w:rPr>
              <w:t xml:space="preserve">LWS - </w:t>
            </w:r>
            <w:r w:rsidR="000E0C52" w:rsidRPr="000E0C52">
              <w:rPr>
                <w:b/>
                <w:color w:val="00B050"/>
                <w:sz w:val="20"/>
              </w:rPr>
              <w:t xml:space="preserve">Y1 pupil, boy, </w:t>
            </w:r>
            <w:r w:rsidR="00920911">
              <w:rPr>
                <w:b/>
                <w:color w:val="00B050"/>
                <w:sz w:val="20"/>
              </w:rPr>
              <w:t xml:space="preserve">PP+, </w:t>
            </w:r>
            <w:r w:rsidR="000E0C52" w:rsidRPr="000E0C52">
              <w:rPr>
                <w:b/>
                <w:color w:val="00B050"/>
                <w:sz w:val="20"/>
              </w:rPr>
              <w:t>SEN (</w:t>
            </w:r>
            <w:r w:rsidR="00920911">
              <w:rPr>
                <w:b/>
                <w:color w:val="00B050"/>
                <w:sz w:val="20"/>
              </w:rPr>
              <w:t xml:space="preserve">SEMH, </w:t>
            </w:r>
            <w:r w:rsidR="000E0C52" w:rsidRPr="000E0C52">
              <w:rPr>
                <w:b/>
                <w:color w:val="00B050"/>
                <w:sz w:val="20"/>
              </w:rPr>
              <w:t>ASC</w:t>
            </w:r>
            <w:r w:rsidR="00920911">
              <w:rPr>
                <w:b/>
                <w:color w:val="00B050"/>
                <w:sz w:val="20"/>
              </w:rPr>
              <w:t xml:space="preserve"> </w:t>
            </w:r>
            <w:r w:rsidR="000E0C52">
              <w:rPr>
                <w:b/>
                <w:color w:val="00B050"/>
                <w:sz w:val="20"/>
              </w:rPr>
              <w:t>&amp;</w:t>
            </w:r>
            <w:r w:rsidR="00920911">
              <w:rPr>
                <w:b/>
                <w:color w:val="00B050"/>
                <w:sz w:val="20"/>
              </w:rPr>
              <w:t xml:space="preserve"> </w:t>
            </w:r>
            <w:r w:rsidR="000E0C52">
              <w:rPr>
                <w:b/>
                <w:color w:val="00B050"/>
                <w:sz w:val="20"/>
              </w:rPr>
              <w:t>ADHD</w:t>
            </w:r>
            <w:r w:rsidR="000E0C52" w:rsidRPr="000E0C52">
              <w:rPr>
                <w:b/>
                <w:color w:val="00B050"/>
                <w:sz w:val="20"/>
              </w:rPr>
              <w:t>):</w:t>
            </w:r>
            <w:r w:rsidR="000E0C52">
              <w:rPr>
                <w:b/>
                <w:color w:val="00B050"/>
                <w:sz w:val="20"/>
              </w:rPr>
              <w:t xml:space="preserve"> </w:t>
            </w:r>
            <w:r w:rsidR="00920911">
              <w:rPr>
                <w:color w:val="00B050"/>
                <w:sz w:val="20"/>
              </w:rPr>
              <w:t>Accessed 1:1 play therapy sessions for the Autumn term and began spending 1:1 time with SEN TA in the afternoons, completing ‘jobs’ to disguise movement breaks. Improved self-regulation, engagement with learning, managing to attend to all whole-class learning inputs, fewer toileting incidents by Spring 2.</w:t>
            </w:r>
          </w:p>
          <w:p w14:paraId="5A691FF3" w14:textId="77777777" w:rsidR="00F3084B" w:rsidRDefault="00F3084B" w:rsidP="00F3084B">
            <w:pPr>
              <w:pStyle w:val="TableRowCentered"/>
              <w:ind w:left="0" w:right="0"/>
              <w:jc w:val="left"/>
              <w:rPr>
                <w:b/>
                <w:color w:val="00B050"/>
                <w:sz w:val="20"/>
              </w:rPr>
            </w:pPr>
          </w:p>
          <w:p w14:paraId="0DFB9522" w14:textId="41DB9BA7" w:rsidR="00F3084B" w:rsidRPr="009B4511" w:rsidRDefault="00F3084B" w:rsidP="00F3084B">
            <w:pPr>
              <w:pStyle w:val="TableRowCentered"/>
              <w:ind w:left="0" w:right="0"/>
              <w:jc w:val="left"/>
              <w:rPr>
                <w:color w:val="00B050"/>
                <w:sz w:val="20"/>
              </w:rPr>
            </w:pPr>
            <w:r>
              <w:rPr>
                <w:b/>
                <w:color w:val="00B050"/>
                <w:sz w:val="20"/>
              </w:rPr>
              <w:t>Case study 2</w:t>
            </w:r>
            <w:r w:rsidR="009B4511">
              <w:rPr>
                <w:b/>
                <w:color w:val="00B050"/>
                <w:sz w:val="20"/>
              </w:rPr>
              <w:t xml:space="preserve"> – KB – Y1 pupil, girl: </w:t>
            </w:r>
            <w:r w:rsidR="009B4511">
              <w:rPr>
                <w:color w:val="00B050"/>
                <w:sz w:val="20"/>
              </w:rPr>
              <w:t>Previous EBSA and high levels of separation anxiety. Meetings held with parents and class teacher/SENCO to agree strategies to support, referrals made to school nurse for support with continence and anxiety. Bridging adult put in place for morning transitions, ‘calm’ box of desired sensory items to play with on arrival, nurture group 2 x weekly. Now coming into school happily 9/10 times.</w:t>
            </w:r>
          </w:p>
          <w:p w14:paraId="2A7D550E" w14:textId="25E98951" w:rsidR="00E66558" w:rsidRDefault="00E66558" w:rsidP="00C31636">
            <w:pPr>
              <w:pStyle w:val="TableRowCentered"/>
              <w:ind w:left="0" w:right="0"/>
              <w:jc w:val="left"/>
              <w:rPr>
                <w:sz w:val="22"/>
                <w:szCs w:val="22"/>
              </w:rPr>
            </w:pPr>
          </w:p>
        </w:tc>
      </w:tr>
      <w:tr w:rsidR="007C0614" w14:paraId="013C832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631EE" w14:textId="3B6B9FA5" w:rsidR="007C0614" w:rsidRDefault="007C0614" w:rsidP="00C31636">
            <w:pPr>
              <w:pStyle w:val="TableRow"/>
              <w:ind w:left="0" w:right="0"/>
            </w:pPr>
            <w:r>
              <w:t xml:space="preserve">Attendance for pupils eligible for the pupil </w:t>
            </w:r>
            <w:r w:rsidR="00F3084B">
              <w:t>premium is equal to that of non-</w:t>
            </w:r>
            <w:r>
              <w:t>pupil premium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3005D" w14:textId="21DFBB10" w:rsidR="007C0614" w:rsidRDefault="007C0614" w:rsidP="00C31636">
            <w:pPr>
              <w:pStyle w:val="TableRowCentered"/>
              <w:ind w:left="0" w:right="0"/>
              <w:jc w:val="left"/>
            </w:pPr>
            <w:r>
              <w:t xml:space="preserve">Attendance above 95% for all pupils, including those with SEN and/or eligible for pupil premium without an identified medical need. </w:t>
            </w:r>
          </w:p>
          <w:p w14:paraId="1F181B9F" w14:textId="45972936" w:rsidR="007C0614" w:rsidRDefault="007C0614" w:rsidP="00C31636">
            <w:pPr>
              <w:pStyle w:val="TableRowCentered"/>
              <w:ind w:left="0" w:right="0"/>
              <w:jc w:val="left"/>
            </w:pPr>
          </w:p>
          <w:p w14:paraId="6FCAECB0" w14:textId="7EAA6EEE" w:rsidR="003A29F3" w:rsidRDefault="0005493F" w:rsidP="003A29F3">
            <w:pPr>
              <w:pStyle w:val="TableRowCentered"/>
              <w:ind w:left="0" w:right="0"/>
              <w:jc w:val="left"/>
              <w:rPr>
                <w:b/>
                <w:color w:val="00B050"/>
                <w:sz w:val="20"/>
              </w:rPr>
            </w:pPr>
            <w:r>
              <w:rPr>
                <w:b/>
                <w:color w:val="00B050"/>
                <w:sz w:val="20"/>
              </w:rPr>
              <w:t>Spring 2025</w:t>
            </w:r>
          </w:p>
          <w:p w14:paraId="6B6E9BF1" w14:textId="7277B29A" w:rsidR="009C378D" w:rsidRDefault="009C378D" w:rsidP="003A29F3">
            <w:pPr>
              <w:pStyle w:val="TableRowCentered"/>
              <w:ind w:left="0" w:right="0"/>
              <w:jc w:val="left"/>
              <w:rPr>
                <w:b/>
                <w:color w:val="00B050"/>
                <w:sz w:val="20"/>
              </w:rPr>
            </w:pPr>
          </w:p>
          <w:p w14:paraId="750BBE72" w14:textId="779B5534" w:rsidR="009C378D" w:rsidRDefault="009C378D" w:rsidP="003A29F3">
            <w:pPr>
              <w:pStyle w:val="TableRowCentered"/>
              <w:ind w:left="0" w:right="0"/>
              <w:jc w:val="left"/>
              <w:rPr>
                <w:b/>
                <w:color w:val="00B050"/>
                <w:sz w:val="20"/>
              </w:rPr>
            </w:pPr>
            <w:r>
              <w:rPr>
                <w:b/>
                <w:color w:val="00B050"/>
                <w:sz w:val="20"/>
              </w:rPr>
              <w:t>PP attendance – 90.25%</w:t>
            </w:r>
          </w:p>
          <w:p w14:paraId="088A0E03" w14:textId="6E81A84E" w:rsidR="009C378D" w:rsidRDefault="009C378D" w:rsidP="003A29F3">
            <w:pPr>
              <w:pStyle w:val="TableRowCentered"/>
              <w:ind w:left="0" w:right="0"/>
              <w:jc w:val="left"/>
              <w:rPr>
                <w:b/>
                <w:color w:val="00B050"/>
                <w:sz w:val="20"/>
              </w:rPr>
            </w:pPr>
            <w:r>
              <w:rPr>
                <w:b/>
                <w:color w:val="00B050"/>
                <w:sz w:val="20"/>
              </w:rPr>
              <w:t>PP unauthorised absence – 2.02%</w:t>
            </w:r>
          </w:p>
          <w:p w14:paraId="7F22BCF5" w14:textId="77777777" w:rsidR="009C378D" w:rsidRDefault="009C378D" w:rsidP="003A29F3">
            <w:pPr>
              <w:pStyle w:val="TableRowCentered"/>
              <w:ind w:left="0" w:right="0"/>
              <w:jc w:val="left"/>
              <w:rPr>
                <w:b/>
                <w:color w:val="00B050"/>
                <w:sz w:val="20"/>
              </w:rPr>
            </w:pPr>
          </w:p>
          <w:p w14:paraId="51DDF762" w14:textId="7BFAE698" w:rsidR="009C378D" w:rsidRDefault="009C378D" w:rsidP="003A29F3">
            <w:pPr>
              <w:pStyle w:val="TableRowCentered"/>
              <w:ind w:left="0" w:right="0"/>
              <w:jc w:val="left"/>
              <w:rPr>
                <w:b/>
                <w:color w:val="00B050"/>
                <w:sz w:val="20"/>
              </w:rPr>
            </w:pPr>
            <w:r>
              <w:rPr>
                <w:b/>
                <w:color w:val="00B050"/>
                <w:sz w:val="20"/>
              </w:rPr>
              <w:t>Non-PP attendance – 95.43%</w:t>
            </w:r>
          </w:p>
          <w:p w14:paraId="636D521F" w14:textId="5FECC3BB" w:rsidR="009C378D" w:rsidRDefault="009C378D" w:rsidP="003A29F3">
            <w:pPr>
              <w:pStyle w:val="TableRowCentered"/>
              <w:ind w:left="0" w:right="0"/>
              <w:jc w:val="left"/>
              <w:rPr>
                <w:b/>
                <w:color w:val="00B050"/>
                <w:sz w:val="20"/>
              </w:rPr>
            </w:pPr>
            <w:r>
              <w:rPr>
                <w:b/>
                <w:color w:val="00B050"/>
                <w:sz w:val="20"/>
              </w:rPr>
              <w:t>Non-PP unauthorised absence – 0.5%</w:t>
            </w:r>
          </w:p>
          <w:p w14:paraId="56E71672" w14:textId="77777777" w:rsidR="003A29F3" w:rsidRDefault="003A29F3" w:rsidP="003A29F3">
            <w:pPr>
              <w:pStyle w:val="TableRowCentered"/>
              <w:ind w:left="0" w:right="0"/>
              <w:jc w:val="left"/>
              <w:rPr>
                <w:b/>
                <w:color w:val="00B050"/>
                <w:sz w:val="20"/>
              </w:rPr>
            </w:pPr>
          </w:p>
          <w:p w14:paraId="2CA641F1" w14:textId="5C7DED4B" w:rsidR="007C0614" w:rsidRPr="0047182A" w:rsidRDefault="003A29F3" w:rsidP="00C31636">
            <w:pPr>
              <w:pStyle w:val="TableRowCentered"/>
              <w:ind w:left="0" w:right="0"/>
              <w:jc w:val="left"/>
              <w:rPr>
                <w:color w:val="00B050"/>
                <w:sz w:val="20"/>
              </w:rPr>
            </w:pPr>
            <w:r>
              <w:rPr>
                <w:b/>
                <w:color w:val="00B050"/>
                <w:sz w:val="20"/>
              </w:rPr>
              <w:t>Case study 1</w:t>
            </w:r>
            <w:r w:rsidR="00BE4485">
              <w:rPr>
                <w:b/>
                <w:color w:val="00B050"/>
                <w:sz w:val="20"/>
              </w:rPr>
              <w:t xml:space="preserve"> – GM – Y2, girl</w:t>
            </w:r>
            <w:r w:rsidR="00F821A7">
              <w:rPr>
                <w:b/>
                <w:color w:val="00B050"/>
                <w:sz w:val="20"/>
              </w:rPr>
              <w:t xml:space="preserve">: </w:t>
            </w:r>
            <w:r w:rsidR="00F821A7">
              <w:rPr>
                <w:color w:val="00B050"/>
                <w:sz w:val="20"/>
              </w:rPr>
              <w:t xml:space="preserve">Mid-year transfer from another school, due to moving home. Suspected ADHD and DV background. Started 22/1/24 – attendance for this term was </w:t>
            </w:r>
            <w:r w:rsidR="00F821A7" w:rsidRPr="00694526">
              <w:rPr>
                <w:b/>
                <w:color w:val="00B050"/>
                <w:sz w:val="20"/>
              </w:rPr>
              <w:t>55.68%.</w:t>
            </w:r>
            <w:r w:rsidR="00F821A7">
              <w:rPr>
                <w:color w:val="00B050"/>
                <w:sz w:val="20"/>
              </w:rPr>
              <w:t xml:space="preserve"> Meetings held between SENCO and mother and Head T</w:t>
            </w:r>
            <w:r w:rsidR="00694526">
              <w:rPr>
                <w:color w:val="00B050"/>
                <w:sz w:val="20"/>
              </w:rPr>
              <w:t xml:space="preserve">eacher and mother. Referrals made to FDfF with parental agreement, Early Help commenced. When Early Help case closed, school continued to offer regular TAF meetings. Attendance has fluctuated over time but currently sits at </w:t>
            </w:r>
            <w:r w:rsidR="00694526" w:rsidRPr="00694526">
              <w:rPr>
                <w:b/>
                <w:color w:val="00B050"/>
                <w:sz w:val="20"/>
              </w:rPr>
              <w:t>77.63%</w:t>
            </w:r>
            <w:r w:rsidR="00694526" w:rsidRPr="00694526">
              <w:rPr>
                <w:color w:val="00B050"/>
                <w:sz w:val="20"/>
              </w:rPr>
              <w:t>.</w:t>
            </w:r>
          </w:p>
        </w:tc>
      </w:tr>
      <w:tr w:rsidR="007C0614" w14:paraId="6EC2B53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39470" w14:textId="5403C2F4" w:rsidR="007C0614" w:rsidRDefault="007C0614" w:rsidP="00C31636">
            <w:pPr>
              <w:pStyle w:val="TableRow"/>
              <w:ind w:left="0" w:right="0"/>
            </w:pPr>
            <w:r>
              <w:t>All pupils with SEND who need an EHCP have access to one.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2ADC7" w14:textId="77777777" w:rsidR="007C0614" w:rsidRDefault="007C0614" w:rsidP="00C31636">
            <w:pPr>
              <w:pStyle w:val="TableRowCentered"/>
              <w:ind w:left="0" w:right="0"/>
              <w:jc w:val="left"/>
            </w:pPr>
            <w:r>
              <w:t xml:space="preserve">100% of EHCP applications are successful through close work with parents and carers and working with nurseries. </w:t>
            </w:r>
          </w:p>
          <w:p w14:paraId="43223FC1" w14:textId="77777777" w:rsidR="007C0614" w:rsidRDefault="007C0614" w:rsidP="00C31636">
            <w:pPr>
              <w:pStyle w:val="TableRowCentered"/>
              <w:ind w:left="0" w:right="0"/>
              <w:jc w:val="left"/>
            </w:pPr>
          </w:p>
          <w:p w14:paraId="14D4A462" w14:textId="412858D4" w:rsidR="003A29F3" w:rsidRDefault="0005493F" w:rsidP="003A29F3">
            <w:pPr>
              <w:pStyle w:val="TableRowCentered"/>
              <w:ind w:left="0" w:right="0"/>
              <w:jc w:val="left"/>
              <w:rPr>
                <w:b/>
                <w:color w:val="00B050"/>
                <w:sz w:val="20"/>
              </w:rPr>
            </w:pPr>
            <w:r>
              <w:rPr>
                <w:b/>
                <w:color w:val="00B050"/>
                <w:sz w:val="20"/>
              </w:rPr>
              <w:t>Spring 2025</w:t>
            </w:r>
          </w:p>
          <w:p w14:paraId="7CE2E36C" w14:textId="77777777" w:rsidR="003A29F3" w:rsidRDefault="003A29F3" w:rsidP="003A29F3">
            <w:pPr>
              <w:pStyle w:val="TableRowCentered"/>
              <w:ind w:left="0" w:right="0"/>
              <w:jc w:val="left"/>
              <w:rPr>
                <w:b/>
                <w:color w:val="00B050"/>
                <w:sz w:val="20"/>
              </w:rPr>
            </w:pPr>
          </w:p>
          <w:p w14:paraId="70C27300" w14:textId="71A9C1B2" w:rsidR="007C0614" w:rsidRPr="003A29F3" w:rsidRDefault="007C0614" w:rsidP="003A29F3">
            <w:pPr>
              <w:pStyle w:val="TableRowCentered"/>
              <w:ind w:left="0" w:right="0"/>
              <w:jc w:val="left"/>
            </w:pPr>
            <w:r w:rsidRPr="003A29F3">
              <w:rPr>
                <w:color w:val="00B050"/>
                <w:sz w:val="20"/>
              </w:rPr>
              <w:t xml:space="preserve">All </w:t>
            </w:r>
            <w:r w:rsidR="003A29F3" w:rsidRPr="003A29F3">
              <w:rPr>
                <w:color w:val="00B050"/>
                <w:sz w:val="20"/>
              </w:rPr>
              <w:t xml:space="preserve">EHCNA requests have been successful this academic year to date. Where pupils joined DIS without additional needs identified, work has begun with parents and external professionals (BHISS, SALT) to begin evidence gathering (using the </w:t>
            </w:r>
            <w:r w:rsidR="003A29F3">
              <w:rPr>
                <w:color w:val="00B050"/>
                <w:sz w:val="20"/>
              </w:rPr>
              <w:t>‘</w:t>
            </w:r>
            <w:r w:rsidR="003A29F3" w:rsidRPr="003A29F3">
              <w:rPr>
                <w:color w:val="00B050"/>
                <w:sz w:val="20"/>
              </w:rPr>
              <w:t>Assess, Plan, Do, Review</w:t>
            </w:r>
            <w:r w:rsidR="003A29F3">
              <w:rPr>
                <w:color w:val="00B050"/>
                <w:sz w:val="20"/>
              </w:rPr>
              <w:t>’</w:t>
            </w:r>
            <w:r w:rsidR="003A29F3" w:rsidRPr="003A29F3">
              <w:rPr>
                <w:color w:val="00B050"/>
                <w:sz w:val="20"/>
              </w:rPr>
              <w:t xml:space="preserve"> graduated approach) ahead of making requests.</w:t>
            </w:r>
            <w:r w:rsidR="003A29F3">
              <w:rPr>
                <w:color w:val="FF0000"/>
              </w:rPr>
              <w:t xml:space="preserve"> </w:t>
            </w:r>
          </w:p>
        </w:tc>
      </w:tr>
      <w:tr w:rsidR="007C0614" w14:paraId="3FC6EB0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ACD87" w14:textId="2486BF7A" w:rsidR="007C0614" w:rsidRDefault="007C0614" w:rsidP="00C31636">
            <w:pPr>
              <w:pStyle w:val="TableRow"/>
              <w:ind w:left="0" w:right="0"/>
            </w:pPr>
            <w:r>
              <w:t>Parents and carers of pupils eligible for the pupil premium access support from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4323" w14:textId="77777777" w:rsidR="007C0614" w:rsidRDefault="007C0614" w:rsidP="00C31636">
            <w:pPr>
              <w:pStyle w:val="TableRowCentered"/>
              <w:ind w:left="0" w:right="0"/>
              <w:jc w:val="left"/>
            </w:pPr>
            <w:r>
              <w:t xml:space="preserve">Parent workshops and meetings have increasing levels of attendance from the parents and carers of pupils eligible for pupil premium throughout this strategy. </w:t>
            </w:r>
          </w:p>
          <w:p w14:paraId="1F12B27E" w14:textId="77777777" w:rsidR="007C0614" w:rsidRDefault="007C0614" w:rsidP="00C31636">
            <w:pPr>
              <w:pStyle w:val="TableRowCentered"/>
              <w:ind w:left="0" w:right="0"/>
              <w:jc w:val="left"/>
            </w:pPr>
          </w:p>
          <w:p w14:paraId="6B32DB39" w14:textId="77777777" w:rsidR="00367E2C" w:rsidRDefault="00367E2C" w:rsidP="00C31636">
            <w:pPr>
              <w:pStyle w:val="TableRowCentered"/>
              <w:ind w:left="0" w:right="0"/>
              <w:jc w:val="left"/>
              <w:rPr>
                <w:color w:val="FF0000"/>
              </w:rPr>
            </w:pPr>
          </w:p>
          <w:p w14:paraId="5D9CB9E1" w14:textId="26F3B3BA" w:rsidR="00367E2C" w:rsidRDefault="0005493F" w:rsidP="00367E2C">
            <w:pPr>
              <w:pStyle w:val="TableRowCentered"/>
              <w:ind w:left="0" w:right="0"/>
              <w:jc w:val="left"/>
              <w:rPr>
                <w:b/>
                <w:color w:val="00B050"/>
                <w:sz w:val="20"/>
              </w:rPr>
            </w:pPr>
            <w:r>
              <w:rPr>
                <w:b/>
                <w:color w:val="00B050"/>
                <w:sz w:val="20"/>
              </w:rPr>
              <w:t>Spring 2025</w:t>
            </w:r>
          </w:p>
          <w:p w14:paraId="6DC1576F" w14:textId="169A76EF" w:rsidR="00A83C1D" w:rsidRDefault="00A83C1D" w:rsidP="00A83C1D">
            <w:pPr>
              <w:pStyle w:val="TableRowCentered"/>
              <w:ind w:left="0" w:right="0"/>
              <w:jc w:val="left"/>
              <w:rPr>
                <w:color w:val="FF0000"/>
              </w:rPr>
            </w:pPr>
          </w:p>
          <w:p w14:paraId="0B046469" w14:textId="77777777" w:rsidR="00541D8C" w:rsidRDefault="00541D8C" w:rsidP="00541D8C">
            <w:pPr>
              <w:pStyle w:val="TableRowCentered"/>
              <w:ind w:left="0" w:right="0"/>
              <w:jc w:val="left"/>
              <w:rPr>
                <w:b/>
                <w:color w:val="00B050"/>
                <w:sz w:val="20"/>
              </w:rPr>
            </w:pPr>
            <w:r w:rsidRPr="008E50B4">
              <w:rPr>
                <w:color w:val="00B050"/>
                <w:sz w:val="20"/>
              </w:rPr>
              <w:t>Of the 46 PP children, Inclusion Lead has supported with advice, referrals and signposting for 32 of the families.</w:t>
            </w:r>
          </w:p>
          <w:p w14:paraId="3ED1600D" w14:textId="6E2E7D0E" w:rsidR="00541D8C" w:rsidRDefault="00541D8C" w:rsidP="00A83C1D">
            <w:pPr>
              <w:pStyle w:val="TableRowCentered"/>
              <w:ind w:left="0" w:right="0"/>
              <w:jc w:val="left"/>
              <w:rPr>
                <w:color w:val="FF0000"/>
              </w:rPr>
            </w:pPr>
          </w:p>
          <w:p w14:paraId="08806944" w14:textId="67C2F3AC" w:rsidR="00C4004B" w:rsidRDefault="00C4004B" w:rsidP="00A83C1D">
            <w:pPr>
              <w:pStyle w:val="TableRowCentered"/>
              <w:ind w:left="0" w:right="0"/>
              <w:jc w:val="left"/>
              <w:rPr>
                <w:color w:val="00B050"/>
                <w:sz w:val="20"/>
              </w:rPr>
            </w:pPr>
            <w:r>
              <w:rPr>
                <w:b/>
                <w:color w:val="00B050"/>
                <w:sz w:val="20"/>
              </w:rPr>
              <w:t xml:space="preserve">Case study </w:t>
            </w:r>
            <w:r w:rsidRPr="00AB6C4E">
              <w:rPr>
                <w:b/>
                <w:color w:val="00B050"/>
                <w:sz w:val="20"/>
              </w:rPr>
              <w:t>1</w:t>
            </w:r>
            <w:r>
              <w:rPr>
                <w:b/>
                <w:color w:val="00B050"/>
                <w:sz w:val="20"/>
              </w:rPr>
              <w:t xml:space="preserve"> – KK – Y1, boy, PP, SEND (ADHD pathway): </w:t>
            </w:r>
            <w:r>
              <w:rPr>
                <w:color w:val="00B050"/>
                <w:sz w:val="20"/>
              </w:rPr>
              <w:t>Mother has previously struggled to collaborate with school and had difficult experiences of school herself (is also neurodivergent). Regular meetings held with SENCO, including ‘keeping in touch’ emails and phone calls. Referrals made for assessments and external support, including referrals to CAMHS, school nursing team, SMHS and FDfF. Supporting statements written to support housing move and applications for DLA. Recently, this parent attended two optional coffee mornings and relationships with school are now incredibly strong and positive.</w:t>
            </w:r>
          </w:p>
          <w:p w14:paraId="546B9F31" w14:textId="725B059E" w:rsidR="007C0614" w:rsidRDefault="007C0614" w:rsidP="004F1CED">
            <w:pPr>
              <w:pStyle w:val="TableRowCentered"/>
              <w:ind w:left="0" w:right="0"/>
              <w:jc w:val="left"/>
            </w:pPr>
          </w:p>
        </w:tc>
      </w:tr>
      <w:tr w:rsidR="007C0614" w14:paraId="1EB94ED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B5FA" w14:textId="2C3E5D92" w:rsidR="007C0614" w:rsidRDefault="007C0614" w:rsidP="00C31636">
            <w:pPr>
              <w:pStyle w:val="TableRow"/>
              <w:ind w:left="0" w:right="0"/>
            </w:pPr>
            <w:r>
              <w:t>Pupils with disadvantage are supported to feel they belong in the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DDAE4" w14:textId="7F269BAB" w:rsidR="007C0614" w:rsidRDefault="007C0614" w:rsidP="00C31636">
            <w:pPr>
              <w:pStyle w:val="TableRowCentered"/>
              <w:ind w:left="0" w:right="0"/>
              <w:jc w:val="left"/>
            </w:pPr>
            <w:r>
              <w:t>Pupils want to come to school and they have a positive experience when they are here. This is particula</w:t>
            </w:r>
            <w:r w:rsidR="00AB6C4E">
              <w:t>rly important for pupils with</w:t>
            </w:r>
            <w:r>
              <w:t xml:space="preserve"> SEN as this has been identified nationally as a concern for this group. </w:t>
            </w:r>
          </w:p>
          <w:p w14:paraId="38694B75" w14:textId="1CC44DAB" w:rsidR="007C0614" w:rsidRDefault="007C0614" w:rsidP="00C31636">
            <w:pPr>
              <w:pStyle w:val="TableRowCentered"/>
              <w:ind w:left="0" w:right="0"/>
              <w:jc w:val="left"/>
            </w:pPr>
          </w:p>
          <w:p w14:paraId="68DF56F7" w14:textId="674772B2" w:rsidR="000E1329" w:rsidRDefault="0005493F" w:rsidP="000E1329">
            <w:pPr>
              <w:pStyle w:val="TableRowCentered"/>
              <w:ind w:left="0" w:right="0"/>
              <w:jc w:val="left"/>
              <w:rPr>
                <w:b/>
                <w:color w:val="00B050"/>
                <w:sz w:val="20"/>
              </w:rPr>
            </w:pPr>
            <w:r>
              <w:rPr>
                <w:b/>
                <w:color w:val="00B050"/>
                <w:sz w:val="20"/>
              </w:rPr>
              <w:t>Spring 2025</w:t>
            </w:r>
          </w:p>
          <w:p w14:paraId="5B182456" w14:textId="77777777" w:rsidR="000E1329" w:rsidRDefault="000E1329" w:rsidP="000E1329">
            <w:pPr>
              <w:pStyle w:val="TableRowCentered"/>
              <w:ind w:left="0" w:right="0"/>
              <w:jc w:val="left"/>
              <w:rPr>
                <w:b/>
                <w:color w:val="00B050"/>
                <w:sz w:val="20"/>
              </w:rPr>
            </w:pPr>
          </w:p>
          <w:p w14:paraId="4836D294" w14:textId="536572E6" w:rsidR="000E1329" w:rsidRPr="00AB6C4E" w:rsidRDefault="000E1329" w:rsidP="000E1329">
            <w:pPr>
              <w:pStyle w:val="TableRowCentered"/>
              <w:ind w:left="0" w:right="0"/>
              <w:jc w:val="left"/>
              <w:rPr>
                <w:color w:val="00B050"/>
                <w:sz w:val="20"/>
              </w:rPr>
            </w:pPr>
            <w:r>
              <w:rPr>
                <w:b/>
                <w:color w:val="00B050"/>
                <w:sz w:val="20"/>
              </w:rPr>
              <w:t xml:space="preserve">Case study </w:t>
            </w:r>
            <w:r w:rsidRPr="00AB6C4E">
              <w:rPr>
                <w:b/>
                <w:color w:val="00B050"/>
                <w:sz w:val="20"/>
              </w:rPr>
              <w:t>1</w:t>
            </w:r>
            <w:r w:rsidR="00312619" w:rsidRPr="00AB6C4E">
              <w:rPr>
                <w:b/>
                <w:color w:val="00B050"/>
                <w:sz w:val="20"/>
              </w:rPr>
              <w:t xml:space="preserve"> – </w:t>
            </w:r>
            <w:r w:rsidR="00AB6C4E" w:rsidRPr="00AB6C4E">
              <w:rPr>
                <w:b/>
                <w:color w:val="00B050"/>
                <w:sz w:val="20"/>
              </w:rPr>
              <w:t>NDO – Y2, boy, SEND:</w:t>
            </w:r>
            <w:r w:rsidR="00AB6C4E">
              <w:rPr>
                <w:color w:val="00B050"/>
                <w:sz w:val="20"/>
              </w:rPr>
              <w:t xml:space="preserve"> </w:t>
            </w:r>
            <w:r w:rsidR="003D425F">
              <w:rPr>
                <w:color w:val="00B050"/>
                <w:sz w:val="20"/>
              </w:rPr>
              <w:t>Attendance is 50.23% due to complex health needs. Work is sent home via Tapestry and shared with class, when absent. Children in class have created cards during longer periods of absence and class teacher calls home to maintain connection. Child has been included in ‘Let’s Dance 2025’.</w:t>
            </w:r>
          </w:p>
          <w:p w14:paraId="7A3961B6" w14:textId="77777777" w:rsidR="000E1329" w:rsidRDefault="000E1329" w:rsidP="000E1329">
            <w:pPr>
              <w:pStyle w:val="TableRowCentered"/>
              <w:ind w:left="0" w:right="0"/>
              <w:jc w:val="left"/>
              <w:rPr>
                <w:b/>
                <w:color w:val="00B050"/>
                <w:sz w:val="20"/>
              </w:rPr>
            </w:pPr>
          </w:p>
          <w:p w14:paraId="31E45058" w14:textId="1DEA3402" w:rsidR="000E1329" w:rsidRPr="008C4499" w:rsidRDefault="000E1329" w:rsidP="00C31636">
            <w:pPr>
              <w:pStyle w:val="TableRowCentered"/>
              <w:ind w:left="0" w:right="0"/>
              <w:jc w:val="left"/>
              <w:rPr>
                <w:color w:val="00B050"/>
                <w:sz w:val="20"/>
              </w:rPr>
            </w:pPr>
            <w:r>
              <w:rPr>
                <w:b/>
                <w:color w:val="00B050"/>
                <w:sz w:val="20"/>
              </w:rPr>
              <w:t>Case study 2</w:t>
            </w:r>
            <w:r w:rsidR="00312619">
              <w:rPr>
                <w:b/>
                <w:color w:val="00B050"/>
                <w:sz w:val="20"/>
              </w:rPr>
              <w:t xml:space="preserve"> </w:t>
            </w:r>
            <w:r w:rsidR="008C4499">
              <w:rPr>
                <w:b/>
                <w:color w:val="00B050"/>
                <w:sz w:val="20"/>
              </w:rPr>
              <w:t>–</w:t>
            </w:r>
            <w:r w:rsidR="00312619">
              <w:rPr>
                <w:b/>
                <w:color w:val="00B050"/>
                <w:sz w:val="20"/>
              </w:rPr>
              <w:t xml:space="preserve"> </w:t>
            </w:r>
            <w:r w:rsidR="008C4499">
              <w:rPr>
                <w:b/>
                <w:color w:val="00B050"/>
                <w:sz w:val="20"/>
              </w:rPr>
              <w:t xml:space="preserve">JB – Y2, boy, PP+: </w:t>
            </w:r>
            <w:r w:rsidR="008C4499">
              <w:rPr>
                <w:color w:val="00B050"/>
                <w:sz w:val="20"/>
              </w:rPr>
              <w:t xml:space="preserve">Child is given extra ‘jobs’ and ‘responsibilities’ to embed his sense of belonging. He has routines where he engages </w:t>
            </w:r>
            <w:r w:rsidR="00127CC2">
              <w:rPr>
                <w:color w:val="00B050"/>
                <w:sz w:val="20"/>
              </w:rPr>
              <w:t xml:space="preserve">regularly </w:t>
            </w:r>
            <w:r w:rsidR="008C4499">
              <w:rPr>
                <w:color w:val="00B050"/>
                <w:sz w:val="20"/>
              </w:rPr>
              <w:t>with key adults from around the school – office staff ensure they display drawings and cards that he creates.</w:t>
            </w:r>
          </w:p>
          <w:p w14:paraId="5EA5EE71" w14:textId="2BEE8BD2" w:rsidR="007C0614" w:rsidRDefault="007C0614" w:rsidP="00C31636">
            <w:pPr>
              <w:pStyle w:val="TableRowCentered"/>
              <w:ind w:left="0" w:right="0"/>
              <w:jc w:val="left"/>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6A38B75" w:rsidR="00E66558" w:rsidRDefault="00933C72">
      <w:r>
        <w:t xml:space="preserve">Budgeted cost: </w:t>
      </w:r>
      <w:r w:rsidRPr="00933C72">
        <w:rPr>
          <w:b/>
          <w:i/>
          <w:iCs/>
        </w:rPr>
        <w:t>£24,316.50</w:t>
      </w:r>
    </w:p>
    <w:tbl>
      <w:tblPr>
        <w:tblW w:w="5000" w:type="pct"/>
        <w:tblCellMar>
          <w:left w:w="10" w:type="dxa"/>
          <w:right w:w="10" w:type="dxa"/>
        </w:tblCellMar>
        <w:tblLook w:val="04A0" w:firstRow="1" w:lastRow="0" w:firstColumn="1" w:lastColumn="0" w:noHBand="0" w:noVBand="1"/>
      </w:tblPr>
      <w:tblGrid>
        <w:gridCol w:w="3305"/>
        <w:gridCol w:w="4764"/>
        <w:gridCol w:w="1417"/>
      </w:tblGrid>
      <w:tr w:rsidR="00E66558" w14:paraId="2A7D5519" w14:textId="77777777" w:rsidTr="002A745C">
        <w:tc>
          <w:tcPr>
            <w:tcW w:w="33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7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3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rsidRPr="003E355D" w14:paraId="2A7D551D" w14:textId="77777777" w:rsidTr="002A745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6D22" w14:textId="1D7B1D31" w:rsidR="007037D3" w:rsidRPr="003E355D" w:rsidRDefault="002A745C" w:rsidP="007037D3">
            <w:pPr>
              <w:pStyle w:val="TableRow"/>
              <w:ind w:left="0" w:right="0"/>
              <w:rPr>
                <w:sz w:val="22"/>
              </w:rPr>
            </w:pPr>
            <w:r w:rsidRPr="003E355D">
              <w:rPr>
                <w:sz w:val="22"/>
              </w:rPr>
              <w:t>Ensure that all staff, have access to high quality t</w:t>
            </w:r>
            <w:r w:rsidR="007037D3" w:rsidRPr="003E355D">
              <w:rPr>
                <w:sz w:val="22"/>
              </w:rPr>
              <w:t>raining for phonics and reading.</w:t>
            </w:r>
          </w:p>
          <w:p w14:paraId="171BAA16" w14:textId="17BAFF97" w:rsidR="007037D3" w:rsidRPr="003E355D" w:rsidRDefault="007037D3" w:rsidP="007037D3">
            <w:pPr>
              <w:pStyle w:val="TableRow"/>
              <w:ind w:left="0" w:right="0"/>
              <w:rPr>
                <w:sz w:val="22"/>
              </w:rPr>
            </w:pPr>
          </w:p>
          <w:p w14:paraId="7BEBF335" w14:textId="54F91D2E" w:rsidR="007037D3" w:rsidRPr="003E355D" w:rsidRDefault="007037D3" w:rsidP="007037D3">
            <w:pPr>
              <w:pStyle w:val="TableRow"/>
              <w:ind w:left="0" w:right="0"/>
              <w:rPr>
                <w:sz w:val="22"/>
              </w:rPr>
            </w:pPr>
            <w:r w:rsidRPr="003E355D">
              <w:rPr>
                <w:sz w:val="22"/>
              </w:rPr>
              <w:t>SLT visits to local primary schools to observe and research phonics schemes and approaches (cover for 5 school visits: £1,312.50).</w:t>
            </w:r>
          </w:p>
          <w:p w14:paraId="79101FA3" w14:textId="4139DADB" w:rsidR="007037D3" w:rsidRPr="003E355D" w:rsidRDefault="007037D3" w:rsidP="007037D3">
            <w:pPr>
              <w:pStyle w:val="TableRow"/>
              <w:ind w:left="0" w:right="0"/>
              <w:rPr>
                <w:sz w:val="22"/>
              </w:rPr>
            </w:pPr>
          </w:p>
          <w:p w14:paraId="638DD022" w14:textId="1679FE17" w:rsidR="007037D3" w:rsidRPr="003E355D" w:rsidRDefault="007037D3" w:rsidP="007037D3">
            <w:pPr>
              <w:pStyle w:val="TableRow"/>
              <w:ind w:left="0" w:right="0"/>
              <w:rPr>
                <w:sz w:val="22"/>
              </w:rPr>
            </w:pPr>
            <w:r w:rsidRPr="003E355D">
              <w:rPr>
                <w:sz w:val="22"/>
              </w:rPr>
              <w:t>TA training meeting (1.5hrs cover for all support staff x 26) = £703</w:t>
            </w:r>
          </w:p>
          <w:p w14:paraId="33E109DD" w14:textId="7A0D4522" w:rsidR="007037D3" w:rsidRPr="003E355D" w:rsidRDefault="007037D3" w:rsidP="007037D3">
            <w:pPr>
              <w:pStyle w:val="TableRow"/>
              <w:ind w:left="0" w:right="0"/>
              <w:rPr>
                <w:sz w:val="22"/>
              </w:rPr>
            </w:pPr>
          </w:p>
          <w:p w14:paraId="6A22237C" w14:textId="4154B8BD" w:rsidR="007037D3" w:rsidRPr="003E355D" w:rsidRDefault="007037D3" w:rsidP="007037D3">
            <w:pPr>
              <w:pStyle w:val="TableRow"/>
              <w:ind w:left="0" w:right="0"/>
              <w:rPr>
                <w:sz w:val="22"/>
              </w:rPr>
            </w:pPr>
            <w:r w:rsidRPr="003E355D">
              <w:rPr>
                <w:sz w:val="22"/>
              </w:rPr>
              <w:t>Total: £2,015.50</w:t>
            </w:r>
          </w:p>
          <w:p w14:paraId="2A7D551A" w14:textId="4A7A10DF" w:rsidR="00E66558" w:rsidRPr="003E355D" w:rsidRDefault="00E66558" w:rsidP="007037D3">
            <w:pPr>
              <w:pStyle w:val="TableRow"/>
              <w:ind w:left="0" w:right="0"/>
            </w:pP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E1BD" w14:textId="77777777" w:rsidR="002A745C" w:rsidRPr="003E355D" w:rsidRDefault="002A745C" w:rsidP="00C31636">
            <w:pPr>
              <w:pStyle w:val="TableRowCentered"/>
              <w:ind w:left="0" w:right="0"/>
              <w:jc w:val="left"/>
              <w:rPr>
                <w:sz w:val="18"/>
              </w:rPr>
            </w:pPr>
            <w:r w:rsidRPr="003E355D">
              <w:rPr>
                <w:sz w:val="22"/>
                <w:szCs w:val="24"/>
              </w:rPr>
              <w:t>Ensure the quality of teaching – particularly of literacy - is high, as evidence indicates this has a disproportionate positive impact on disadvantaged pupils</w:t>
            </w:r>
            <w:r w:rsidRPr="003E355D">
              <w:t xml:space="preserve"> </w:t>
            </w:r>
            <w:r w:rsidRPr="003E355D">
              <w:rPr>
                <w:rStyle w:val="Hyperlink"/>
                <w:sz w:val="14"/>
              </w:rPr>
              <w:t>(</w:t>
            </w:r>
            <w:proofErr w:type="gramStart"/>
            <w:r w:rsidRPr="003E355D">
              <w:rPr>
                <w:rStyle w:val="Hyperlink"/>
                <w:sz w:val="14"/>
              </w:rPr>
              <w:t>https://www.suttontrust.com/wpcontent/uploads/2019/12/2teachers-impactreport-final-1.pdf )</w:t>
            </w:r>
            <w:proofErr w:type="gramEnd"/>
            <w:r w:rsidRPr="003E355D">
              <w:rPr>
                <w:rStyle w:val="Hyperlink"/>
                <w:sz w:val="14"/>
              </w:rPr>
              <w:t>.</w:t>
            </w:r>
            <w:r w:rsidRPr="003E355D">
              <w:rPr>
                <w:sz w:val="18"/>
              </w:rPr>
              <w:t xml:space="preserve"> </w:t>
            </w:r>
          </w:p>
          <w:p w14:paraId="69F34935" w14:textId="77777777" w:rsidR="002A745C" w:rsidRPr="003E355D" w:rsidRDefault="002A745C" w:rsidP="00C31636">
            <w:pPr>
              <w:pStyle w:val="TableRowCentered"/>
              <w:ind w:left="0" w:right="0"/>
              <w:jc w:val="left"/>
              <w:rPr>
                <w:sz w:val="18"/>
              </w:rPr>
            </w:pPr>
          </w:p>
          <w:p w14:paraId="2A28E4B8" w14:textId="77777777" w:rsidR="002A745C" w:rsidRPr="003E355D" w:rsidRDefault="002A745C" w:rsidP="00C31636">
            <w:pPr>
              <w:pStyle w:val="TableRowCentered"/>
              <w:ind w:left="0" w:right="0"/>
              <w:jc w:val="left"/>
            </w:pPr>
            <w:r w:rsidRPr="003E355D">
              <w:rPr>
                <w:sz w:val="22"/>
                <w:szCs w:val="24"/>
              </w:rPr>
              <w:t>Ensure a clear progression in phonics is mapped out throughout the year groups, supported by training for staff, and consistent resources used by all pupils in whole class and intervention work.</w:t>
            </w:r>
            <w:r w:rsidRPr="003E355D">
              <w:t xml:space="preserve"> </w:t>
            </w:r>
            <w:r w:rsidRPr="003E355D">
              <w:rPr>
                <w:rStyle w:val="Hyperlink"/>
                <w:sz w:val="14"/>
              </w:rPr>
              <w:t>https://educationendowmentfoundation.org.uk/ tools/guidance-reports/literacy-ks1/#recommendation-1)</w:t>
            </w:r>
            <w:r w:rsidRPr="003E355D">
              <w:t xml:space="preserve"> </w:t>
            </w:r>
          </w:p>
          <w:p w14:paraId="2E0727D7" w14:textId="77777777" w:rsidR="002A745C" w:rsidRPr="003E355D" w:rsidRDefault="002A745C" w:rsidP="00C31636">
            <w:pPr>
              <w:pStyle w:val="TableRowCentered"/>
              <w:ind w:left="0" w:right="0"/>
              <w:jc w:val="left"/>
            </w:pPr>
          </w:p>
          <w:p w14:paraId="2A7D551B" w14:textId="111C7730" w:rsidR="00E66558" w:rsidRPr="003E355D" w:rsidRDefault="00E66558" w:rsidP="007037D3">
            <w:pPr>
              <w:pStyle w:val="TableRowCentered"/>
              <w:ind w:left="0" w:right="0"/>
              <w:jc w:val="left"/>
              <w:rPr>
                <w:sz w:val="22"/>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3C86785" w:rsidR="00E66558" w:rsidRPr="003E355D" w:rsidRDefault="002A745C" w:rsidP="00C31636">
            <w:pPr>
              <w:pStyle w:val="TableRowCentered"/>
              <w:ind w:left="0" w:right="0"/>
              <w:jc w:val="left"/>
              <w:rPr>
                <w:sz w:val="22"/>
              </w:rPr>
            </w:pPr>
            <w:r w:rsidRPr="003E355D">
              <w:rPr>
                <w:sz w:val="22"/>
              </w:rPr>
              <w:t>3</w:t>
            </w:r>
          </w:p>
        </w:tc>
      </w:tr>
      <w:tr w:rsidR="00E66558" w:rsidRPr="003E355D" w14:paraId="2A7D5521" w14:textId="77777777" w:rsidTr="002A745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A8E5F" w14:textId="63D81E68" w:rsidR="0093204C" w:rsidRPr="003E355D" w:rsidRDefault="0093204C" w:rsidP="00C31636">
            <w:pPr>
              <w:pStyle w:val="TableRow"/>
              <w:ind w:left="0" w:right="0"/>
              <w:rPr>
                <w:sz w:val="22"/>
              </w:rPr>
            </w:pPr>
            <w:r w:rsidRPr="003E355D">
              <w:rPr>
                <w:sz w:val="22"/>
              </w:rPr>
              <w:t>Embed</w:t>
            </w:r>
            <w:r w:rsidR="002A745C" w:rsidRPr="003E355D">
              <w:rPr>
                <w:sz w:val="22"/>
              </w:rPr>
              <w:t xml:space="preserve"> the use of continuous provision throughout the school. This to include sufficient adults to be able to support play-based learning</w:t>
            </w:r>
            <w:r w:rsidRPr="003E355D">
              <w:rPr>
                <w:sz w:val="22"/>
              </w:rPr>
              <w:t>, including access to outdoor learning</w:t>
            </w:r>
            <w:r w:rsidR="00051FD4" w:rsidRPr="003E355D">
              <w:rPr>
                <w:sz w:val="22"/>
              </w:rPr>
              <w:t xml:space="preserve"> and 1 x </w:t>
            </w:r>
            <w:r w:rsidRPr="003E355D">
              <w:rPr>
                <w:sz w:val="22"/>
              </w:rPr>
              <w:t>PDM</w:t>
            </w:r>
            <w:r w:rsidR="00051FD4" w:rsidRPr="003E355D">
              <w:rPr>
                <w:sz w:val="22"/>
              </w:rPr>
              <w:t>.</w:t>
            </w:r>
          </w:p>
          <w:p w14:paraId="2FC039F5" w14:textId="77777777" w:rsidR="00E02D30" w:rsidRPr="003E355D" w:rsidRDefault="00E02D30" w:rsidP="00C31636">
            <w:pPr>
              <w:pStyle w:val="TableRow"/>
              <w:ind w:left="0" w:right="0"/>
              <w:rPr>
                <w:sz w:val="22"/>
              </w:rPr>
            </w:pPr>
          </w:p>
          <w:p w14:paraId="2A7D551E" w14:textId="270E3016" w:rsidR="00E66558" w:rsidRPr="003E355D" w:rsidRDefault="00E02D30" w:rsidP="00C31636">
            <w:pPr>
              <w:pStyle w:val="TableRow"/>
              <w:ind w:left="0" w:right="0"/>
              <w:rPr>
                <w:i/>
                <w:sz w:val="22"/>
              </w:rPr>
            </w:pPr>
            <w:r w:rsidRPr="003E355D">
              <w:rPr>
                <w:sz w:val="22"/>
              </w:rPr>
              <w:t xml:space="preserve">Total: </w:t>
            </w:r>
            <w:r w:rsidR="00051FD4" w:rsidRPr="003E355D">
              <w:rPr>
                <w:sz w:val="22"/>
              </w:rPr>
              <w:t>£</w:t>
            </w:r>
            <w:r w:rsidR="00933C72" w:rsidRPr="003E355D">
              <w:rPr>
                <w:sz w:val="22"/>
              </w:rPr>
              <w:t>21,594</w:t>
            </w: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6A1F4E7C" w:rsidR="00E66558" w:rsidRPr="003E355D" w:rsidRDefault="0093204C" w:rsidP="00C31636">
            <w:pPr>
              <w:pStyle w:val="TableRowCentered"/>
              <w:ind w:left="0" w:right="0"/>
              <w:jc w:val="left"/>
              <w:rPr>
                <w:sz w:val="22"/>
              </w:rPr>
            </w:pPr>
            <w:r w:rsidRPr="003E355D">
              <w:rPr>
                <w:sz w:val="22"/>
              </w:rPr>
              <w:t xml:space="preserve">Early Excellence highlight the benefits of a continuous provision approach: </w:t>
            </w:r>
            <w:r w:rsidRPr="003E355D">
              <w:rPr>
                <w:rStyle w:val="Hyperlink"/>
                <w:sz w:val="14"/>
              </w:rPr>
              <w:t>https://earlyexcellence.com/practice-and-pedagogy/using-continuous-provision/</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525AF6F" w:rsidR="00E66558" w:rsidRPr="003E355D" w:rsidRDefault="002A745C" w:rsidP="00C31636">
            <w:pPr>
              <w:pStyle w:val="TableRowCentered"/>
              <w:ind w:left="0" w:right="0"/>
              <w:jc w:val="left"/>
              <w:rPr>
                <w:sz w:val="22"/>
              </w:rPr>
            </w:pPr>
            <w:r w:rsidRPr="003E355D">
              <w:rPr>
                <w:sz w:val="22"/>
              </w:rPr>
              <w:t>2</w:t>
            </w:r>
          </w:p>
        </w:tc>
      </w:tr>
      <w:tr w:rsidR="002A745C" w:rsidRPr="003E355D" w14:paraId="6209B1F7" w14:textId="77777777" w:rsidTr="002A745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D219" w14:textId="77777777" w:rsidR="0093204C" w:rsidRPr="003E355D" w:rsidRDefault="002A745C" w:rsidP="00C31636">
            <w:pPr>
              <w:pStyle w:val="TableRow"/>
              <w:ind w:left="0" w:right="0"/>
              <w:rPr>
                <w:sz w:val="22"/>
              </w:rPr>
            </w:pPr>
            <w:r w:rsidRPr="003E355D">
              <w:rPr>
                <w:sz w:val="22"/>
              </w:rPr>
              <w:t xml:space="preserve">Use of ‘Just Right’ to support SEMH and regulation. </w:t>
            </w:r>
          </w:p>
          <w:p w14:paraId="5B73AF3D" w14:textId="212700B7" w:rsidR="0093204C" w:rsidRPr="003E355D" w:rsidRDefault="0093204C" w:rsidP="00C31636">
            <w:pPr>
              <w:pStyle w:val="TableRow"/>
              <w:ind w:left="0" w:right="0"/>
              <w:rPr>
                <w:sz w:val="22"/>
              </w:rPr>
            </w:pPr>
            <w:r w:rsidRPr="003E355D">
              <w:rPr>
                <w:sz w:val="22"/>
              </w:rPr>
              <w:t>W</w:t>
            </w:r>
            <w:r w:rsidR="00E02D30" w:rsidRPr="003E355D">
              <w:rPr>
                <w:sz w:val="22"/>
              </w:rPr>
              <w:t>hole staff INSET</w:t>
            </w:r>
            <w:r w:rsidRPr="003E355D">
              <w:rPr>
                <w:sz w:val="22"/>
              </w:rPr>
              <w:t xml:space="preserve"> - £157 </w:t>
            </w:r>
            <w:r w:rsidR="00E02D30" w:rsidRPr="003E355D">
              <w:rPr>
                <w:sz w:val="22"/>
              </w:rPr>
              <w:t xml:space="preserve">(BHISS) </w:t>
            </w:r>
            <w:r w:rsidRPr="003E355D">
              <w:rPr>
                <w:sz w:val="22"/>
              </w:rPr>
              <w:t>+</w:t>
            </w:r>
            <w:r w:rsidR="00E02D30" w:rsidRPr="003E355D">
              <w:rPr>
                <w:sz w:val="22"/>
              </w:rPr>
              <w:t xml:space="preserve"> </w:t>
            </w:r>
            <w:r w:rsidRPr="003E355D">
              <w:rPr>
                <w:sz w:val="22"/>
              </w:rPr>
              <w:t xml:space="preserve"> </w:t>
            </w:r>
            <w:r w:rsidR="00E02D30" w:rsidRPr="003E355D">
              <w:rPr>
                <w:sz w:val="22"/>
              </w:rPr>
              <w:t xml:space="preserve">additional half a </w:t>
            </w:r>
            <w:r w:rsidRPr="003E355D">
              <w:rPr>
                <w:sz w:val="22"/>
              </w:rPr>
              <w:t>day</w:t>
            </w:r>
            <w:r w:rsidR="00E02D30" w:rsidRPr="003E355D">
              <w:rPr>
                <w:sz w:val="22"/>
              </w:rPr>
              <w:t>’</w:t>
            </w:r>
            <w:r w:rsidRPr="003E355D">
              <w:rPr>
                <w:sz w:val="22"/>
              </w:rPr>
              <w:t>s staffing cost for p/t staff</w:t>
            </w:r>
            <w:r w:rsidR="00E02D30" w:rsidRPr="003E355D">
              <w:rPr>
                <w:sz w:val="22"/>
              </w:rPr>
              <w:t xml:space="preserve"> (10)</w:t>
            </w:r>
            <w:r w:rsidRPr="003E355D">
              <w:rPr>
                <w:sz w:val="22"/>
              </w:rPr>
              <w:t xml:space="preserve"> to attend</w:t>
            </w:r>
            <w:r w:rsidR="00E02D30" w:rsidRPr="003E355D">
              <w:rPr>
                <w:sz w:val="22"/>
              </w:rPr>
              <w:t xml:space="preserve"> </w:t>
            </w:r>
            <w:r w:rsidRPr="003E355D">
              <w:rPr>
                <w:sz w:val="22"/>
              </w:rPr>
              <w:t xml:space="preserve">: </w:t>
            </w:r>
            <w:r w:rsidR="00E02D30" w:rsidRPr="003E355D">
              <w:rPr>
                <w:sz w:val="22"/>
              </w:rPr>
              <w:t>£550</w:t>
            </w:r>
          </w:p>
          <w:p w14:paraId="7053430F" w14:textId="77777777" w:rsidR="00E7128E" w:rsidRPr="003E355D" w:rsidRDefault="00E7128E" w:rsidP="00C31636">
            <w:pPr>
              <w:pStyle w:val="TableRow"/>
              <w:ind w:left="0" w:right="0"/>
              <w:rPr>
                <w:sz w:val="22"/>
              </w:rPr>
            </w:pPr>
          </w:p>
          <w:p w14:paraId="65A6A8C3" w14:textId="714F2DFC" w:rsidR="002A745C" w:rsidRPr="003E355D" w:rsidRDefault="00E02D30" w:rsidP="00C31636">
            <w:pPr>
              <w:pStyle w:val="TableRow"/>
              <w:ind w:left="0" w:right="0"/>
            </w:pPr>
            <w:r w:rsidRPr="003E355D">
              <w:rPr>
                <w:sz w:val="22"/>
              </w:rPr>
              <w:t>Total: £707</w:t>
            </w: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2552" w14:textId="1AC2F02F" w:rsidR="002A745C" w:rsidRPr="003E355D" w:rsidRDefault="00D842FA" w:rsidP="00C31636">
            <w:pPr>
              <w:pStyle w:val="TableRowCentered"/>
              <w:ind w:left="0" w:right="0"/>
              <w:jc w:val="left"/>
            </w:pPr>
            <w:r w:rsidRPr="003E355D">
              <w:rPr>
                <w:sz w:val="22"/>
              </w:rPr>
              <w:t xml:space="preserve">The Education Endowment Foundation (EEF) highlights the importance of social and emotional learning: </w:t>
            </w:r>
            <w:r w:rsidR="002A745C" w:rsidRPr="003E355D">
              <w:rPr>
                <w:rStyle w:val="Hyperlink"/>
                <w:sz w:val="14"/>
              </w:rPr>
              <w:t>https://educationendowmentfoundation.org.uk/education-evidence/teaching-learning-toolkit/social-and-emotional-learning</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58484" w14:textId="5DA6D646" w:rsidR="002A745C" w:rsidRPr="003E355D" w:rsidRDefault="002A745C" w:rsidP="00C31636">
            <w:pPr>
              <w:pStyle w:val="TableRowCentered"/>
              <w:ind w:left="0" w:right="0"/>
              <w:jc w:val="left"/>
              <w:rPr>
                <w:sz w:val="22"/>
              </w:rPr>
            </w:pPr>
            <w:r w:rsidRPr="003E355D">
              <w:rPr>
                <w:sz w:val="22"/>
              </w:rPr>
              <w:t>2, 5</w:t>
            </w:r>
          </w:p>
        </w:tc>
      </w:tr>
    </w:tbl>
    <w:p w14:paraId="2A7D5522" w14:textId="77777777" w:rsidR="00E66558" w:rsidRPr="003E355D" w:rsidRDefault="00E66558" w:rsidP="00ED5108"/>
    <w:p w14:paraId="2A7D5523" w14:textId="5B2BE35F" w:rsidR="00E66558" w:rsidRPr="003E355D" w:rsidRDefault="009D71E8" w:rsidP="00AA355B">
      <w:pPr>
        <w:pStyle w:val="Heading3"/>
      </w:pPr>
      <w:r w:rsidRPr="003E355D">
        <w:t xml:space="preserve">Targeted academic support (for example, </w:t>
      </w:r>
      <w:r w:rsidR="00D33FE5" w:rsidRPr="003E355D">
        <w:t>tutoring, one-to-one support</w:t>
      </w:r>
      <w:r w:rsidR="00F776E1" w:rsidRPr="003E355D">
        <w:t>,</w:t>
      </w:r>
      <w:r w:rsidR="00D33FE5" w:rsidRPr="003E355D">
        <w:t xml:space="preserve"> </w:t>
      </w:r>
      <w:r w:rsidRPr="003E355D">
        <w:t xml:space="preserve">structured interventions) </w:t>
      </w:r>
    </w:p>
    <w:p w14:paraId="2A7D5524" w14:textId="5F14BBE4" w:rsidR="00E66558" w:rsidRPr="003E355D" w:rsidRDefault="00933C72">
      <w:r w:rsidRPr="003E355D">
        <w:t xml:space="preserve">Budgeted cost: </w:t>
      </w:r>
      <w:r w:rsidRPr="003E355D">
        <w:rPr>
          <w:b/>
          <w:i/>
          <w:iCs/>
        </w:rPr>
        <w:t>£20,592.50</w:t>
      </w:r>
    </w:p>
    <w:tbl>
      <w:tblPr>
        <w:tblW w:w="5000" w:type="pct"/>
        <w:tblLayout w:type="fixed"/>
        <w:tblCellMar>
          <w:left w:w="10" w:type="dxa"/>
          <w:right w:w="10" w:type="dxa"/>
        </w:tblCellMar>
        <w:tblLook w:val="04A0" w:firstRow="1" w:lastRow="0" w:firstColumn="1" w:lastColumn="0" w:noHBand="0" w:noVBand="1"/>
      </w:tblPr>
      <w:tblGrid>
        <w:gridCol w:w="2547"/>
        <w:gridCol w:w="5649"/>
        <w:gridCol w:w="1290"/>
      </w:tblGrid>
      <w:tr w:rsidR="00E66558" w:rsidRPr="003E355D" w14:paraId="2A7D5528" w14:textId="77777777" w:rsidTr="00F90694">
        <w:tc>
          <w:tcPr>
            <w:tcW w:w="25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3E355D" w:rsidRDefault="009D71E8" w:rsidP="00C31636">
            <w:pPr>
              <w:pStyle w:val="TableHeader"/>
              <w:ind w:left="0" w:right="0"/>
              <w:jc w:val="left"/>
            </w:pPr>
            <w:r w:rsidRPr="003E355D">
              <w:t>Activity</w:t>
            </w:r>
          </w:p>
        </w:tc>
        <w:tc>
          <w:tcPr>
            <w:tcW w:w="564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3E355D" w:rsidRDefault="009D71E8" w:rsidP="00C31636">
            <w:pPr>
              <w:pStyle w:val="TableHeader"/>
              <w:ind w:left="0" w:right="0"/>
              <w:jc w:val="left"/>
            </w:pPr>
            <w:r w:rsidRPr="003E355D">
              <w:t>Evidence that supports this approach</w:t>
            </w:r>
          </w:p>
        </w:tc>
        <w:tc>
          <w:tcPr>
            <w:tcW w:w="129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4F5A213A" w:rsidR="00E66558" w:rsidRPr="003E355D" w:rsidRDefault="009D71E8" w:rsidP="001E5F23">
            <w:pPr>
              <w:pStyle w:val="TableHeader"/>
              <w:ind w:left="0" w:right="0"/>
              <w:jc w:val="left"/>
            </w:pPr>
            <w:r w:rsidRPr="003E355D">
              <w:rPr>
                <w:sz w:val="20"/>
              </w:rPr>
              <w:t>Challenge  addressed</w:t>
            </w:r>
          </w:p>
        </w:tc>
      </w:tr>
      <w:tr w:rsidR="00E66558" w:rsidRPr="003E355D" w14:paraId="2A7D552C" w14:textId="77777777" w:rsidTr="00F9069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C27D" w14:textId="2660C09D" w:rsidR="00E66558" w:rsidRPr="003E355D" w:rsidRDefault="00A810B7" w:rsidP="00C31636">
            <w:pPr>
              <w:pStyle w:val="TableRow"/>
              <w:ind w:left="0" w:right="0"/>
              <w:rPr>
                <w:sz w:val="22"/>
              </w:rPr>
            </w:pPr>
            <w:r w:rsidRPr="003E355D">
              <w:rPr>
                <w:sz w:val="22"/>
              </w:rPr>
              <w:t xml:space="preserve">Better Reading Partnership </w:t>
            </w:r>
            <w:r w:rsidR="002A745C" w:rsidRPr="003E355D">
              <w:rPr>
                <w:sz w:val="22"/>
              </w:rPr>
              <w:t>Interventions (0.5 TA)</w:t>
            </w:r>
          </w:p>
          <w:p w14:paraId="68CA0FDD" w14:textId="08B019FF" w:rsidR="00E02D30" w:rsidRPr="003E355D" w:rsidRDefault="00E02D30" w:rsidP="00C31636">
            <w:pPr>
              <w:pStyle w:val="TableRow"/>
              <w:ind w:left="0" w:right="0"/>
              <w:rPr>
                <w:sz w:val="22"/>
              </w:rPr>
            </w:pPr>
          </w:p>
          <w:p w14:paraId="66E20C73" w14:textId="19DE845C" w:rsidR="00E02D30" w:rsidRPr="003E355D" w:rsidRDefault="00E02D30" w:rsidP="00C31636">
            <w:pPr>
              <w:pStyle w:val="TableRow"/>
              <w:ind w:left="0" w:right="0"/>
              <w:rPr>
                <w:sz w:val="22"/>
              </w:rPr>
            </w:pPr>
            <w:r w:rsidRPr="003E355D">
              <w:rPr>
                <w:sz w:val="22"/>
              </w:rPr>
              <w:t>Total: £14,000</w:t>
            </w:r>
          </w:p>
          <w:p w14:paraId="4AE791B0" w14:textId="77777777" w:rsidR="00C75511" w:rsidRPr="003E355D" w:rsidRDefault="00C75511" w:rsidP="00C31636">
            <w:pPr>
              <w:pStyle w:val="TableRow"/>
              <w:ind w:left="0" w:right="0"/>
            </w:pPr>
          </w:p>
          <w:p w14:paraId="2A7D5529" w14:textId="346A342A" w:rsidR="00C75511" w:rsidRPr="003E355D" w:rsidRDefault="00C75511" w:rsidP="00C31636">
            <w:pPr>
              <w:pStyle w:val="TableRow"/>
              <w:ind w:left="0" w:right="0"/>
            </w:pPr>
          </w:p>
        </w:tc>
        <w:tc>
          <w:tcPr>
            <w:tcW w:w="5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B3B14" w14:textId="711AECCC" w:rsidR="00E66558" w:rsidRPr="003E355D" w:rsidRDefault="002A745C" w:rsidP="00C31636">
            <w:pPr>
              <w:pStyle w:val="TableRowCentered"/>
              <w:ind w:left="0" w:right="0"/>
              <w:jc w:val="left"/>
              <w:rPr>
                <w:sz w:val="18"/>
              </w:rPr>
            </w:pPr>
            <w:r w:rsidRPr="003E355D">
              <w:rPr>
                <w:sz w:val="22"/>
              </w:rPr>
              <w:t>Better reading partners annual report</w:t>
            </w:r>
            <w:r w:rsidR="00C75511" w:rsidRPr="003E355D">
              <w:rPr>
                <w:sz w:val="22"/>
              </w:rPr>
              <w:t xml:space="preserve"> shows impact of the programme: </w:t>
            </w:r>
            <w:r w:rsidR="00C75511" w:rsidRPr="003E355D">
              <w:rPr>
                <w:rStyle w:val="Hyperlink"/>
                <w:sz w:val="14"/>
              </w:rPr>
              <w:t>chrome-extension://efaidnbmnnnibpcajpcglclefindmkaj/https://sites.edgehill.ac.uk/everychildcounts/files/2017/10/BRSP-Sample-School-Report.pdf</w:t>
            </w:r>
            <w:r w:rsidR="00C75511" w:rsidRPr="003E355D">
              <w:rPr>
                <w:sz w:val="14"/>
              </w:rPr>
              <w:t xml:space="preserve">  </w:t>
            </w:r>
          </w:p>
          <w:p w14:paraId="14DBC78A" w14:textId="77777777" w:rsidR="00C75511" w:rsidRPr="003E355D" w:rsidRDefault="00C75511" w:rsidP="00C31636">
            <w:pPr>
              <w:pStyle w:val="TableRowCentered"/>
              <w:ind w:left="0" w:right="0"/>
              <w:jc w:val="left"/>
              <w:rPr>
                <w:sz w:val="18"/>
              </w:rPr>
            </w:pPr>
          </w:p>
          <w:p w14:paraId="447906C1" w14:textId="1C687EBD" w:rsidR="00C75511" w:rsidRPr="003E355D" w:rsidRDefault="00C75511" w:rsidP="00C75511">
            <w:pPr>
              <w:pStyle w:val="TableRow"/>
              <w:ind w:left="0" w:right="0"/>
              <w:rPr>
                <w:sz w:val="22"/>
              </w:rPr>
            </w:pPr>
            <w:r w:rsidRPr="003E355D">
              <w:rPr>
                <w:sz w:val="22"/>
              </w:rPr>
              <w:t>The Education Endowment Foundation (EEF) highlights reading as a key barrier to disadvantaged pupils:</w:t>
            </w:r>
          </w:p>
          <w:p w14:paraId="2A7D552A" w14:textId="6913F25F" w:rsidR="00C75511" w:rsidRPr="0086005B" w:rsidRDefault="009651F9" w:rsidP="00C31636">
            <w:pPr>
              <w:pStyle w:val="TableRowCentered"/>
              <w:ind w:left="0" w:right="0"/>
              <w:jc w:val="left"/>
              <w:rPr>
                <w:color w:val="0000FF"/>
                <w:sz w:val="14"/>
                <w:u w:val="single"/>
              </w:rPr>
            </w:pPr>
            <w:hyperlink r:id="rId8" w:history="1">
              <w:r w:rsidR="00C75511" w:rsidRPr="003E355D">
                <w:rPr>
                  <w:rStyle w:val="Hyperlink"/>
                  <w:sz w:val="14"/>
                </w:rPr>
                <w:t>http://educationendowmentfoundation.org.uk/news/attendance-and-reading-key-barriers-to-disadvantaged-pupils-progress-say-three-in-four-schools</w:t>
              </w:r>
            </w:hyperlink>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15AF4C6" w:rsidR="00E66558" w:rsidRPr="003E355D" w:rsidRDefault="002A745C" w:rsidP="00C31636">
            <w:pPr>
              <w:pStyle w:val="TableRowCentered"/>
              <w:ind w:left="0" w:right="0"/>
              <w:jc w:val="left"/>
              <w:rPr>
                <w:sz w:val="22"/>
              </w:rPr>
            </w:pPr>
            <w:r w:rsidRPr="003E355D">
              <w:rPr>
                <w:sz w:val="22"/>
              </w:rPr>
              <w:t>2</w:t>
            </w:r>
          </w:p>
        </w:tc>
      </w:tr>
      <w:tr w:rsidR="00E66558" w:rsidRPr="003E355D" w14:paraId="2A7D5530" w14:textId="77777777" w:rsidTr="00F9069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8AB1" w14:textId="560C3D30" w:rsidR="004A001C" w:rsidRPr="003E355D" w:rsidRDefault="002A745C" w:rsidP="00C75511">
            <w:pPr>
              <w:pStyle w:val="TableRow"/>
              <w:ind w:left="0" w:right="0"/>
              <w:rPr>
                <w:sz w:val="22"/>
              </w:rPr>
            </w:pPr>
            <w:r w:rsidRPr="003E355D">
              <w:rPr>
                <w:sz w:val="22"/>
              </w:rPr>
              <w:t>Application for EHCPs at the earliest</w:t>
            </w:r>
            <w:r w:rsidR="00C75511" w:rsidRPr="003E355D">
              <w:rPr>
                <w:sz w:val="22"/>
              </w:rPr>
              <w:t xml:space="preserve"> opportunity are well evidenced</w:t>
            </w:r>
            <w:r w:rsidR="00E7128E" w:rsidRPr="003E355D">
              <w:rPr>
                <w:sz w:val="22"/>
              </w:rPr>
              <w:t xml:space="preserve"> utilising BHISS professionals, via the ‘Buy-back’ scheme</w:t>
            </w:r>
            <w:r w:rsidR="00C75511" w:rsidRPr="003E355D">
              <w:rPr>
                <w:sz w:val="22"/>
              </w:rPr>
              <w:t xml:space="preserve">. </w:t>
            </w:r>
          </w:p>
          <w:p w14:paraId="2E943AA6" w14:textId="339030AD" w:rsidR="00E7128E" w:rsidRPr="003E355D" w:rsidRDefault="00E7128E" w:rsidP="00C75511">
            <w:pPr>
              <w:pStyle w:val="TableRow"/>
              <w:ind w:left="0" w:right="0"/>
              <w:rPr>
                <w:sz w:val="22"/>
              </w:rPr>
            </w:pPr>
          </w:p>
          <w:p w14:paraId="2A7D552D" w14:textId="67D4EBD0" w:rsidR="00E7128E" w:rsidRPr="0086005B" w:rsidRDefault="00E7128E" w:rsidP="00E7128E">
            <w:pPr>
              <w:pStyle w:val="TableRow"/>
              <w:ind w:left="0" w:right="0"/>
              <w:rPr>
                <w:sz w:val="22"/>
              </w:rPr>
            </w:pPr>
            <w:r w:rsidRPr="003E355D">
              <w:rPr>
                <w:sz w:val="22"/>
              </w:rPr>
              <w:t>Total:</w:t>
            </w:r>
            <w:r w:rsidR="005F4648" w:rsidRPr="003E355D">
              <w:rPr>
                <w:sz w:val="22"/>
              </w:rPr>
              <w:t xml:space="preserve"> £</w:t>
            </w:r>
            <w:r w:rsidRPr="003E355D">
              <w:rPr>
                <w:sz w:val="22"/>
              </w:rPr>
              <w:t>3,710.80</w:t>
            </w:r>
          </w:p>
        </w:tc>
        <w:tc>
          <w:tcPr>
            <w:tcW w:w="5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249A62C7" w:rsidR="00E66558" w:rsidRPr="003E355D" w:rsidRDefault="004A001C" w:rsidP="00C31636">
            <w:pPr>
              <w:pStyle w:val="TableRowCentered"/>
              <w:ind w:left="0" w:right="0"/>
              <w:jc w:val="left"/>
              <w:rPr>
                <w:sz w:val="22"/>
              </w:rPr>
            </w:pPr>
            <w:r w:rsidRPr="003E355D">
              <w:rPr>
                <w:sz w:val="22"/>
              </w:rPr>
              <w:t xml:space="preserve">GOV.uk highlights the importance of early intervention for those with SEND: </w:t>
            </w:r>
            <w:hyperlink r:id="rId9" w:history="1">
              <w:r w:rsidRPr="003E355D">
                <w:rPr>
                  <w:rStyle w:val="Hyperlink"/>
                  <w:sz w:val="14"/>
                </w:rPr>
                <w:t>https://www.gov.uk/government/news/new-research-shows-early-intervention-is-key-in-helping-children-with-special-needs</w:t>
              </w:r>
            </w:hyperlink>
            <w:r w:rsidRPr="003E355D">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69F7284" w:rsidR="00E66558" w:rsidRPr="003E355D" w:rsidRDefault="002A745C" w:rsidP="00C31636">
            <w:pPr>
              <w:pStyle w:val="TableRowCentered"/>
              <w:ind w:left="0" w:right="0"/>
              <w:jc w:val="left"/>
              <w:rPr>
                <w:sz w:val="22"/>
              </w:rPr>
            </w:pPr>
            <w:r w:rsidRPr="003E355D">
              <w:rPr>
                <w:sz w:val="22"/>
              </w:rPr>
              <w:t>4, 5</w:t>
            </w:r>
          </w:p>
        </w:tc>
      </w:tr>
      <w:tr w:rsidR="002A745C" w:rsidRPr="003E355D" w14:paraId="3A4B845A" w14:textId="77777777" w:rsidTr="00F9069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8124C" w14:textId="773D698C" w:rsidR="00B60E69" w:rsidRPr="003E355D" w:rsidRDefault="00B60E69" w:rsidP="00B60E69">
            <w:pPr>
              <w:pStyle w:val="TableRow"/>
              <w:ind w:left="0" w:right="0"/>
              <w:rPr>
                <w:sz w:val="22"/>
              </w:rPr>
            </w:pPr>
            <w:r w:rsidRPr="003E355D">
              <w:rPr>
                <w:sz w:val="22"/>
              </w:rPr>
              <w:t>Use Speech L</w:t>
            </w:r>
            <w:r w:rsidR="002A745C" w:rsidRPr="003E355D">
              <w:rPr>
                <w:sz w:val="22"/>
              </w:rPr>
              <w:t>ink</w:t>
            </w:r>
            <w:r w:rsidRPr="003E355D">
              <w:rPr>
                <w:sz w:val="22"/>
              </w:rPr>
              <w:t xml:space="preserve"> and Language Link</w:t>
            </w:r>
            <w:r w:rsidR="002A745C" w:rsidRPr="003E355D">
              <w:rPr>
                <w:sz w:val="22"/>
              </w:rPr>
              <w:t xml:space="preserve"> to</w:t>
            </w:r>
            <w:r w:rsidRPr="003E355D">
              <w:rPr>
                <w:sz w:val="22"/>
              </w:rPr>
              <w:t xml:space="preserve"> assess and </w:t>
            </w:r>
            <w:r w:rsidR="002A745C" w:rsidRPr="003E355D">
              <w:rPr>
                <w:sz w:val="22"/>
              </w:rPr>
              <w:t xml:space="preserve">provide support for pupils with speech and language difficulties. </w:t>
            </w:r>
          </w:p>
          <w:p w14:paraId="664FFB8F" w14:textId="77777777" w:rsidR="002A745C" w:rsidRPr="003E355D" w:rsidRDefault="00B60E69" w:rsidP="00B60E69">
            <w:pPr>
              <w:pStyle w:val="TableRow"/>
              <w:ind w:left="0" w:right="0"/>
              <w:rPr>
                <w:sz w:val="22"/>
              </w:rPr>
            </w:pPr>
            <w:r w:rsidRPr="003E355D">
              <w:rPr>
                <w:sz w:val="22"/>
              </w:rPr>
              <w:t xml:space="preserve">£659.70 (programme cost) + £685 (1hr per week TA to run interventions) </w:t>
            </w:r>
          </w:p>
          <w:p w14:paraId="609BFD29" w14:textId="77777777" w:rsidR="00E02D30" w:rsidRPr="003E355D" w:rsidRDefault="00E02D30" w:rsidP="00B60E69">
            <w:pPr>
              <w:pStyle w:val="TableRow"/>
              <w:ind w:left="0" w:right="0"/>
              <w:rPr>
                <w:sz w:val="22"/>
              </w:rPr>
            </w:pPr>
          </w:p>
          <w:p w14:paraId="7CCDC209" w14:textId="43C9C48A" w:rsidR="00E02D30" w:rsidRPr="003E355D" w:rsidRDefault="00E02D30" w:rsidP="00B60E69">
            <w:pPr>
              <w:pStyle w:val="TableRow"/>
              <w:ind w:left="0" w:right="0"/>
            </w:pPr>
            <w:r w:rsidRPr="003E355D">
              <w:rPr>
                <w:sz w:val="22"/>
              </w:rPr>
              <w:t>Total: £1,344.70</w:t>
            </w:r>
          </w:p>
        </w:tc>
        <w:tc>
          <w:tcPr>
            <w:tcW w:w="5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B6F8E" w14:textId="4162A67E" w:rsidR="002A745C" w:rsidRPr="003E355D" w:rsidRDefault="00B60E69" w:rsidP="00C31636">
            <w:pPr>
              <w:pStyle w:val="TableRowCentered"/>
              <w:ind w:left="0" w:right="0"/>
              <w:jc w:val="left"/>
              <w:rPr>
                <w:rStyle w:val="Hyperlink"/>
                <w:sz w:val="14"/>
              </w:rPr>
            </w:pPr>
            <w:r w:rsidRPr="003E355D">
              <w:rPr>
                <w:sz w:val="22"/>
              </w:rPr>
              <w:t xml:space="preserve">The Education Endowment Foundation (EEF) highlights the importance of oral language interventions: </w:t>
            </w:r>
            <w:hyperlink r:id="rId10" w:history="1">
              <w:r w:rsidR="002A745C" w:rsidRPr="003E355D">
                <w:rPr>
                  <w:rStyle w:val="Hyperlink"/>
                  <w:sz w:val="14"/>
                </w:rPr>
                <w:t>https://educationendowmentfoundation.org.uk/education-evidence/teaching-learning-toolkit/oral-language-interventions</w:t>
              </w:r>
            </w:hyperlink>
          </w:p>
          <w:p w14:paraId="45E9A0F1" w14:textId="77777777" w:rsidR="002A745C" w:rsidRPr="003E355D" w:rsidRDefault="002A745C" w:rsidP="00C31636">
            <w:pPr>
              <w:pStyle w:val="TableRowCentered"/>
              <w:ind w:left="0" w:right="0"/>
              <w:jc w:val="left"/>
              <w:rPr>
                <w:sz w:val="18"/>
              </w:rPr>
            </w:pPr>
          </w:p>
          <w:p w14:paraId="7C99DF88" w14:textId="0FD80D83" w:rsidR="002A745C" w:rsidRPr="003E355D" w:rsidRDefault="009651F9" w:rsidP="00C31636">
            <w:pPr>
              <w:pStyle w:val="TableRowCentered"/>
              <w:ind w:left="0" w:right="0"/>
              <w:jc w:val="left"/>
            </w:pPr>
            <w:hyperlink r:id="rId11" w:history="1">
              <w:r w:rsidR="004A001C" w:rsidRPr="003E355D">
                <w:rPr>
                  <w:rStyle w:val="Hyperlink"/>
                  <w:sz w:val="14"/>
                </w:rPr>
                <w:t>https://speechandlanguage.link/</w:t>
              </w:r>
            </w:hyperlink>
            <w:r w:rsidR="004A001C" w:rsidRPr="003E355D">
              <w:t xml:space="preserve">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165CF" w14:textId="7A7357BE" w:rsidR="002A745C" w:rsidRPr="003E355D" w:rsidRDefault="002A745C" w:rsidP="00C31636">
            <w:pPr>
              <w:pStyle w:val="TableRowCentered"/>
              <w:ind w:left="0" w:right="0"/>
              <w:jc w:val="left"/>
              <w:rPr>
                <w:sz w:val="22"/>
              </w:rPr>
            </w:pPr>
            <w:r w:rsidRPr="003E355D">
              <w:rPr>
                <w:sz w:val="22"/>
              </w:rPr>
              <w:t>3, 5</w:t>
            </w:r>
          </w:p>
        </w:tc>
      </w:tr>
      <w:tr w:rsidR="002A745C" w:rsidRPr="003E355D" w14:paraId="6C8748DF" w14:textId="77777777" w:rsidTr="00F9069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BFF0" w14:textId="12C7F2D0" w:rsidR="00E02D30" w:rsidRPr="003E355D" w:rsidRDefault="002A745C" w:rsidP="00C31636">
            <w:pPr>
              <w:pStyle w:val="TableRow"/>
              <w:ind w:left="0" w:right="0"/>
              <w:rPr>
                <w:sz w:val="22"/>
              </w:rPr>
            </w:pPr>
            <w:r w:rsidRPr="003E355D">
              <w:rPr>
                <w:sz w:val="22"/>
              </w:rPr>
              <w:t>Provide ‘Bug Club’ so that families have access to unlimited phonics linked books, skilling up parents and</w:t>
            </w:r>
            <w:r w:rsidR="008B2C98" w:rsidRPr="003E355D">
              <w:rPr>
                <w:sz w:val="22"/>
              </w:rPr>
              <w:t xml:space="preserve"> carers at the same time. </w:t>
            </w:r>
            <w:r w:rsidR="00E02D30" w:rsidRPr="003E355D">
              <w:rPr>
                <w:sz w:val="22"/>
              </w:rPr>
              <w:t>Cost: £1,307</w:t>
            </w:r>
          </w:p>
          <w:p w14:paraId="0567D56D" w14:textId="28780B8A" w:rsidR="00F90694" w:rsidRPr="003E355D" w:rsidRDefault="00F90694" w:rsidP="00C31636">
            <w:pPr>
              <w:pStyle w:val="TableRow"/>
              <w:ind w:left="0" w:right="0"/>
              <w:rPr>
                <w:sz w:val="22"/>
              </w:rPr>
            </w:pPr>
          </w:p>
          <w:p w14:paraId="1442E621" w14:textId="77777777" w:rsidR="00F90694" w:rsidRPr="003E355D" w:rsidRDefault="00F90694" w:rsidP="00C31636">
            <w:pPr>
              <w:pStyle w:val="TableRow"/>
              <w:ind w:left="0" w:right="0"/>
              <w:rPr>
                <w:sz w:val="22"/>
              </w:rPr>
            </w:pPr>
            <w:r w:rsidRPr="003E355D">
              <w:rPr>
                <w:sz w:val="22"/>
              </w:rPr>
              <w:t>Children are given an additional book to take home during World Book W</w:t>
            </w:r>
            <w:r w:rsidR="00E02D30" w:rsidRPr="003E355D">
              <w:rPr>
                <w:sz w:val="22"/>
              </w:rPr>
              <w:t>eek (46 x £5 = £230)</w:t>
            </w:r>
          </w:p>
          <w:p w14:paraId="6F96112E" w14:textId="77777777" w:rsidR="00E02D30" w:rsidRPr="003E355D" w:rsidRDefault="00E02D30" w:rsidP="00C31636">
            <w:pPr>
              <w:pStyle w:val="TableRow"/>
              <w:ind w:left="0" w:right="0"/>
              <w:rPr>
                <w:sz w:val="22"/>
              </w:rPr>
            </w:pPr>
          </w:p>
          <w:p w14:paraId="2BF58181" w14:textId="14485C02" w:rsidR="00E02D30" w:rsidRPr="003E355D" w:rsidRDefault="00E02D30" w:rsidP="00C31636">
            <w:pPr>
              <w:pStyle w:val="TableRow"/>
              <w:ind w:left="0" w:right="0"/>
              <w:rPr>
                <w:sz w:val="22"/>
              </w:rPr>
            </w:pPr>
            <w:r w:rsidRPr="003E355D">
              <w:rPr>
                <w:sz w:val="22"/>
              </w:rPr>
              <w:t>Total: £1,537</w:t>
            </w:r>
          </w:p>
        </w:tc>
        <w:tc>
          <w:tcPr>
            <w:tcW w:w="5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EB0A" w14:textId="30228B6C" w:rsidR="002A745C" w:rsidRPr="003E355D" w:rsidRDefault="002A745C" w:rsidP="008B2C98">
            <w:pPr>
              <w:pStyle w:val="TableRowCentered"/>
              <w:ind w:left="0" w:right="0"/>
              <w:jc w:val="left"/>
              <w:rPr>
                <w:sz w:val="18"/>
              </w:rPr>
            </w:pPr>
            <w:r w:rsidRPr="003E355D">
              <w:rPr>
                <w:sz w:val="22"/>
              </w:rPr>
              <w:t xml:space="preserve">Provide </w:t>
            </w:r>
            <w:r w:rsidR="008B2C98" w:rsidRPr="003E355D">
              <w:rPr>
                <w:sz w:val="22"/>
              </w:rPr>
              <w:t>appropriate phonetically decodable</w:t>
            </w:r>
            <w:r w:rsidRPr="003E355D">
              <w:rPr>
                <w:sz w:val="22"/>
              </w:rPr>
              <w:t xml:space="preserve"> reading books for all pupils, ensuring that disadvantaged pupils have access to both real and e-books </w:t>
            </w:r>
            <w:r w:rsidR="008B2C98" w:rsidRPr="003E355D">
              <w:rPr>
                <w:sz w:val="22"/>
              </w:rPr>
              <w:t>and</w:t>
            </w:r>
            <w:r w:rsidRPr="003E355D">
              <w:rPr>
                <w:sz w:val="22"/>
              </w:rPr>
              <w:t xml:space="preserve"> additional reading sessions in school. </w:t>
            </w:r>
            <w:r w:rsidR="008B2C98" w:rsidRPr="003E355D">
              <w:rPr>
                <w:sz w:val="22"/>
              </w:rPr>
              <w:t xml:space="preserve">The EEF highlights the impact of phonics: </w:t>
            </w:r>
            <w:r w:rsidRPr="003E355D">
              <w:rPr>
                <w:rStyle w:val="Hyperlink"/>
                <w:sz w:val="14"/>
              </w:rPr>
              <w:t>(https://educationendowmentfoundation.org.uk/evidence -summaries/teaching-learning-toolkit/phonics/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68273" w14:textId="237C74A8" w:rsidR="002A745C" w:rsidRPr="003E355D" w:rsidRDefault="002A745C" w:rsidP="00C31636">
            <w:pPr>
              <w:pStyle w:val="TableRowCentered"/>
              <w:ind w:left="0" w:right="0"/>
              <w:jc w:val="left"/>
              <w:rPr>
                <w:sz w:val="22"/>
              </w:rPr>
            </w:pPr>
            <w:r w:rsidRPr="003E355D">
              <w:rPr>
                <w:sz w:val="22"/>
              </w:rPr>
              <w:t>3, 4</w:t>
            </w:r>
          </w:p>
        </w:tc>
      </w:tr>
    </w:tbl>
    <w:p w14:paraId="2A7D5531" w14:textId="77777777" w:rsidR="00E66558" w:rsidRPr="003E355D" w:rsidRDefault="00E66558" w:rsidP="00AA355B"/>
    <w:p w14:paraId="2A7D5532" w14:textId="59A68BC3" w:rsidR="00E66558" w:rsidRPr="003E355D" w:rsidRDefault="009D71E8" w:rsidP="00AA355B">
      <w:pPr>
        <w:pStyle w:val="Heading3"/>
      </w:pPr>
      <w:r w:rsidRPr="003E355D">
        <w:t>Wider strategies (for example, related to attendance, behaviour, wellbeing)</w:t>
      </w:r>
    </w:p>
    <w:p w14:paraId="2A7D5533" w14:textId="5BCC4F7C" w:rsidR="00E66558" w:rsidRPr="003E355D" w:rsidRDefault="00933C72">
      <w:pPr>
        <w:spacing w:before="240" w:after="120"/>
      </w:pPr>
      <w:r w:rsidRPr="003E355D">
        <w:t xml:space="preserve">Budgeted cost: </w:t>
      </w:r>
      <w:r w:rsidRPr="003E355D">
        <w:rPr>
          <w:b/>
          <w:i/>
          <w:iCs/>
        </w:rPr>
        <w:t>£43,311</w:t>
      </w:r>
    </w:p>
    <w:tbl>
      <w:tblPr>
        <w:tblW w:w="5000" w:type="pct"/>
        <w:tblCellMar>
          <w:left w:w="10" w:type="dxa"/>
          <w:right w:w="10" w:type="dxa"/>
        </w:tblCellMar>
        <w:tblLook w:val="04A0" w:firstRow="1" w:lastRow="0" w:firstColumn="1" w:lastColumn="0" w:noHBand="0" w:noVBand="1"/>
      </w:tblPr>
      <w:tblGrid>
        <w:gridCol w:w="3403"/>
        <w:gridCol w:w="4666"/>
        <w:gridCol w:w="1417"/>
      </w:tblGrid>
      <w:tr w:rsidR="00E66558" w:rsidRPr="003E355D" w14:paraId="2A7D5537" w14:textId="77777777" w:rsidTr="0086005B">
        <w:tc>
          <w:tcPr>
            <w:tcW w:w="340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3E355D" w:rsidRDefault="009D71E8" w:rsidP="00C31636">
            <w:pPr>
              <w:pStyle w:val="TableHeader"/>
              <w:ind w:left="0" w:right="0"/>
              <w:jc w:val="left"/>
            </w:pPr>
            <w:r w:rsidRPr="003E355D">
              <w:t>Activity</w:t>
            </w:r>
          </w:p>
        </w:tc>
        <w:tc>
          <w:tcPr>
            <w:tcW w:w="466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3E355D" w:rsidRDefault="009D71E8" w:rsidP="00C31636">
            <w:pPr>
              <w:pStyle w:val="TableHeader"/>
              <w:ind w:left="0" w:right="0"/>
              <w:jc w:val="left"/>
            </w:pPr>
            <w:r w:rsidRPr="003E355D">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3E355D" w:rsidRDefault="009D71E8" w:rsidP="00C31636">
            <w:pPr>
              <w:pStyle w:val="TableHeader"/>
              <w:ind w:left="0" w:right="0"/>
              <w:jc w:val="left"/>
            </w:pPr>
            <w:r w:rsidRPr="003E355D">
              <w:t>Challenge number(s) addressed</w:t>
            </w:r>
          </w:p>
        </w:tc>
      </w:tr>
      <w:tr w:rsidR="00E66558" w14:paraId="2A7D553B" w14:textId="77777777" w:rsidTr="0086005B">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87A01" w14:textId="77777777" w:rsidR="00616E36" w:rsidRPr="003E355D" w:rsidRDefault="00036F43" w:rsidP="00C31636">
            <w:pPr>
              <w:pStyle w:val="TableRow"/>
              <w:ind w:left="0" w:right="0"/>
              <w:rPr>
                <w:sz w:val="22"/>
              </w:rPr>
            </w:pPr>
            <w:r w:rsidRPr="003E355D">
              <w:rPr>
                <w:sz w:val="22"/>
              </w:rPr>
              <w:t xml:space="preserve">Teachers and leaders to work closely with parents and carers on attendance. </w:t>
            </w:r>
          </w:p>
          <w:p w14:paraId="41B3819D" w14:textId="77777777" w:rsidR="00616E36" w:rsidRPr="003E355D" w:rsidRDefault="00616E36" w:rsidP="00C31636">
            <w:pPr>
              <w:pStyle w:val="TableRow"/>
              <w:ind w:left="0" w:right="0"/>
              <w:rPr>
                <w:sz w:val="22"/>
              </w:rPr>
            </w:pPr>
          </w:p>
          <w:p w14:paraId="3010D2FF" w14:textId="037F5BCC" w:rsidR="00E66558" w:rsidRPr="003E355D" w:rsidRDefault="00036F43" w:rsidP="00616E36">
            <w:pPr>
              <w:pStyle w:val="TableRow"/>
              <w:ind w:left="0" w:right="0"/>
              <w:rPr>
                <w:sz w:val="22"/>
              </w:rPr>
            </w:pPr>
            <w:r w:rsidRPr="003E355D">
              <w:rPr>
                <w:sz w:val="22"/>
              </w:rPr>
              <w:t>Release</w:t>
            </w:r>
            <w:r w:rsidR="00616E36" w:rsidRPr="003E355D">
              <w:rPr>
                <w:sz w:val="22"/>
              </w:rPr>
              <w:t>,</w:t>
            </w:r>
            <w:r w:rsidRPr="003E355D">
              <w:rPr>
                <w:sz w:val="22"/>
              </w:rPr>
              <w:t xml:space="preserve"> as required</w:t>
            </w:r>
            <w:r w:rsidR="00616E36" w:rsidRPr="003E355D">
              <w:rPr>
                <w:sz w:val="22"/>
              </w:rPr>
              <w:t>,</w:t>
            </w:r>
            <w:r w:rsidR="000377A1" w:rsidRPr="003E355D">
              <w:rPr>
                <w:sz w:val="22"/>
              </w:rPr>
              <w:t xml:space="preserve"> to attend TAF meetings (worked out at one day per teacher, per year)</w:t>
            </w:r>
            <w:r w:rsidR="00051FD4" w:rsidRPr="003E355D">
              <w:rPr>
                <w:sz w:val="22"/>
              </w:rPr>
              <w:t xml:space="preserve"> £1,925</w:t>
            </w:r>
            <w:r w:rsidR="000377A1" w:rsidRPr="003E355D">
              <w:rPr>
                <w:sz w:val="22"/>
              </w:rPr>
              <w:t>.</w:t>
            </w:r>
          </w:p>
          <w:p w14:paraId="47F165E5" w14:textId="1A1FCB43" w:rsidR="00051FD4" w:rsidRPr="003E355D" w:rsidRDefault="00051FD4" w:rsidP="00616E36">
            <w:pPr>
              <w:pStyle w:val="TableRow"/>
              <w:ind w:left="0" w:right="0"/>
              <w:rPr>
                <w:sz w:val="22"/>
              </w:rPr>
            </w:pPr>
          </w:p>
          <w:p w14:paraId="50C59A09" w14:textId="7B78C3B6" w:rsidR="00051FD4" w:rsidRPr="003E355D" w:rsidRDefault="00051FD4" w:rsidP="00616E36">
            <w:pPr>
              <w:pStyle w:val="TableRow"/>
              <w:ind w:left="0" w:right="0"/>
              <w:rPr>
                <w:sz w:val="22"/>
              </w:rPr>
            </w:pPr>
            <w:r w:rsidRPr="003E355D">
              <w:rPr>
                <w:sz w:val="22"/>
              </w:rPr>
              <w:t xml:space="preserve">Tapestry as a means of communicating with parents digitally, including weekly round ups of </w:t>
            </w:r>
            <w:proofErr w:type="spellStart"/>
            <w:r w:rsidRPr="003E355D">
              <w:rPr>
                <w:sz w:val="22"/>
              </w:rPr>
              <w:t>learing</w:t>
            </w:r>
            <w:proofErr w:type="spellEnd"/>
            <w:r w:rsidRPr="003E355D">
              <w:rPr>
                <w:sz w:val="22"/>
              </w:rPr>
              <w:t xml:space="preserve"> (£1,386)</w:t>
            </w:r>
          </w:p>
          <w:p w14:paraId="0EE831DA" w14:textId="77777777" w:rsidR="00616E36" w:rsidRPr="003E355D" w:rsidRDefault="00616E36" w:rsidP="00616E36">
            <w:pPr>
              <w:pStyle w:val="TableRow"/>
              <w:ind w:left="0" w:right="0"/>
              <w:rPr>
                <w:sz w:val="22"/>
              </w:rPr>
            </w:pPr>
          </w:p>
          <w:p w14:paraId="2A7D5538" w14:textId="5B9B7776" w:rsidR="00616E36" w:rsidRPr="003E355D" w:rsidRDefault="00616E36" w:rsidP="00616E36">
            <w:pPr>
              <w:pStyle w:val="TableRow"/>
              <w:ind w:left="0" w:right="0"/>
            </w:pPr>
            <w:r w:rsidRPr="003E355D">
              <w:rPr>
                <w:sz w:val="22"/>
              </w:rPr>
              <w:t>Total: £</w:t>
            </w:r>
            <w:r w:rsidR="00051FD4" w:rsidRPr="003E355D">
              <w:rPr>
                <w:sz w:val="22"/>
              </w:rPr>
              <w:t>3,311</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64D75FF" w:rsidR="00E66558" w:rsidRPr="003E355D" w:rsidRDefault="00036F43" w:rsidP="00C31636">
            <w:pPr>
              <w:pStyle w:val="TableRowCentered"/>
              <w:ind w:left="0" w:right="0"/>
              <w:jc w:val="left"/>
              <w:rPr>
                <w:sz w:val="22"/>
              </w:rPr>
            </w:pPr>
            <w:r w:rsidRPr="003E355D">
              <w:rPr>
                <w:sz w:val="22"/>
              </w:rPr>
              <w:t xml:space="preserve">1:1 and bespoke work to support attendance, as disadvantaged pupils are disproportionately represented in our persistent absentee group. </w:t>
            </w:r>
            <w:r w:rsidRPr="003E355D">
              <w:rPr>
                <w:rStyle w:val="Hyperlink"/>
                <w:sz w:val="14"/>
              </w:rPr>
              <w:t xml:space="preserve">(https://www.gov.uk/government/publications/i </w:t>
            </w:r>
            <w:proofErr w:type="spellStart"/>
            <w:r w:rsidRPr="003E355D">
              <w:rPr>
                <w:rStyle w:val="Hyperlink"/>
                <w:sz w:val="14"/>
              </w:rPr>
              <w:t>mproving</w:t>
            </w:r>
            <w:proofErr w:type="spellEnd"/>
            <w:r w:rsidRPr="003E355D">
              <w:rPr>
                <w:rStyle w:val="Hyperlink"/>
                <w:sz w:val="14"/>
              </w:rPr>
              <w:t>-attendance-at-school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79A7281" w:rsidR="00E66558" w:rsidRPr="003E355D" w:rsidRDefault="00036F43" w:rsidP="00C31636">
            <w:pPr>
              <w:pStyle w:val="TableRowCentered"/>
              <w:ind w:left="0" w:right="0"/>
              <w:jc w:val="left"/>
              <w:rPr>
                <w:sz w:val="22"/>
              </w:rPr>
            </w:pPr>
            <w:r w:rsidRPr="003E355D">
              <w:rPr>
                <w:sz w:val="22"/>
              </w:rPr>
              <w:t xml:space="preserve">1, 4 </w:t>
            </w:r>
          </w:p>
        </w:tc>
      </w:tr>
      <w:tr w:rsidR="00036F43" w14:paraId="3A66F08E" w14:textId="77777777" w:rsidTr="0086005B">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4477" w14:textId="35DC1224" w:rsidR="00B03032" w:rsidRPr="00B03032" w:rsidRDefault="00036F43" w:rsidP="00B03032">
            <w:pPr>
              <w:pStyle w:val="TableRow"/>
              <w:ind w:left="0" w:right="0"/>
              <w:rPr>
                <w:sz w:val="22"/>
              </w:rPr>
            </w:pPr>
            <w:r w:rsidRPr="00B03032">
              <w:rPr>
                <w:sz w:val="22"/>
              </w:rPr>
              <w:t xml:space="preserve">Therapeutic work where required, especially for PP+ children. </w:t>
            </w:r>
            <w:r w:rsidR="00B03032" w:rsidRPr="00B03032">
              <w:rPr>
                <w:sz w:val="22"/>
              </w:rPr>
              <w:t>0.5 Play Therapist:</w:t>
            </w:r>
            <w:r w:rsidRPr="00B03032">
              <w:rPr>
                <w:sz w:val="22"/>
              </w:rPr>
              <w:t xml:space="preserve"> £</w:t>
            </w:r>
            <w:r w:rsidR="00B03032" w:rsidRPr="00B03032">
              <w:rPr>
                <w:sz w:val="22"/>
              </w:rPr>
              <w:t>6,840.</w:t>
            </w:r>
            <w:r w:rsidRPr="00B03032">
              <w:rPr>
                <w:sz w:val="22"/>
              </w:rPr>
              <w:t xml:space="preserve"> </w:t>
            </w:r>
          </w:p>
          <w:p w14:paraId="1811F0D8" w14:textId="77777777" w:rsidR="00B03032" w:rsidRPr="00B03032" w:rsidRDefault="00B03032" w:rsidP="00B03032">
            <w:pPr>
              <w:pStyle w:val="TableRow"/>
              <w:ind w:left="0" w:right="0"/>
              <w:rPr>
                <w:sz w:val="22"/>
              </w:rPr>
            </w:pPr>
          </w:p>
          <w:p w14:paraId="7649F621" w14:textId="778CEDC6" w:rsidR="00051FD4" w:rsidRDefault="006F3909" w:rsidP="00051FD4">
            <w:pPr>
              <w:pStyle w:val="TableRow"/>
              <w:ind w:left="0" w:right="0"/>
              <w:rPr>
                <w:sz w:val="22"/>
              </w:rPr>
            </w:pPr>
            <w:r>
              <w:rPr>
                <w:sz w:val="22"/>
              </w:rPr>
              <w:t>Contribution towards a</w:t>
            </w:r>
            <w:r w:rsidR="00036F43" w:rsidRPr="00B03032">
              <w:rPr>
                <w:sz w:val="22"/>
              </w:rPr>
              <w:t>dditional adults in classrooms for ‘every interaction is therapeutic’ as we</w:t>
            </w:r>
            <w:r w:rsidR="00B03032">
              <w:rPr>
                <w:sz w:val="22"/>
              </w:rPr>
              <w:t>ll as maths and writing support</w:t>
            </w:r>
            <w:r w:rsidR="00933C72">
              <w:rPr>
                <w:sz w:val="22"/>
              </w:rPr>
              <w:t xml:space="preserve"> (1 x f/t TA in Rec classes, 1 x 0.5 TA in KS1 classes, additional SEN TAs, where appropriate)</w:t>
            </w:r>
          </w:p>
          <w:p w14:paraId="6D988B9E" w14:textId="77777777" w:rsidR="00051FD4" w:rsidRDefault="00051FD4" w:rsidP="00051FD4">
            <w:pPr>
              <w:pStyle w:val="TableRow"/>
              <w:ind w:left="0" w:right="0"/>
              <w:rPr>
                <w:sz w:val="22"/>
              </w:rPr>
            </w:pPr>
          </w:p>
          <w:p w14:paraId="4EBAFDBE" w14:textId="4AE5DFC6" w:rsidR="00036F43" w:rsidRPr="0053626E" w:rsidRDefault="00051FD4" w:rsidP="00051FD4">
            <w:pPr>
              <w:pStyle w:val="TableRow"/>
              <w:ind w:left="0" w:right="0"/>
              <w:rPr>
                <w:highlight w:val="yellow"/>
              </w:rPr>
            </w:pPr>
            <w:r w:rsidRPr="003E355D">
              <w:rPr>
                <w:sz w:val="22"/>
              </w:rPr>
              <w:t>Total:</w:t>
            </w:r>
            <w:r w:rsidR="00933C72" w:rsidRPr="003E355D">
              <w:rPr>
                <w:sz w:val="22"/>
              </w:rPr>
              <w:t xml:space="preserve"> £40,000</w:t>
            </w:r>
          </w:p>
        </w:tc>
        <w:tc>
          <w:tcPr>
            <w:tcW w:w="4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5429A" w14:textId="63C9CF3D" w:rsidR="00036F43" w:rsidRPr="0053626E" w:rsidRDefault="00740BD7" w:rsidP="00C31636">
            <w:pPr>
              <w:pStyle w:val="TableRowCentered"/>
              <w:ind w:left="0" w:right="0"/>
              <w:jc w:val="left"/>
              <w:rPr>
                <w:rStyle w:val="Hyperlink"/>
                <w:sz w:val="18"/>
                <w:highlight w:val="yellow"/>
              </w:rPr>
            </w:pPr>
            <w:r w:rsidRPr="00740BD7">
              <w:rPr>
                <w:sz w:val="22"/>
                <w:szCs w:val="24"/>
              </w:rPr>
              <w:t xml:space="preserve">The BACP outlines the impact of Play Therapy: </w:t>
            </w:r>
            <w:hyperlink r:id="rId12" w:history="1">
              <w:r w:rsidRPr="00F206B7">
                <w:rPr>
                  <w:rStyle w:val="Hyperlink"/>
                  <w:sz w:val="18"/>
                </w:rPr>
                <w:t>https://www.bacp.co.uk/about-therapy/types-of-therapy/play-therapy/</w:t>
              </w:r>
            </w:hyperlink>
            <w:r>
              <w:rPr>
                <w:rStyle w:val="Hyperlink"/>
                <w:sz w:val="1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91351" w14:textId="758B6B6E" w:rsidR="00036F43" w:rsidRPr="0053626E" w:rsidRDefault="00036F43" w:rsidP="00C31636">
            <w:pPr>
              <w:pStyle w:val="TableRowCentered"/>
              <w:ind w:left="0" w:right="0"/>
              <w:jc w:val="left"/>
              <w:rPr>
                <w:sz w:val="22"/>
                <w:highlight w:val="yellow"/>
              </w:rPr>
            </w:pPr>
            <w:r w:rsidRPr="00220F5F">
              <w:rPr>
                <w:sz w:val="22"/>
              </w:rPr>
              <w:t>2, 3, 4, 5</w:t>
            </w:r>
          </w:p>
        </w:tc>
      </w:tr>
    </w:tbl>
    <w:p w14:paraId="2A7D5540" w14:textId="77777777" w:rsidR="00E66558" w:rsidRDefault="00E66558">
      <w:pPr>
        <w:spacing w:before="240" w:after="0"/>
        <w:rPr>
          <w:b/>
          <w:bCs/>
          <w:color w:val="104F75"/>
          <w:sz w:val="28"/>
          <w:szCs w:val="28"/>
        </w:rPr>
      </w:pPr>
    </w:p>
    <w:p w14:paraId="6F6DF005" w14:textId="5356BA33" w:rsidR="00EF5127" w:rsidRPr="0086005B" w:rsidRDefault="009D71E8" w:rsidP="00120AB1">
      <w:pPr>
        <w:rPr>
          <w:i/>
          <w:iCs/>
          <w:color w:val="104F75"/>
          <w:sz w:val="28"/>
          <w:szCs w:val="28"/>
        </w:rPr>
      </w:pPr>
      <w:r>
        <w:rPr>
          <w:b/>
          <w:bCs/>
          <w:color w:val="104F75"/>
          <w:sz w:val="28"/>
          <w:szCs w:val="28"/>
        </w:rPr>
        <w:t xml:space="preserve">Total budgeted cost: </w:t>
      </w:r>
      <w:r w:rsidR="003E355D">
        <w:rPr>
          <w:b/>
          <w:bCs/>
          <w:color w:val="104F75"/>
          <w:sz w:val="28"/>
          <w:szCs w:val="28"/>
        </w:rPr>
        <w:t>£88,220</w:t>
      </w:r>
    </w:p>
    <w:p w14:paraId="2A7D5542" w14:textId="18352EC3" w:rsidR="00E66558" w:rsidRPr="00064366" w:rsidRDefault="009D71E8" w:rsidP="00064366">
      <w:pPr>
        <w:pStyle w:val="Heading1"/>
      </w:pPr>
      <w:r w:rsidRPr="00064366">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9258CE" w14:textId="77777777" w:rsidR="00DE6270" w:rsidRPr="00622847" w:rsidRDefault="00DE6270" w:rsidP="00242093">
            <w:pPr>
              <w:spacing w:before="60"/>
              <w:rPr>
                <w:rFonts w:cs="Arial"/>
                <w:b/>
                <w:iCs/>
                <w:color w:val="FF0000"/>
                <w:sz w:val="20"/>
                <w:u w:val="single"/>
              </w:rPr>
            </w:pPr>
            <w:r w:rsidRPr="00622847">
              <w:rPr>
                <w:rFonts w:cs="Arial"/>
                <w:b/>
                <w:iCs/>
                <w:color w:val="FF0000"/>
                <w:sz w:val="20"/>
                <w:u w:val="single"/>
              </w:rPr>
              <w:t>End of 23-34 Data</w:t>
            </w:r>
          </w:p>
          <w:p w14:paraId="0D914F29" w14:textId="6A70EDB9" w:rsidR="00DE6270" w:rsidRPr="00622847" w:rsidRDefault="00DE6270" w:rsidP="00242093">
            <w:pPr>
              <w:spacing w:before="60"/>
              <w:rPr>
                <w:rFonts w:cs="Arial"/>
                <w:b/>
                <w:i/>
                <w:iCs/>
                <w:color w:val="FF0000"/>
                <w:sz w:val="20"/>
                <w:u w:val="single"/>
              </w:rPr>
            </w:pPr>
            <w:r w:rsidRPr="00622847">
              <w:rPr>
                <w:rFonts w:cs="Arial"/>
                <w:b/>
                <w:i/>
                <w:iCs/>
                <w:color w:val="FF0000"/>
                <w:sz w:val="20"/>
                <w:u w:val="single"/>
              </w:rPr>
              <w:t xml:space="preserve">EYFS </w:t>
            </w:r>
            <w:r w:rsidR="00F13942" w:rsidRPr="00622847">
              <w:rPr>
                <w:rFonts w:cs="Arial"/>
                <w:b/>
                <w:i/>
                <w:iCs/>
                <w:color w:val="FF0000"/>
                <w:sz w:val="20"/>
                <w:u w:val="single"/>
              </w:rPr>
              <w:t>–</w:t>
            </w:r>
            <w:r w:rsidRPr="00622847">
              <w:rPr>
                <w:rFonts w:cs="Arial"/>
                <w:b/>
                <w:i/>
                <w:iCs/>
                <w:color w:val="FF0000"/>
                <w:sz w:val="20"/>
                <w:u w:val="single"/>
              </w:rPr>
              <w:t xml:space="preserve"> GLD</w:t>
            </w:r>
            <w:r w:rsidR="00F13942" w:rsidRPr="00622847">
              <w:rPr>
                <w:rFonts w:cs="Arial"/>
                <w:b/>
                <w:i/>
                <w:iCs/>
                <w:color w:val="FF0000"/>
                <w:sz w:val="20"/>
                <w:u w:val="single"/>
              </w:rPr>
              <w:t xml:space="preserve"> - PP</w:t>
            </w:r>
          </w:p>
          <w:tbl>
            <w:tblPr>
              <w:tblStyle w:val="TableGrid"/>
              <w:tblW w:w="0" w:type="auto"/>
              <w:tblLook w:val="04A0" w:firstRow="1" w:lastRow="0" w:firstColumn="1" w:lastColumn="0" w:noHBand="0" w:noVBand="1"/>
            </w:tblPr>
            <w:tblGrid>
              <w:gridCol w:w="3089"/>
              <w:gridCol w:w="3089"/>
              <w:gridCol w:w="3089"/>
            </w:tblGrid>
            <w:tr w:rsidR="00DE6270" w:rsidRPr="00622847" w14:paraId="7B9B1A0E" w14:textId="77777777" w:rsidTr="00DE6270">
              <w:tc>
                <w:tcPr>
                  <w:tcW w:w="3089" w:type="dxa"/>
                </w:tcPr>
                <w:p w14:paraId="61AB4CA9" w14:textId="6644C025" w:rsidR="00DE6270" w:rsidRPr="00622847" w:rsidRDefault="00DE6270" w:rsidP="00242093">
                  <w:pPr>
                    <w:spacing w:before="60"/>
                    <w:rPr>
                      <w:rFonts w:cs="Arial"/>
                      <w:b/>
                      <w:i/>
                      <w:iCs/>
                      <w:color w:val="FF0000"/>
                      <w:sz w:val="20"/>
                    </w:rPr>
                  </w:pPr>
                  <w:r w:rsidRPr="00622847">
                    <w:rPr>
                      <w:rFonts w:cs="Arial"/>
                      <w:b/>
                      <w:i/>
                      <w:iCs/>
                      <w:color w:val="FF0000"/>
                      <w:sz w:val="20"/>
                    </w:rPr>
                    <w:t>School</w:t>
                  </w:r>
                </w:p>
              </w:tc>
              <w:tc>
                <w:tcPr>
                  <w:tcW w:w="3089" w:type="dxa"/>
                </w:tcPr>
                <w:p w14:paraId="03A8E3E9" w14:textId="0C250EC9" w:rsidR="00DE6270" w:rsidRPr="00622847" w:rsidRDefault="00DE6270" w:rsidP="00242093">
                  <w:pPr>
                    <w:spacing w:before="60"/>
                    <w:rPr>
                      <w:rFonts w:cs="Arial"/>
                      <w:b/>
                      <w:i/>
                      <w:iCs/>
                      <w:color w:val="FF0000"/>
                      <w:sz w:val="20"/>
                    </w:rPr>
                  </w:pPr>
                  <w:r w:rsidRPr="00622847">
                    <w:rPr>
                      <w:rFonts w:cs="Arial"/>
                      <w:b/>
                      <w:i/>
                      <w:iCs/>
                      <w:color w:val="FF0000"/>
                      <w:sz w:val="20"/>
                    </w:rPr>
                    <w:t>LA</w:t>
                  </w:r>
                </w:p>
              </w:tc>
              <w:tc>
                <w:tcPr>
                  <w:tcW w:w="3089" w:type="dxa"/>
                </w:tcPr>
                <w:p w14:paraId="013C266F" w14:textId="5E6087B9" w:rsidR="00DE6270" w:rsidRPr="00622847" w:rsidRDefault="00DE6270" w:rsidP="00242093">
                  <w:pPr>
                    <w:spacing w:before="60"/>
                    <w:rPr>
                      <w:rFonts w:cs="Arial"/>
                      <w:b/>
                      <w:i/>
                      <w:iCs/>
                      <w:color w:val="FF0000"/>
                      <w:sz w:val="20"/>
                    </w:rPr>
                  </w:pPr>
                  <w:r w:rsidRPr="00622847">
                    <w:rPr>
                      <w:rFonts w:cs="Arial"/>
                      <w:b/>
                      <w:i/>
                      <w:iCs/>
                      <w:color w:val="FF0000"/>
                      <w:sz w:val="20"/>
                    </w:rPr>
                    <w:t>National</w:t>
                  </w:r>
                </w:p>
              </w:tc>
            </w:tr>
            <w:tr w:rsidR="00DE6270" w:rsidRPr="00622847" w14:paraId="6724409C" w14:textId="77777777" w:rsidTr="00DE6270">
              <w:tc>
                <w:tcPr>
                  <w:tcW w:w="3089" w:type="dxa"/>
                </w:tcPr>
                <w:p w14:paraId="31F00E08" w14:textId="494AEF9C" w:rsidR="00DE6270" w:rsidRPr="00622847" w:rsidRDefault="00F13942" w:rsidP="00242093">
                  <w:pPr>
                    <w:spacing w:before="60"/>
                    <w:rPr>
                      <w:rFonts w:cs="Arial"/>
                      <w:b/>
                      <w:i/>
                      <w:iCs/>
                      <w:color w:val="FF0000"/>
                      <w:sz w:val="20"/>
                    </w:rPr>
                  </w:pPr>
                  <w:r w:rsidRPr="00622847">
                    <w:rPr>
                      <w:rFonts w:cs="Arial"/>
                      <w:b/>
                      <w:i/>
                      <w:iCs/>
                      <w:color w:val="FF0000"/>
                      <w:sz w:val="20"/>
                    </w:rPr>
                    <w:t>31%</w:t>
                  </w:r>
                </w:p>
              </w:tc>
              <w:tc>
                <w:tcPr>
                  <w:tcW w:w="3089" w:type="dxa"/>
                </w:tcPr>
                <w:p w14:paraId="61571482" w14:textId="7691D126" w:rsidR="00DE6270" w:rsidRPr="00622847" w:rsidRDefault="004A6D6A" w:rsidP="00242093">
                  <w:pPr>
                    <w:spacing w:before="60"/>
                    <w:rPr>
                      <w:rFonts w:cs="Arial"/>
                      <w:b/>
                      <w:i/>
                      <w:iCs/>
                      <w:color w:val="FF0000"/>
                      <w:sz w:val="20"/>
                    </w:rPr>
                  </w:pPr>
                  <w:r w:rsidRPr="00622847">
                    <w:rPr>
                      <w:rFonts w:cs="Arial"/>
                      <w:b/>
                      <w:i/>
                      <w:iCs/>
                      <w:color w:val="FF0000"/>
                      <w:sz w:val="20"/>
                    </w:rPr>
                    <w:t>49.6%</w:t>
                  </w:r>
                </w:p>
              </w:tc>
              <w:tc>
                <w:tcPr>
                  <w:tcW w:w="3089" w:type="dxa"/>
                </w:tcPr>
                <w:p w14:paraId="64BAA3A1" w14:textId="30B3D407" w:rsidR="00DE6270" w:rsidRPr="00622847" w:rsidRDefault="004A6D6A" w:rsidP="00242093">
                  <w:pPr>
                    <w:spacing w:before="60"/>
                    <w:rPr>
                      <w:rFonts w:cs="Arial"/>
                      <w:b/>
                      <w:i/>
                      <w:iCs/>
                      <w:color w:val="FF0000"/>
                      <w:sz w:val="20"/>
                    </w:rPr>
                  </w:pPr>
                  <w:r w:rsidRPr="00622847">
                    <w:rPr>
                      <w:rFonts w:cs="Arial"/>
                      <w:b/>
                      <w:i/>
                      <w:iCs/>
                      <w:color w:val="FF0000"/>
                      <w:sz w:val="20"/>
                    </w:rPr>
                    <w:t>51.5%</w:t>
                  </w:r>
                </w:p>
              </w:tc>
            </w:tr>
          </w:tbl>
          <w:p w14:paraId="64F67779" w14:textId="085E4655" w:rsidR="00DE6270" w:rsidRPr="00622847" w:rsidRDefault="00DE6270" w:rsidP="00242093">
            <w:pPr>
              <w:spacing w:before="60"/>
              <w:rPr>
                <w:rFonts w:cs="Arial"/>
                <w:i/>
                <w:iCs/>
                <w:color w:val="FF0000"/>
                <w:sz w:val="20"/>
              </w:rPr>
            </w:pPr>
          </w:p>
          <w:p w14:paraId="311D65A0" w14:textId="1F69131E" w:rsidR="00DE6270" w:rsidRPr="00622847" w:rsidRDefault="00DE6270" w:rsidP="00DE6270">
            <w:pPr>
              <w:spacing w:before="60"/>
              <w:rPr>
                <w:rFonts w:cs="Arial"/>
                <w:b/>
                <w:i/>
                <w:iCs/>
                <w:color w:val="FF0000"/>
                <w:sz w:val="20"/>
                <w:u w:val="single"/>
              </w:rPr>
            </w:pPr>
            <w:r w:rsidRPr="00622847">
              <w:rPr>
                <w:rFonts w:cs="Arial"/>
                <w:b/>
                <w:i/>
                <w:iCs/>
                <w:color w:val="FF0000"/>
                <w:sz w:val="20"/>
                <w:u w:val="single"/>
              </w:rPr>
              <w:t>Phonics</w:t>
            </w:r>
            <w:r w:rsidR="00F13942" w:rsidRPr="00622847">
              <w:rPr>
                <w:rFonts w:cs="Arial"/>
                <w:b/>
                <w:i/>
                <w:iCs/>
                <w:color w:val="FF0000"/>
                <w:sz w:val="20"/>
                <w:u w:val="single"/>
              </w:rPr>
              <w:t xml:space="preserve"> Screening Check</w:t>
            </w:r>
            <w:r w:rsidRPr="00622847">
              <w:rPr>
                <w:rFonts w:cs="Arial"/>
                <w:b/>
                <w:i/>
                <w:iCs/>
                <w:color w:val="FF0000"/>
                <w:sz w:val="20"/>
                <w:u w:val="single"/>
              </w:rPr>
              <w:t xml:space="preserve"> – Y1</w:t>
            </w:r>
            <w:r w:rsidR="00F13942" w:rsidRPr="00622847">
              <w:rPr>
                <w:rFonts w:cs="Arial"/>
                <w:b/>
                <w:i/>
                <w:iCs/>
                <w:color w:val="FF0000"/>
                <w:sz w:val="20"/>
                <w:u w:val="single"/>
              </w:rPr>
              <w:t xml:space="preserve"> - PP</w:t>
            </w:r>
          </w:p>
          <w:tbl>
            <w:tblPr>
              <w:tblStyle w:val="TableGrid"/>
              <w:tblW w:w="0" w:type="auto"/>
              <w:tblLook w:val="04A0" w:firstRow="1" w:lastRow="0" w:firstColumn="1" w:lastColumn="0" w:noHBand="0" w:noVBand="1"/>
            </w:tblPr>
            <w:tblGrid>
              <w:gridCol w:w="3089"/>
              <w:gridCol w:w="3089"/>
              <w:gridCol w:w="3089"/>
            </w:tblGrid>
            <w:tr w:rsidR="00DE6270" w:rsidRPr="00622847" w14:paraId="473D1962" w14:textId="77777777" w:rsidTr="006C0D25">
              <w:tc>
                <w:tcPr>
                  <w:tcW w:w="3089" w:type="dxa"/>
                </w:tcPr>
                <w:p w14:paraId="4FD083D7" w14:textId="0EEEF39A" w:rsidR="00DE6270" w:rsidRPr="00622847" w:rsidRDefault="00DE6270" w:rsidP="00DE6270">
                  <w:pPr>
                    <w:spacing w:before="60"/>
                    <w:rPr>
                      <w:rFonts w:cs="Arial"/>
                      <w:b/>
                      <w:i/>
                      <w:iCs/>
                      <w:color w:val="FF0000"/>
                      <w:sz w:val="20"/>
                    </w:rPr>
                  </w:pPr>
                  <w:r w:rsidRPr="00622847">
                    <w:rPr>
                      <w:rFonts w:cs="Arial"/>
                      <w:b/>
                      <w:i/>
                      <w:iCs/>
                      <w:color w:val="FF0000"/>
                      <w:sz w:val="20"/>
                    </w:rPr>
                    <w:t>School</w:t>
                  </w:r>
                </w:p>
              </w:tc>
              <w:tc>
                <w:tcPr>
                  <w:tcW w:w="3089" w:type="dxa"/>
                </w:tcPr>
                <w:p w14:paraId="0D5EAB58" w14:textId="0004249B" w:rsidR="00DE6270" w:rsidRPr="00622847" w:rsidRDefault="00DE6270" w:rsidP="00DE6270">
                  <w:pPr>
                    <w:spacing w:before="60"/>
                    <w:rPr>
                      <w:rFonts w:cs="Arial"/>
                      <w:b/>
                      <w:i/>
                      <w:iCs/>
                      <w:color w:val="FF0000"/>
                      <w:sz w:val="20"/>
                      <w:highlight w:val="green"/>
                    </w:rPr>
                  </w:pPr>
                  <w:r w:rsidRPr="00622847">
                    <w:rPr>
                      <w:rFonts w:cs="Arial"/>
                      <w:b/>
                      <w:i/>
                      <w:iCs/>
                      <w:color w:val="FF0000"/>
                      <w:sz w:val="20"/>
                      <w:highlight w:val="green"/>
                    </w:rPr>
                    <w:t>LA</w:t>
                  </w:r>
                </w:p>
              </w:tc>
              <w:tc>
                <w:tcPr>
                  <w:tcW w:w="3089" w:type="dxa"/>
                </w:tcPr>
                <w:p w14:paraId="03E01974" w14:textId="39FCF0A0" w:rsidR="00DE6270" w:rsidRPr="00622847" w:rsidRDefault="00DE6270" w:rsidP="00DE6270">
                  <w:pPr>
                    <w:spacing w:before="60"/>
                    <w:rPr>
                      <w:rFonts w:cs="Arial"/>
                      <w:b/>
                      <w:i/>
                      <w:iCs/>
                      <w:color w:val="FF0000"/>
                      <w:sz w:val="20"/>
                    </w:rPr>
                  </w:pPr>
                  <w:r w:rsidRPr="00622847">
                    <w:rPr>
                      <w:rFonts w:cs="Arial"/>
                      <w:b/>
                      <w:i/>
                      <w:iCs/>
                      <w:color w:val="FF0000"/>
                      <w:sz w:val="20"/>
                    </w:rPr>
                    <w:t>National</w:t>
                  </w:r>
                </w:p>
              </w:tc>
            </w:tr>
            <w:tr w:rsidR="00DE6270" w:rsidRPr="00622847" w14:paraId="47F2BD94" w14:textId="77777777" w:rsidTr="006C0D25">
              <w:tc>
                <w:tcPr>
                  <w:tcW w:w="3089" w:type="dxa"/>
                </w:tcPr>
                <w:p w14:paraId="488E6216" w14:textId="5F97F74F" w:rsidR="00DE6270" w:rsidRPr="00622847" w:rsidRDefault="004A6D6A" w:rsidP="00DE6270">
                  <w:pPr>
                    <w:spacing w:before="60"/>
                    <w:rPr>
                      <w:rFonts w:cs="Arial"/>
                      <w:b/>
                      <w:i/>
                      <w:iCs/>
                      <w:color w:val="FF0000"/>
                      <w:sz w:val="20"/>
                    </w:rPr>
                  </w:pPr>
                  <w:r w:rsidRPr="00622847">
                    <w:rPr>
                      <w:rFonts w:cs="Arial"/>
                      <w:b/>
                      <w:i/>
                      <w:iCs/>
                      <w:color w:val="FF0000"/>
                      <w:sz w:val="20"/>
                    </w:rPr>
                    <w:t>63</w:t>
                  </w:r>
                  <w:r w:rsidR="00F13942" w:rsidRPr="00622847">
                    <w:rPr>
                      <w:rFonts w:cs="Arial"/>
                      <w:b/>
                      <w:i/>
                      <w:iCs/>
                      <w:color w:val="FF0000"/>
                      <w:sz w:val="20"/>
                    </w:rPr>
                    <w:t>%</w:t>
                  </w:r>
                </w:p>
              </w:tc>
              <w:tc>
                <w:tcPr>
                  <w:tcW w:w="3089" w:type="dxa"/>
                </w:tcPr>
                <w:p w14:paraId="1955BC16" w14:textId="77777777" w:rsidR="00DE6270" w:rsidRPr="00622847" w:rsidRDefault="00DE6270" w:rsidP="00DE6270">
                  <w:pPr>
                    <w:spacing w:before="60"/>
                    <w:rPr>
                      <w:rFonts w:cs="Arial"/>
                      <w:b/>
                      <w:i/>
                      <w:iCs/>
                      <w:color w:val="FF0000"/>
                      <w:sz w:val="20"/>
                      <w:highlight w:val="green"/>
                    </w:rPr>
                  </w:pPr>
                </w:p>
              </w:tc>
              <w:tc>
                <w:tcPr>
                  <w:tcW w:w="3089" w:type="dxa"/>
                </w:tcPr>
                <w:p w14:paraId="091D6685" w14:textId="7C28B424" w:rsidR="00DE6270" w:rsidRPr="00622847" w:rsidRDefault="00F004EA" w:rsidP="00DE6270">
                  <w:pPr>
                    <w:spacing w:before="60"/>
                    <w:rPr>
                      <w:rFonts w:cs="Arial"/>
                      <w:b/>
                      <w:i/>
                      <w:iCs/>
                      <w:color w:val="FF0000"/>
                      <w:sz w:val="20"/>
                    </w:rPr>
                  </w:pPr>
                  <w:r w:rsidRPr="00622847">
                    <w:rPr>
                      <w:rFonts w:cs="Arial"/>
                      <w:b/>
                      <w:i/>
                      <w:iCs/>
                      <w:color w:val="FF0000"/>
                      <w:sz w:val="20"/>
                    </w:rPr>
                    <w:t>68%</w:t>
                  </w:r>
                </w:p>
              </w:tc>
            </w:tr>
          </w:tbl>
          <w:p w14:paraId="79F920F9" w14:textId="5BCCBD0A" w:rsidR="00DE6270" w:rsidRPr="00622847" w:rsidRDefault="00DE6270" w:rsidP="00242093">
            <w:pPr>
              <w:spacing w:before="60"/>
              <w:rPr>
                <w:rFonts w:cs="Arial"/>
                <w:i/>
                <w:iCs/>
                <w:color w:val="FF0000"/>
                <w:sz w:val="20"/>
              </w:rPr>
            </w:pPr>
          </w:p>
          <w:p w14:paraId="0F69D164" w14:textId="06BAD42C" w:rsidR="00DE6270" w:rsidRPr="00622847" w:rsidRDefault="00DE6270" w:rsidP="00DE6270">
            <w:pPr>
              <w:spacing w:before="60"/>
              <w:rPr>
                <w:rFonts w:cs="Arial"/>
                <w:b/>
                <w:i/>
                <w:iCs/>
                <w:color w:val="FF0000"/>
                <w:sz w:val="20"/>
                <w:u w:val="single"/>
              </w:rPr>
            </w:pPr>
            <w:r w:rsidRPr="00622847">
              <w:rPr>
                <w:rFonts w:cs="Arial"/>
                <w:b/>
                <w:i/>
                <w:iCs/>
                <w:color w:val="FF0000"/>
                <w:sz w:val="20"/>
                <w:u w:val="single"/>
              </w:rPr>
              <w:t>Phonics</w:t>
            </w:r>
            <w:r w:rsidR="00F13942" w:rsidRPr="00622847">
              <w:rPr>
                <w:rFonts w:cs="Arial"/>
                <w:b/>
                <w:i/>
                <w:iCs/>
                <w:color w:val="FF0000"/>
                <w:sz w:val="20"/>
                <w:u w:val="single"/>
              </w:rPr>
              <w:t xml:space="preserve"> Screening Check</w:t>
            </w:r>
            <w:r w:rsidRPr="00622847">
              <w:rPr>
                <w:rFonts w:cs="Arial"/>
                <w:b/>
                <w:i/>
                <w:iCs/>
                <w:color w:val="FF0000"/>
                <w:sz w:val="20"/>
                <w:u w:val="single"/>
              </w:rPr>
              <w:t xml:space="preserve"> </w:t>
            </w:r>
            <w:r w:rsidR="00F13942" w:rsidRPr="00622847">
              <w:rPr>
                <w:rFonts w:cs="Arial"/>
                <w:b/>
                <w:i/>
                <w:iCs/>
                <w:color w:val="FF0000"/>
                <w:sz w:val="20"/>
                <w:u w:val="single"/>
              </w:rPr>
              <w:t>–</w:t>
            </w:r>
            <w:r w:rsidRPr="00622847">
              <w:rPr>
                <w:rFonts w:cs="Arial"/>
                <w:b/>
                <w:i/>
                <w:iCs/>
                <w:color w:val="FF0000"/>
                <w:sz w:val="20"/>
                <w:u w:val="single"/>
              </w:rPr>
              <w:t xml:space="preserve"> </w:t>
            </w:r>
            <w:r w:rsidR="00F13942" w:rsidRPr="00622847">
              <w:rPr>
                <w:rFonts w:cs="Arial"/>
                <w:b/>
                <w:i/>
                <w:iCs/>
                <w:color w:val="FF0000"/>
                <w:sz w:val="20"/>
                <w:u w:val="single"/>
              </w:rPr>
              <w:t xml:space="preserve">by </w:t>
            </w:r>
            <w:r w:rsidRPr="00622847">
              <w:rPr>
                <w:rFonts w:cs="Arial"/>
                <w:b/>
                <w:i/>
                <w:iCs/>
                <w:color w:val="FF0000"/>
                <w:sz w:val="20"/>
                <w:u w:val="single"/>
              </w:rPr>
              <w:t>Y2</w:t>
            </w:r>
            <w:r w:rsidR="00F13942" w:rsidRPr="00622847">
              <w:rPr>
                <w:rFonts w:cs="Arial"/>
                <w:b/>
                <w:i/>
                <w:iCs/>
                <w:color w:val="FF0000"/>
                <w:sz w:val="20"/>
                <w:u w:val="single"/>
              </w:rPr>
              <w:t xml:space="preserve"> - PP</w:t>
            </w:r>
          </w:p>
          <w:tbl>
            <w:tblPr>
              <w:tblStyle w:val="TableGrid"/>
              <w:tblW w:w="0" w:type="auto"/>
              <w:tblLook w:val="04A0" w:firstRow="1" w:lastRow="0" w:firstColumn="1" w:lastColumn="0" w:noHBand="0" w:noVBand="1"/>
            </w:tblPr>
            <w:tblGrid>
              <w:gridCol w:w="3089"/>
              <w:gridCol w:w="3089"/>
              <w:gridCol w:w="3089"/>
            </w:tblGrid>
            <w:tr w:rsidR="00DE6270" w:rsidRPr="00622847" w14:paraId="0C2F7606" w14:textId="77777777" w:rsidTr="006C0D25">
              <w:tc>
                <w:tcPr>
                  <w:tcW w:w="3089" w:type="dxa"/>
                </w:tcPr>
                <w:p w14:paraId="6992B262" w14:textId="3BFF2FFB" w:rsidR="00DE6270" w:rsidRPr="00622847" w:rsidRDefault="00DE6270" w:rsidP="00DE6270">
                  <w:pPr>
                    <w:spacing w:before="60"/>
                    <w:rPr>
                      <w:rFonts w:cs="Arial"/>
                      <w:b/>
                      <w:i/>
                      <w:iCs/>
                      <w:color w:val="FF0000"/>
                      <w:sz w:val="20"/>
                    </w:rPr>
                  </w:pPr>
                  <w:r w:rsidRPr="00622847">
                    <w:rPr>
                      <w:rFonts w:cs="Arial"/>
                      <w:b/>
                      <w:i/>
                      <w:iCs/>
                      <w:color w:val="FF0000"/>
                      <w:sz w:val="20"/>
                    </w:rPr>
                    <w:t>School</w:t>
                  </w:r>
                </w:p>
              </w:tc>
              <w:tc>
                <w:tcPr>
                  <w:tcW w:w="3089" w:type="dxa"/>
                </w:tcPr>
                <w:p w14:paraId="3BD23743" w14:textId="47E09723" w:rsidR="00DE6270" w:rsidRPr="00622847" w:rsidRDefault="00DE6270" w:rsidP="00DE6270">
                  <w:pPr>
                    <w:spacing w:before="60"/>
                    <w:rPr>
                      <w:rFonts w:cs="Arial"/>
                      <w:b/>
                      <w:i/>
                      <w:iCs/>
                      <w:color w:val="FF0000"/>
                      <w:sz w:val="20"/>
                      <w:highlight w:val="green"/>
                    </w:rPr>
                  </w:pPr>
                  <w:r w:rsidRPr="00622847">
                    <w:rPr>
                      <w:rFonts w:cs="Arial"/>
                      <w:b/>
                      <w:i/>
                      <w:iCs/>
                      <w:color w:val="FF0000"/>
                      <w:sz w:val="20"/>
                      <w:highlight w:val="green"/>
                    </w:rPr>
                    <w:t>LA</w:t>
                  </w:r>
                </w:p>
              </w:tc>
              <w:tc>
                <w:tcPr>
                  <w:tcW w:w="3089" w:type="dxa"/>
                </w:tcPr>
                <w:p w14:paraId="0A9EE121" w14:textId="0E12E339" w:rsidR="00DE6270" w:rsidRPr="00622847" w:rsidRDefault="00DE6270" w:rsidP="00DE6270">
                  <w:pPr>
                    <w:spacing w:before="60"/>
                    <w:rPr>
                      <w:rFonts w:cs="Arial"/>
                      <w:b/>
                      <w:i/>
                      <w:iCs/>
                      <w:color w:val="FF0000"/>
                      <w:sz w:val="20"/>
                    </w:rPr>
                  </w:pPr>
                  <w:r w:rsidRPr="00622847">
                    <w:rPr>
                      <w:rFonts w:cs="Arial"/>
                      <w:b/>
                      <w:i/>
                      <w:iCs/>
                      <w:color w:val="FF0000"/>
                      <w:sz w:val="20"/>
                    </w:rPr>
                    <w:t>National</w:t>
                  </w:r>
                </w:p>
              </w:tc>
            </w:tr>
            <w:tr w:rsidR="00DE6270" w:rsidRPr="00622847" w14:paraId="3958B0FE" w14:textId="77777777" w:rsidTr="00856546">
              <w:trPr>
                <w:trHeight w:val="70"/>
              </w:trPr>
              <w:tc>
                <w:tcPr>
                  <w:tcW w:w="3089" w:type="dxa"/>
                </w:tcPr>
                <w:p w14:paraId="204B0BE2" w14:textId="62DCAFBA" w:rsidR="00DE6270" w:rsidRPr="00622847" w:rsidRDefault="00F13942" w:rsidP="00DE6270">
                  <w:pPr>
                    <w:spacing w:before="60"/>
                    <w:rPr>
                      <w:rFonts w:cs="Arial"/>
                      <w:b/>
                      <w:i/>
                      <w:iCs/>
                      <w:color w:val="FF0000"/>
                      <w:sz w:val="20"/>
                    </w:rPr>
                  </w:pPr>
                  <w:r w:rsidRPr="00622847">
                    <w:rPr>
                      <w:rFonts w:cs="Arial"/>
                      <w:b/>
                      <w:i/>
                      <w:iCs/>
                      <w:color w:val="FF0000"/>
                      <w:sz w:val="20"/>
                      <w:highlight w:val="yellow"/>
                    </w:rPr>
                    <w:t>91%</w:t>
                  </w:r>
                  <w:r w:rsidR="003F682B">
                    <w:rPr>
                      <w:rFonts w:cs="Arial"/>
                      <w:b/>
                      <w:i/>
                      <w:iCs/>
                      <w:color w:val="FF0000"/>
                      <w:sz w:val="20"/>
                    </w:rPr>
                    <w:t>?</w:t>
                  </w:r>
                </w:p>
              </w:tc>
              <w:tc>
                <w:tcPr>
                  <w:tcW w:w="3089" w:type="dxa"/>
                </w:tcPr>
                <w:p w14:paraId="7A13AAB9" w14:textId="77777777" w:rsidR="00DE6270" w:rsidRPr="00622847" w:rsidRDefault="00DE6270" w:rsidP="00DE6270">
                  <w:pPr>
                    <w:spacing w:before="60"/>
                    <w:rPr>
                      <w:rFonts w:cs="Arial"/>
                      <w:b/>
                      <w:i/>
                      <w:iCs/>
                      <w:color w:val="FF0000"/>
                      <w:sz w:val="20"/>
                      <w:highlight w:val="green"/>
                    </w:rPr>
                  </w:pPr>
                </w:p>
              </w:tc>
              <w:tc>
                <w:tcPr>
                  <w:tcW w:w="3089" w:type="dxa"/>
                </w:tcPr>
                <w:p w14:paraId="5F89824D" w14:textId="5FCCDFA2" w:rsidR="00DE6270" w:rsidRPr="00622847" w:rsidRDefault="004A6D6A" w:rsidP="00DE6270">
                  <w:pPr>
                    <w:spacing w:before="60"/>
                    <w:rPr>
                      <w:rFonts w:cs="Arial"/>
                      <w:b/>
                      <w:i/>
                      <w:iCs/>
                      <w:color w:val="FF0000"/>
                      <w:sz w:val="20"/>
                    </w:rPr>
                  </w:pPr>
                  <w:r w:rsidRPr="00622847">
                    <w:rPr>
                      <w:rFonts w:cs="Arial"/>
                      <w:b/>
                      <w:i/>
                      <w:iCs/>
                      <w:color w:val="FF0000"/>
                      <w:sz w:val="20"/>
                    </w:rPr>
                    <w:t>89%</w:t>
                  </w:r>
                </w:p>
              </w:tc>
            </w:tr>
          </w:tbl>
          <w:p w14:paraId="5ACD0074" w14:textId="7B1CCF31" w:rsidR="00DE6270" w:rsidRPr="00622847" w:rsidRDefault="00DE6270" w:rsidP="00242093">
            <w:pPr>
              <w:spacing w:before="60"/>
              <w:rPr>
                <w:rFonts w:cs="Arial"/>
                <w:i/>
                <w:iCs/>
                <w:color w:val="FF0000"/>
                <w:sz w:val="20"/>
              </w:rPr>
            </w:pPr>
          </w:p>
          <w:p w14:paraId="27461EA8" w14:textId="1C7EE853" w:rsidR="00DE6270" w:rsidRPr="00622847" w:rsidRDefault="004A6D6A" w:rsidP="00DE6270">
            <w:pPr>
              <w:spacing w:before="60"/>
              <w:rPr>
                <w:rFonts w:cs="Arial"/>
                <w:b/>
                <w:i/>
                <w:iCs/>
                <w:color w:val="FF0000"/>
                <w:sz w:val="20"/>
                <w:u w:val="single"/>
              </w:rPr>
            </w:pPr>
            <w:r w:rsidRPr="00622847">
              <w:rPr>
                <w:rFonts w:cs="Arial"/>
                <w:b/>
                <w:i/>
                <w:iCs/>
                <w:color w:val="FF0000"/>
                <w:sz w:val="20"/>
                <w:u w:val="single"/>
              </w:rPr>
              <w:t xml:space="preserve">KS1 </w:t>
            </w:r>
            <w:r w:rsidR="00DE6270" w:rsidRPr="00622847">
              <w:rPr>
                <w:rFonts w:cs="Arial"/>
                <w:b/>
                <w:i/>
                <w:iCs/>
                <w:color w:val="FF0000"/>
                <w:sz w:val="20"/>
                <w:u w:val="single"/>
              </w:rPr>
              <w:t>Reading</w:t>
            </w:r>
            <w:r w:rsidR="00F13942" w:rsidRPr="00622847">
              <w:rPr>
                <w:rFonts w:cs="Arial"/>
                <w:b/>
                <w:i/>
                <w:iCs/>
                <w:color w:val="FF0000"/>
                <w:sz w:val="20"/>
                <w:u w:val="single"/>
              </w:rPr>
              <w:t xml:space="preserve"> - PP</w:t>
            </w:r>
          </w:p>
          <w:tbl>
            <w:tblPr>
              <w:tblStyle w:val="TableGrid"/>
              <w:tblW w:w="0" w:type="auto"/>
              <w:tblLook w:val="04A0" w:firstRow="1" w:lastRow="0" w:firstColumn="1" w:lastColumn="0" w:noHBand="0" w:noVBand="1"/>
            </w:tblPr>
            <w:tblGrid>
              <w:gridCol w:w="1544"/>
              <w:gridCol w:w="1545"/>
              <w:gridCol w:w="1544"/>
              <w:gridCol w:w="1545"/>
              <w:gridCol w:w="1544"/>
              <w:gridCol w:w="1545"/>
            </w:tblGrid>
            <w:tr w:rsidR="00DE6270" w:rsidRPr="00622847" w14:paraId="151DC35C" w14:textId="77777777" w:rsidTr="006C0D25">
              <w:tc>
                <w:tcPr>
                  <w:tcW w:w="3089" w:type="dxa"/>
                  <w:gridSpan w:val="2"/>
                </w:tcPr>
                <w:p w14:paraId="4812D652" w14:textId="77777777" w:rsidR="00DE6270" w:rsidRPr="00622847" w:rsidRDefault="00DE6270" w:rsidP="00DE6270">
                  <w:pPr>
                    <w:spacing w:before="60"/>
                    <w:rPr>
                      <w:rFonts w:cs="Arial"/>
                      <w:b/>
                      <w:i/>
                      <w:iCs/>
                      <w:color w:val="FF0000"/>
                      <w:sz w:val="20"/>
                    </w:rPr>
                  </w:pPr>
                  <w:r w:rsidRPr="00622847">
                    <w:rPr>
                      <w:rFonts w:cs="Arial"/>
                      <w:b/>
                      <w:i/>
                      <w:iCs/>
                      <w:color w:val="FF0000"/>
                      <w:sz w:val="20"/>
                    </w:rPr>
                    <w:t>School</w:t>
                  </w:r>
                </w:p>
              </w:tc>
              <w:tc>
                <w:tcPr>
                  <w:tcW w:w="3089" w:type="dxa"/>
                  <w:gridSpan w:val="2"/>
                </w:tcPr>
                <w:p w14:paraId="15B4D69E" w14:textId="77777777" w:rsidR="00DE6270" w:rsidRPr="00622847" w:rsidRDefault="00DE6270" w:rsidP="00DE6270">
                  <w:pPr>
                    <w:spacing w:before="60"/>
                    <w:rPr>
                      <w:rFonts w:cs="Arial"/>
                      <w:b/>
                      <w:i/>
                      <w:iCs/>
                      <w:color w:val="FF0000"/>
                      <w:sz w:val="20"/>
                      <w:highlight w:val="green"/>
                    </w:rPr>
                  </w:pPr>
                  <w:r w:rsidRPr="00622847">
                    <w:rPr>
                      <w:rFonts w:cs="Arial"/>
                      <w:b/>
                      <w:i/>
                      <w:iCs/>
                      <w:color w:val="FF0000"/>
                      <w:sz w:val="20"/>
                      <w:highlight w:val="green"/>
                    </w:rPr>
                    <w:t>LA</w:t>
                  </w:r>
                </w:p>
              </w:tc>
              <w:tc>
                <w:tcPr>
                  <w:tcW w:w="3089" w:type="dxa"/>
                  <w:gridSpan w:val="2"/>
                </w:tcPr>
                <w:p w14:paraId="559A222C" w14:textId="77777777" w:rsidR="00DE6270" w:rsidRPr="00622847" w:rsidRDefault="00DE6270" w:rsidP="00DE6270">
                  <w:pPr>
                    <w:spacing w:before="60"/>
                    <w:rPr>
                      <w:rFonts w:cs="Arial"/>
                      <w:b/>
                      <w:i/>
                      <w:iCs/>
                      <w:color w:val="FF0000"/>
                      <w:sz w:val="20"/>
                    </w:rPr>
                  </w:pPr>
                  <w:r w:rsidRPr="00622847">
                    <w:rPr>
                      <w:rFonts w:cs="Arial"/>
                      <w:b/>
                      <w:i/>
                      <w:iCs/>
                      <w:color w:val="FF0000"/>
                      <w:sz w:val="20"/>
                    </w:rPr>
                    <w:t>National</w:t>
                  </w:r>
                </w:p>
              </w:tc>
            </w:tr>
            <w:tr w:rsidR="00DE6270" w:rsidRPr="00622847" w14:paraId="3C6CDF99" w14:textId="77777777" w:rsidTr="001B5846">
              <w:tc>
                <w:tcPr>
                  <w:tcW w:w="1544" w:type="dxa"/>
                </w:tcPr>
                <w:p w14:paraId="604E0477" w14:textId="61ECB016"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1C38F670" w14:textId="0F1D2C4D" w:rsidR="00DE6270" w:rsidRPr="00622847" w:rsidRDefault="00DE6270" w:rsidP="00DE6270">
                  <w:pPr>
                    <w:spacing w:before="60"/>
                    <w:rPr>
                      <w:rFonts w:cs="Arial"/>
                      <w:b/>
                      <w:i/>
                      <w:iCs/>
                      <w:color w:val="FF0000"/>
                      <w:sz w:val="20"/>
                    </w:rPr>
                  </w:pPr>
                  <w:r w:rsidRPr="00622847">
                    <w:rPr>
                      <w:rFonts w:cs="Arial"/>
                      <w:b/>
                      <w:i/>
                      <w:iCs/>
                      <w:color w:val="FF0000"/>
                      <w:sz w:val="20"/>
                    </w:rPr>
                    <w:t>GDS</w:t>
                  </w:r>
                </w:p>
              </w:tc>
              <w:tc>
                <w:tcPr>
                  <w:tcW w:w="1544" w:type="dxa"/>
                </w:tcPr>
                <w:p w14:paraId="23A2D471" w14:textId="6A4FF821" w:rsidR="00DE6270" w:rsidRPr="00622847" w:rsidRDefault="00DE6270" w:rsidP="00DE6270">
                  <w:pPr>
                    <w:spacing w:before="60"/>
                    <w:rPr>
                      <w:rFonts w:cs="Arial"/>
                      <w:b/>
                      <w:i/>
                      <w:iCs/>
                      <w:color w:val="FF0000"/>
                      <w:sz w:val="20"/>
                      <w:highlight w:val="green"/>
                    </w:rPr>
                  </w:pPr>
                  <w:r w:rsidRPr="00622847">
                    <w:rPr>
                      <w:rFonts w:cs="Arial"/>
                      <w:b/>
                      <w:i/>
                      <w:iCs/>
                      <w:color w:val="FF0000"/>
                      <w:sz w:val="20"/>
                      <w:highlight w:val="green"/>
                    </w:rPr>
                    <w:t>ARE</w:t>
                  </w:r>
                </w:p>
              </w:tc>
              <w:tc>
                <w:tcPr>
                  <w:tcW w:w="1545" w:type="dxa"/>
                </w:tcPr>
                <w:p w14:paraId="5052F044" w14:textId="6C7B880C" w:rsidR="00DE6270" w:rsidRPr="00622847" w:rsidRDefault="00DE6270" w:rsidP="00DE6270">
                  <w:pPr>
                    <w:spacing w:before="60"/>
                    <w:rPr>
                      <w:rFonts w:cs="Arial"/>
                      <w:b/>
                      <w:i/>
                      <w:iCs/>
                      <w:color w:val="FF0000"/>
                      <w:sz w:val="20"/>
                      <w:highlight w:val="green"/>
                    </w:rPr>
                  </w:pPr>
                  <w:r w:rsidRPr="00622847">
                    <w:rPr>
                      <w:rFonts w:cs="Arial"/>
                      <w:b/>
                      <w:i/>
                      <w:iCs/>
                      <w:color w:val="FF0000"/>
                      <w:sz w:val="20"/>
                      <w:highlight w:val="green"/>
                    </w:rPr>
                    <w:t>GDS</w:t>
                  </w:r>
                </w:p>
              </w:tc>
              <w:tc>
                <w:tcPr>
                  <w:tcW w:w="1544" w:type="dxa"/>
                </w:tcPr>
                <w:p w14:paraId="1A90A340" w14:textId="57CA3515"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18D848C8" w14:textId="1C28A77A" w:rsidR="00DE6270" w:rsidRPr="00622847" w:rsidRDefault="00DE6270" w:rsidP="00DE6270">
                  <w:pPr>
                    <w:spacing w:before="60"/>
                    <w:rPr>
                      <w:rFonts w:cs="Arial"/>
                      <w:b/>
                      <w:i/>
                      <w:iCs/>
                      <w:color w:val="FF0000"/>
                      <w:sz w:val="20"/>
                    </w:rPr>
                  </w:pPr>
                  <w:r w:rsidRPr="00622847">
                    <w:rPr>
                      <w:rFonts w:cs="Arial"/>
                      <w:b/>
                      <w:i/>
                      <w:iCs/>
                      <w:color w:val="FF0000"/>
                      <w:sz w:val="20"/>
                    </w:rPr>
                    <w:t>GDS</w:t>
                  </w:r>
                </w:p>
              </w:tc>
            </w:tr>
            <w:tr w:rsidR="00DE6270" w:rsidRPr="00622847" w14:paraId="0170C04D" w14:textId="77777777" w:rsidTr="001B5846">
              <w:tc>
                <w:tcPr>
                  <w:tcW w:w="1544" w:type="dxa"/>
                </w:tcPr>
                <w:p w14:paraId="4D72627B" w14:textId="23C99984" w:rsidR="00DE6270" w:rsidRPr="00622847" w:rsidRDefault="004A6D6A" w:rsidP="00DE6270">
                  <w:pPr>
                    <w:spacing w:before="60"/>
                    <w:rPr>
                      <w:rFonts w:cs="Arial"/>
                      <w:b/>
                      <w:i/>
                      <w:iCs/>
                      <w:color w:val="FF0000"/>
                      <w:sz w:val="20"/>
                    </w:rPr>
                  </w:pPr>
                  <w:r w:rsidRPr="00622847">
                    <w:rPr>
                      <w:rFonts w:cs="Arial"/>
                      <w:b/>
                      <w:i/>
                      <w:iCs/>
                      <w:color w:val="FF0000"/>
                      <w:sz w:val="20"/>
                    </w:rPr>
                    <w:t>63%</w:t>
                  </w:r>
                </w:p>
              </w:tc>
              <w:tc>
                <w:tcPr>
                  <w:tcW w:w="1545" w:type="dxa"/>
                </w:tcPr>
                <w:p w14:paraId="3838D496" w14:textId="4FD61D26" w:rsidR="00DE6270" w:rsidRPr="00622847" w:rsidRDefault="004A6D6A" w:rsidP="00DE6270">
                  <w:pPr>
                    <w:spacing w:before="60"/>
                    <w:rPr>
                      <w:rFonts w:cs="Arial"/>
                      <w:b/>
                      <w:i/>
                      <w:iCs/>
                      <w:color w:val="FF0000"/>
                      <w:sz w:val="20"/>
                    </w:rPr>
                  </w:pPr>
                  <w:r w:rsidRPr="00622847">
                    <w:rPr>
                      <w:rFonts w:cs="Arial"/>
                      <w:b/>
                      <w:i/>
                      <w:iCs/>
                      <w:color w:val="FF0000"/>
                      <w:sz w:val="20"/>
                    </w:rPr>
                    <w:t>0%</w:t>
                  </w:r>
                </w:p>
              </w:tc>
              <w:tc>
                <w:tcPr>
                  <w:tcW w:w="1544" w:type="dxa"/>
                </w:tcPr>
                <w:p w14:paraId="77405867" w14:textId="77777777" w:rsidR="00DE6270" w:rsidRPr="00622847" w:rsidRDefault="00DE6270" w:rsidP="00DE6270">
                  <w:pPr>
                    <w:spacing w:before="60"/>
                    <w:rPr>
                      <w:rFonts w:cs="Arial"/>
                      <w:b/>
                      <w:i/>
                      <w:iCs/>
                      <w:color w:val="FF0000"/>
                      <w:sz w:val="20"/>
                      <w:highlight w:val="green"/>
                    </w:rPr>
                  </w:pPr>
                </w:p>
              </w:tc>
              <w:tc>
                <w:tcPr>
                  <w:tcW w:w="1545" w:type="dxa"/>
                </w:tcPr>
                <w:p w14:paraId="7A8C666B" w14:textId="77777777" w:rsidR="00DE6270" w:rsidRPr="00622847" w:rsidRDefault="00DE6270" w:rsidP="00DE6270">
                  <w:pPr>
                    <w:spacing w:before="60"/>
                    <w:rPr>
                      <w:rFonts w:cs="Arial"/>
                      <w:b/>
                      <w:i/>
                      <w:iCs/>
                      <w:color w:val="FF0000"/>
                      <w:sz w:val="20"/>
                      <w:highlight w:val="green"/>
                    </w:rPr>
                  </w:pPr>
                </w:p>
              </w:tc>
              <w:tc>
                <w:tcPr>
                  <w:tcW w:w="1544" w:type="dxa"/>
                </w:tcPr>
                <w:p w14:paraId="77421293" w14:textId="26DE1E1F" w:rsidR="00DE6270" w:rsidRPr="00622847" w:rsidRDefault="004A6D6A" w:rsidP="00DE6270">
                  <w:pPr>
                    <w:spacing w:before="60"/>
                    <w:rPr>
                      <w:rFonts w:cs="Arial"/>
                      <w:b/>
                      <w:i/>
                      <w:iCs/>
                      <w:color w:val="FF0000"/>
                      <w:sz w:val="20"/>
                    </w:rPr>
                  </w:pPr>
                  <w:r w:rsidRPr="00622847">
                    <w:rPr>
                      <w:rFonts w:cs="Arial"/>
                      <w:b/>
                      <w:i/>
                      <w:iCs/>
                      <w:color w:val="FF0000"/>
                      <w:sz w:val="20"/>
                    </w:rPr>
                    <w:t>73%</w:t>
                  </w:r>
                </w:p>
              </w:tc>
              <w:tc>
                <w:tcPr>
                  <w:tcW w:w="1545" w:type="dxa"/>
                </w:tcPr>
                <w:p w14:paraId="3CCF8D69" w14:textId="3CB195BE" w:rsidR="00DE6270" w:rsidRPr="00622847" w:rsidRDefault="004A6D6A" w:rsidP="00DE6270">
                  <w:pPr>
                    <w:spacing w:before="60"/>
                    <w:rPr>
                      <w:rFonts w:cs="Arial"/>
                      <w:b/>
                      <w:i/>
                      <w:iCs/>
                      <w:color w:val="FF0000"/>
                      <w:sz w:val="20"/>
                    </w:rPr>
                  </w:pPr>
                  <w:r w:rsidRPr="00622847">
                    <w:rPr>
                      <w:rFonts w:cs="Arial"/>
                      <w:b/>
                      <w:i/>
                      <w:iCs/>
                      <w:color w:val="FF0000"/>
                      <w:sz w:val="20"/>
                    </w:rPr>
                    <w:t>22%</w:t>
                  </w:r>
                </w:p>
              </w:tc>
            </w:tr>
          </w:tbl>
          <w:p w14:paraId="4B99F3B3" w14:textId="4013C817" w:rsidR="007612D7" w:rsidRPr="00622847" w:rsidRDefault="007612D7" w:rsidP="00242093">
            <w:pPr>
              <w:spacing w:before="60"/>
              <w:rPr>
                <w:rFonts w:cs="Arial"/>
                <w:i/>
                <w:iCs/>
                <w:color w:val="FF0000"/>
                <w:sz w:val="20"/>
              </w:rPr>
            </w:pPr>
          </w:p>
          <w:p w14:paraId="193DB23E" w14:textId="739E3E35" w:rsidR="004A6D6A" w:rsidRPr="00622847" w:rsidRDefault="004A6D6A" w:rsidP="004A6D6A">
            <w:pPr>
              <w:spacing w:before="60"/>
              <w:rPr>
                <w:rFonts w:cs="Arial"/>
                <w:b/>
                <w:i/>
                <w:iCs/>
                <w:color w:val="FF0000"/>
                <w:sz w:val="20"/>
                <w:u w:val="single"/>
              </w:rPr>
            </w:pPr>
            <w:r w:rsidRPr="00622847">
              <w:rPr>
                <w:rFonts w:cs="Arial"/>
                <w:b/>
                <w:i/>
                <w:iCs/>
                <w:color w:val="FF0000"/>
                <w:sz w:val="20"/>
                <w:u w:val="single"/>
              </w:rPr>
              <w:t>KS1 Reading - overall</w:t>
            </w:r>
          </w:p>
          <w:tbl>
            <w:tblPr>
              <w:tblStyle w:val="TableGrid"/>
              <w:tblW w:w="0" w:type="auto"/>
              <w:tblLook w:val="04A0" w:firstRow="1" w:lastRow="0" w:firstColumn="1" w:lastColumn="0" w:noHBand="0" w:noVBand="1"/>
            </w:tblPr>
            <w:tblGrid>
              <w:gridCol w:w="1544"/>
              <w:gridCol w:w="1545"/>
              <w:gridCol w:w="1544"/>
              <w:gridCol w:w="1545"/>
              <w:gridCol w:w="1544"/>
              <w:gridCol w:w="1545"/>
            </w:tblGrid>
            <w:tr w:rsidR="004A6D6A" w:rsidRPr="00622847" w14:paraId="62DE56E1" w14:textId="77777777" w:rsidTr="006C0D25">
              <w:tc>
                <w:tcPr>
                  <w:tcW w:w="3089" w:type="dxa"/>
                  <w:gridSpan w:val="2"/>
                </w:tcPr>
                <w:p w14:paraId="6EEBC6DE" w14:textId="77777777" w:rsidR="004A6D6A" w:rsidRPr="00622847" w:rsidRDefault="004A6D6A" w:rsidP="004A6D6A">
                  <w:pPr>
                    <w:spacing w:before="60"/>
                    <w:rPr>
                      <w:rFonts w:cs="Arial"/>
                      <w:b/>
                      <w:i/>
                      <w:iCs/>
                      <w:color w:val="FF0000"/>
                      <w:sz w:val="20"/>
                    </w:rPr>
                  </w:pPr>
                  <w:r w:rsidRPr="00622847">
                    <w:rPr>
                      <w:rFonts w:cs="Arial"/>
                      <w:b/>
                      <w:i/>
                      <w:iCs/>
                      <w:color w:val="FF0000"/>
                      <w:sz w:val="20"/>
                    </w:rPr>
                    <w:t>School</w:t>
                  </w:r>
                </w:p>
              </w:tc>
              <w:tc>
                <w:tcPr>
                  <w:tcW w:w="3089" w:type="dxa"/>
                  <w:gridSpan w:val="2"/>
                </w:tcPr>
                <w:p w14:paraId="66392463" w14:textId="77777777" w:rsidR="004A6D6A" w:rsidRPr="00622847" w:rsidRDefault="004A6D6A" w:rsidP="004A6D6A">
                  <w:pPr>
                    <w:spacing w:before="60"/>
                    <w:rPr>
                      <w:rFonts w:cs="Arial"/>
                      <w:b/>
                      <w:i/>
                      <w:iCs/>
                      <w:color w:val="FF0000"/>
                      <w:sz w:val="20"/>
                      <w:highlight w:val="green"/>
                    </w:rPr>
                  </w:pPr>
                  <w:r w:rsidRPr="00622847">
                    <w:rPr>
                      <w:rFonts w:cs="Arial"/>
                      <w:b/>
                      <w:i/>
                      <w:iCs/>
                      <w:color w:val="FF0000"/>
                      <w:sz w:val="20"/>
                      <w:highlight w:val="green"/>
                    </w:rPr>
                    <w:t>LA</w:t>
                  </w:r>
                </w:p>
              </w:tc>
              <w:tc>
                <w:tcPr>
                  <w:tcW w:w="3089" w:type="dxa"/>
                  <w:gridSpan w:val="2"/>
                </w:tcPr>
                <w:p w14:paraId="3935DFFA" w14:textId="77777777" w:rsidR="004A6D6A" w:rsidRPr="00622847" w:rsidRDefault="004A6D6A" w:rsidP="004A6D6A">
                  <w:pPr>
                    <w:spacing w:before="60"/>
                    <w:rPr>
                      <w:rFonts w:cs="Arial"/>
                      <w:b/>
                      <w:i/>
                      <w:iCs/>
                      <w:color w:val="FF0000"/>
                      <w:sz w:val="20"/>
                      <w:highlight w:val="green"/>
                    </w:rPr>
                  </w:pPr>
                  <w:r w:rsidRPr="00622847">
                    <w:rPr>
                      <w:rFonts w:cs="Arial"/>
                      <w:b/>
                      <w:i/>
                      <w:iCs/>
                      <w:color w:val="FF0000"/>
                      <w:sz w:val="20"/>
                      <w:highlight w:val="green"/>
                    </w:rPr>
                    <w:t>National</w:t>
                  </w:r>
                </w:p>
              </w:tc>
            </w:tr>
            <w:tr w:rsidR="004A6D6A" w:rsidRPr="00622847" w14:paraId="13203CF7" w14:textId="77777777" w:rsidTr="006C0D25">
              <w:tc>
                <w:tcPr>
                  <w:tcW w:w="1544" w:type="dxa"/>
                </w:tcPr>
                <w:p w14:paraId="06B7E682" w14:textId="77777777" w:rsidR="004A6D6A" w:rsidRPr="00622847" w:rsidRDefault="004A6D6A" w:rsidP="004A6D6A">
                  <w:pPr>
                    <w:spacing w:before="60"/>
                    <w:rPr>
                      <w:rFonts w:cs="Arial"/>
                      <w:b/>
                      <w:i/>
                      <w:iCs/>
                      <w:color w:val="FF0000"/>
                      <w:sz w:val="20"/>
                    </w:rPr>
                  </w:pPr>
                  <w:r w:rsidRPr="00622847">
                    <w:rPr>
                      <w:rFonts w:cs="Arial"/>
                      <w:b/>
                      <w:i/>
                      <w:iCs/>
                      <w:color w:val="FF0000"/>
                      <w:sz w:val="20"/>
                    </w:rPr>
                    <w:t>ARE</w:t>
                  </w:r>
                </w:p>
              </w:tc>
              <w:tc>
                <w:tcPr>
                  <w:tcW w:w="1545" w:type="dxa"/>
                </w:tcPr>
                <w:p w14:paraId="5812CADD" w14:textId="77777777" w:rsidR="004A6D6A" w:rsidRPr="00622847" w:rsidRDefault="004A6D6A" w:rsidP="004A6D6A">
                  <w:pPr>
                    <w:spacing w:before="60"/>
                    <w:rPr>
                      <w:rFonts w:cs="Arial"/>
                      <w:b/>
                      <w:i/>
                      <w:iCs/>
                      <w:color w:val="FF0000"/>
                      <w:sz w:val="20"/>
                    </w:rPr>
                  </w:pPr>
                  <w:r w:rsidRPr="00622847">
                    <w:rPr>
                      <w:rFonts w:cs="Arial"/>
                      <w:b/>
                      <w:i/>
                      <w:iCs/>
                      <w:color w:val="FF0000"/>
                      <w:sz w:val="20"/>
                    </w:rPr>
                    <w:t>GDS</w:t>
                  </w:r>
                </w:p>
              </w:tc>
              <w:tc>
                <w:tcPr>
                  <w:tcW w:w="1544" w:type="dxa"/>
                </w:tcPr>
                <w:p w14:paraId="63FD5E9E" w14:textId="77777777" w:rsidR="004A6D6A" w:rsidRPr="00622847" w:rsidRDefault="004A6D6A" w:rsidP="004A6D6A">
                  <w:pPr>
                    <w:spacing w:before="60"/>
                    <w:rPr>
                      <w:rFonts w:cs="Arial"/>
                      <w:b/>
                      <w:i/>
                      <w:iCs/>
                      <w:color w:val="FF0000"/>
                      <w:sz w:val="20"/>
                      <w:highlight w:val="green"/>
                    </w:rPr>
                  </w:pPr>
                  <w:r w:rsidRPr="00622847">
                    <w:rPr>
                      <w:rFonts w:cs="Arial"/>
                      <w:b/>
                      <w:i/>
                      <w:iCs/>
                      <w:color w:val="FF0000"/>
                      <w:sz w:val="20"/>
                      <w:highlight w:val="green"/>
                    </w:rPr>
                    <w:t>ARE</w:t>
                  </w:r>
                </w:p>
              </w:tc>
              <w:tc>
                <w:tcPr>
                  <w:tcW w:w="1545" w:type="dxa"/>
                </w:tcPr>
                <w:p w14:paraId="0A23C78A" w14:textId="77777777" w:rsidR="004A6D6A" w:rsidRPr="00622847" w:rsidRDefault="004A6D6A" w:rsidP="004A6D6A">
                  <w:pPr>
                    <w:spacing w:before="60"/>
                    <w:rPr>
                      <w:rFonts w:cs="Arial"/>
                      <w:b/>
                      <w:i/>
                      <w:iCs/>
                      <w:color w:val="FF0000"/>
                      <w:sz w:val="20"/>
                      <w:highlight w:val="green"/>
                    </w:rPr>
                  </w:pPr>
                  <w:r w:rsidRPr="00622847">
                    <w:rPr>
                      <w:rFonts w:cs="Arial"/>
                      <w:b/>
                      <w:i/>
                      <w:iCs/>
                      <w:color w:val="FF0000"/>
                      <w:sz w:val="20"/>
                      <w:highlight w:val="green"/>
                    </w:rPr>
                    <w:t>GDS</w:t>
                  </w:r>
                </w:p>
              </w:tc>
              <w:tc>
                <w:tcPr>
                  <w:tcW w:w="1544" w:type="dxa"/>
                </w:tcPr>
                <w:p w14:paraId="19AAC171" w14:textId="77777777" w:rsidR="004A6D6A" w:rsidRPr="00622847" w:rsidRDefault="004A6D6A" w:rsidP="004A6D6A">
                  <w:pPr>
                    <w:spacing w:before="60"/>
                    <w:rPr>
                      <w:rFonts w:cs="Arial"/>
                      <w:b/>
                      <w:i/>
                      <w:iCs/>
                      <w:color w:val="FF0000"/>
                      <w:sz w:val="20"/>
                      <w:highlight w:val="yellow"/>
                    </w:rPr>
                  </w:pPr>
                  <w:r w:rsidRPr="00622847">
                    <w:rPr>
                      <w:rFonts w:cs="Arial"/>
                      <w:b/>
                      <w:i/>
                      <w:iCs/>
                      <w:color w:val="FF0000"/>
                      <w:sz w:val="20"/>
                      <w:highlight w:val="yellow"/>
                    </w:rPr>
                    <w:t>ARE</w:t>
                  </w:r>
                </w:p>
              </w:tc>
              <w:tc>
                <w:tcPr>
                  <w:tcW w:w="1545" w:type="dxa"/>
                </w:tcPr>
                <w:p w14:paraId="46CBCA64" w14:textId="77777777" w:rsidR="004A6D6A" w:rsidRPr="00622847" w:rsidRDefault="004A6D6A" w:rsidP="004A6D6A">
                  <w:pPr>
                    <w:spacing w:before="60"/>
                    <w:rPr>
                      <w:rFonts w:cs="Arial"/>
                      <w:b/>
                      <w:i/>
                      <w:iCs/>
                      <w:color w:val="FF0000"/>
                      <w:sz w:val="20"/>
                      <w:highlight w:val="green"/>
                    </w:rPr>
                  </w:pPr>
                  <w:r w:rsidRPr="00622847">
                    <w:rPr>
                      <w:rFonts w:cs="Arial"/>
                      <w:b/>
                      <w:i/>
                      <w:iCs/>
                      <w:color w:val="FF0000"/>
                      <w:sz w:val="20"/>
                      <w:highlight w:val="green"/>
                    </w:rPr>
                    <w:t>GDS</w:t>
                  </w:r>
                </w:p>
              </w:tc>
            </w:tr>
            <w:tr w:rsidR="004A6D6A" w:rsidRPr="00622847" w14:paraId="195B08D5" w14:textId="77777777" w:rsidTr="006C0D25">
              <w:tc>
                <w:tcPr>
                  <w:tcW w:w="1544" w:type="dxa"/>
                </w:tcPr>
                <w:p w14:paraId="56CF9304" w14:textId="42AAAF3D" w:rsidR="004A6D6A" w:rsidRPr="00622847" w:rsidRDefault="003F3E4F" w:rsidP="004A6D6A">
                  <w:pPr>
                    <w:spacing w:before="60"/>
                    <w:rPr>
                      <w:rFonts w:cs="Arial"/>
                      <w:b/>
                      <w:i/>
                      <w:iCs/>
                      <w:color w:val="FF0000"/>
                      <w:sz w:val="20"/>
                    </w:rPr>
                  </w:pPr>
                  <w:r w:rsidRPr="00622847">
                    <w:rPr>
                      <w:rFonts w:cs="Arial"/>
                      <w:b/>
                      <w:i/>
                      <w:iCs/>
                      <w:color w:val="FF0000"/>
                      <w:sz w:val="20"/>
                    </w:rPr>
                    <w:t>48%</w:t>
                  </w:r>
                </w:p>
              </w:tc>
              <w:tc>
                <w:tcPr>
                  <w:tcW w:w="1545" w:type="dxa"/>
                </w:tcPr>
                <w:p w14:paraId="7447DEA3" w14:textId="71711AAE" w:rsidR="004A6D6A" w:rsidRPr="00622847" w:rsidRDefault="003F3E4F" w:rsidP="004A6D6A">
                  <w:pPr>
                    <w:spacing w:before="60"/>
                    <w:rPr>
                      <w:rFonts w:cs="Arial"/>
                      <w:b/>
                      <w:i/>
                      <w:iCs/>
                      <w:color w:val="FF0000"/>
                      <w:sz w:val="20"/>
                    </w:rPr>
                  </w:pPr>
                  <w:r w:rsidRPr="00622847">
                    <w:rPr>
                      <w:rFonts w:cs="Arial"/>
                      <w:b/>
                      <w:i/>
                      <w:iCs/>
                      <w:color w:val="FF0000"/>
                      <w:sz w:val="20"/>
                    </w:rPr>
                    <w:t>2%</w:t>
                  </w:r>
                </w:p>
              </w:tc>
              <w:tc>
                <w:tcPr>
                  <w:tcW w:w="1544" w:type="dxa"/>
                </w:tcPr>
                <w:p w14:paraId="0434F96C" w14:textId="77777777" w:rsidR="004A6D6A" w:rsidRPr="00622847" w:rsidRDefault="004A6D6A" w:rsidP="004A6D6A">
                  <w:pPr>
                    <w:spacing w:before="60"/>
                    <w:rPr>
                      <w:rFonts w:cs="Arial"/>
                      <w:b/>
                      <w:i/>
                      <w:iCs/>
                      <w:color w:val="FF0000"/>
                      <w:sz w:val="20"/>
                      <w:highlight w:val="green"/>
                    </w:rPr>
                  </w:pPr>
                </w:p>
              </w:tc>
              <w:tc>
                <w:tcPr>
                  <w:tcW w:w="1545" w:type="dxa"/>
                </w:tcPr>
                <w:p w14:paraId="7F514E6A" w14:textId="77777777" w:rsidR="004A6D6A" w:rsidRPr="00622847" w:rsidRDefault="004A6D6A" w:rsidP="004A6D6A">
                  <w:pPr>
                    <w:spacing w:before="60"/>
                    <w:rPr>
                      <w:rFonts w:cs="Arial"/>
                      <w:b/>
                      <w:i/>
                      <w:iCs/>
                      <w:color w:val="FF0000"/>
                      <w:sz w:val="20"/>
                      <w:highlight w:val="green"/>
                    </w:rPr>
                  </w:pPr>
                </w:p>
              </w:tc>
              <w:tc>
                <w:tcPr>
                  <w:tcW w:w="1544" w:type="dxa"/>
                </w:tcPr>
                <w:p w14:paraId="6D3A42D3" w14:textId="72985A0C" w:rsidR="004A6D6A" w:rsidRPr="00622847" w:rsidRDefault="006D7E4C" w:rsidP="004A6D6A">
                  <w:pPr>
                    <w:spacing w:before="60"/>
                    <w:rPr>
                      <w:rFonts w:cs="Arial"/>
                      <w:b/>
                      <w:i/>
                      <w:iCs/>
                      <w:color w:val="FF0000"/>
                      <w:sz w:val="20"/>
                      <w:highlight w:val="yellow"/>
                    </w:rPr>
                  </w:pPr>
                  <w:r w:rsidRPr="00622847">
                    <w:rPr>
                      <w:rFonts w:cs="Arial"/>
                      <w:b/>
                      <w:i/>
                      <w:iCs/>
                      <w:color w:val="FF0000"/>
                      <w:sz w:val="20"/>
                      <w:highlight w:val="yellow"/>
                    </w:rPr>
                    <w:t>68%</w:t>
                  </w:r>
                </w:p>
              </w:tc>
              <w:tc>
                <w:tcPr>
                  <w:tcW w:w="1545" w:type="dxa"/>
                </w:tcPr>
                <w:p w14:paraId="6F227E7A" w14:textId="09C3ACA5" w:rsidR="004A6D6A" w:rsidRPr="00622847" w:rsidRDefault="004A6D6A" w:rsidP="004A6D6A">
                  <w:pPr>
                    <w:spacing w:before="60"/>
                    <w:rPr>
                      <w:rFonts w:cs="Arial"/>
                      <w:b/>
                      <w:i/>
                      <w:iCs/>
                      <w:color w:val="FF0000"/>
                      <w:sz w:val="20"/>
                      <w:highlight w:val="green"/>
                    </w:rPr>
                  </w:pPr>
                </w:p>
              </w:tc>
            </w:tr>
          </w:tbl>
          <w:p w14:paraId="67BD1427" w14:textId="6F00E20B" w:rsidR="00DE6270" w:rsidRPr="00622847" w:rsidRDefault="00DE6270" w:rsidP="00242093">
            <w:pPr>
              <w:spacing w:before="60"/>
              <w:rPr>
                <w:rFonts w:cs="Arial"/>
                <w:b/>
                <w:i/>
                <w:iCs/>
                <w:color w:val="FF0000"/>
                <w:sz w:val="20"/>
                <w:u w:val="single"/>
              </w:rPr>
            </w:pPr>
          </w:p>
          <w:p w14:paraId="136B04C1" w14:textId="78829EA5" w:rsidR="00DE6270" w:rsidRPr="00622847" w:rsidRDefault="00DE6270" w:rsidP="00DE6270">
            <w:pPr>
              <w:spacing w:before="60"/>
              <w:rPr>
                <w:rFonts w:cs="Arial"/>
                <w:b/>
                <w:i/>
                <w:iCs/>
                <w:color w:val="FF0000"/>
                <w:sz w:val="20"/>
                <w:u w:val="single"/>
              </w:rPr>
            </w:pPr>
            <w:r w:rsidRPr="00622847">
              <w:rPr>
                <w:rFonts w:cs="Arial"/>
                <w:b/>
                <w:i/>
                <w:iCs/>
                <w:color w:val="FF0000"/>
                <w:sz w:val="20"/>
                <w:u w:val="single"/>
              </w:rPr>
              <w:t xml:space="preserve">KS1 Writing – </w:t>
            </w:r>
            <w:r w:rsidR="004A6D6A" w:rsidRPr="00622847">
              <w:rPr>
                <w:rFonts w:cs="Arial"/>
                <w:b/>
                <w:i/>
                <w:iCs/>
                <w:color w:val="FF0000"/>
                <w:sz w:val="20"/>
                <w:u w:val="single"/>
              </w:rPr>
              <w:t>overall</w:t>
            </w:r>
          </w:p>
          <w:tbl>
            <w:tblPr>
              <w:tblStyle w:val="TableGrid"/>
              <w:tblW w:w="0" w:type="auto"/>
              <w:tblLook w:val="04A0" w:firstRow="1" w:lastRow="0" w:firstColumn="1" w:lastColumn="0" w:noHBand="0" w:noVBand="1"/>
            </w:tblPr>
            <w:tblGrid>
              <w:gridCol w:w="1544"/>
              <w:gridCol w:w="1545"/>
              <w:gridCol w:w="1544"/>
              <w:gridCol w:w="1545"/>
              <w:gridCol w:w="1544"/>
              <w:gridCol w:w="1545"/>
            </w:tblGrid>
            <w:tr w:rsidR="00DE6270" w:rsidRPr="00622847" w14:paraId="1B338080" w14:textId="77777777" w:rsidTr="006C0D25">
              <w:tc>
                <w:tcPr>
                  <w:tcW w:w="3089" w:type="dxa"/>
                  <w:gridSpan w:val="2"/>
                </w:tcPr>
                <w:p w14:paraId="0BA217A3" w14:textId="77777777" w:rsidR="00DE6270" w:rsidRPr="00622847" w:rsidRDefault="00DE6270" w:rsidP="00DE6270">
                  <w:pPr>
                    <w:spacing w:before="60"/>
                    <w:rPr>
                      <w:rFonts w:cs="Arial"/>
                      <w:b/>
                      <w:i/>
                      <w:iCs/>
                      <w:color w:val="FF0000"/>
                      <w:sz w:val="20"/>
                    </w:rPr>
                  </w:pPr>
                  <w:r w:rsidRPr="00622847">
                    <w:rPr>
                      <w:rFonts w:cs="Arial"/>
                      <w:b/>
                      <w:i/>
                      <w:iCs/>
                      <w:color w:val="FF0000"/>
                      <w:sz w:val="20"/>
                    </w:rPr>
                    <w:t>School</w:t>
                  </w:r>
                </w:p>
              </w:tc>
              <w:tc>
                <w:tcPr>
                  <w:tcW w:w="3089" w:type="dxa"/>
                  <w:gridSpan w:val="2"/>
                </w:tcPr>
                <w:p w14:paraId="6471928B" w14:textId="77777777" w:rsidR="00DE6270" w:rsidRPr="00622847" w:rsidRDefault="00DE6270" w:rsidP="00DE6270">
                  <w:pPr>
                    <w:spacing w:before="60"/>
                    <w:rPr>
                      <w:rFonts w:cs="Arial"/>
                      <w:b/>
                      <w:i/>
                      <w:iCs/>
                      <w:color w:val="FF0000"/>
                      <w:sz w:val="20"/>
                    </w:rPr>
                  </w:pPr>
                  <w:r w:rsidRPr="00622847">
                    <w:rPr>
                      <w:rFonts w:cs="Arial"/>
                      <w:b/>
                      <w:i/>
                      <w:iCs/>
                      <w:color w:val="FF0000"/>
                      <w:sz w:val="20"/>
                    </w:rPr>
                    <w:t>LA</w:t>
                  </w:r>
                </w:p>
              </w:tc>
              <w:tc>
                <w:tcPr>
                  <w:tcW w:w="3089" w:type="dxa"/>
                  <w:gridSpan w:val="2"/>
                </w:tcPr>
                <w:p w14:paraId="740FBF86" w14:textId="77777777" w:rsidR="00DE6270" w:rsidRPr="00622847" w:rsidRDefault="00DE6270" w:rsidP="00DE6270">
                  <w:pPr>
                    <w:spacing w:before="60"/>
                    <w:rPr>
                      <w:rFonts w:cs="Arial"/>
                      <w:b/>
                      <w:i/>
                      <w:iCs/>
                      <w:color w:val="FF0000"/>
                      <w:sz w:val="20"/>
                    </w:rPr>
                  </w:pPr>
                  <w:r w:rsidRPr="00622847">
                    <w:rPr>
                      <w:rFonts w:cs="Arial"/>
                      <w:b/>
                      <w:i/>
                      <w:iCs/>
                      <w:color w:val="FF0000"/>
                      <w:sz w:val="20"/>
                    </w:rPr>
                    <w:t>National</w:t>
                  </w:r>
                </w:p>
              </w:tc>
            </w:tr>
            <w:tr w:rsidR="00DE6270" w:rsidRPr="00622847" w14:paraId="485BEF69" w14:textId="77777777" w:rsidTr="006C0D25">
              <w:tc>
                <w:tcPr>
                  <w:tcW w:w="1544" w:type="dxa"/>
                </w:tcPr>
                <w:p w14:paraId="21D57C0E"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1604D87D"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c>
                <w:tcPr>
                  <w:tcW w:w="1544" w:type="dxa"/>
                </w:tcPr>
                <w:p w14:paraId="52F1FE1D"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28AE7C0C"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c>
                <w:tcPr>
                  <w:tcW w:w="1544" w:type="dxa"/>
                </w:tcPr>
                <w:p w14:paraId="48D9A636"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60CA34E4"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r>
            <w:tr w:rsidR="00DE6270" w:rsidRPr="00622847" w14:paraId="30931D46" w14:textId="77777777" w:rsidTr="006C0D25">
              <w:tc>
                <w:tcPr>
                  <w:tcW w:w="1544" w:type="dxa"/>
                </w:tcPr>
                <w:p w14:paraId="09FC6E28" w14:textId="6F05755E" w:rsidR="00DE6270" w:rsidRPr="00622847" w:rsidRDefault="007612D7" w:rsidP="00DE6270">
                  <w:pPr>
                    <w:spacing w:before="60"/>
                    <w:rPr>
                      <w:rFonts w:cs="Arial"/>
                      <w:b/>
                      <w:i/>
                      <w:iCs/>
                      <w:color w:val="FF0000"/>
                      <w:sz w:val="20"/>
                    </w:rPr>
                  </w:pPr>
                  <w:r w:rsidRPr="00622847">
                    <w:rPr>
                      <w:rFonts w:cs="Arial"/>
                      <w:b/>
                      <w:i/>
                      <w:iCs/>
                      <w:color w:val="FF0000"/>
                      <w:sz w:val="20"/>
                    </w:rPr>
                    <w:t>48</w:t>
                  </w:r>
                  <w:r w:rsidR="00433F4E" w:rsidRPr="00622847">
                    <w:rPr>
                      <w:rFonts w:cs="Arial"/>
                      <w:b/>
                      <w:i/>
                      <w:iCs/>
                      <w:color w:val="FF0000"/>
                      <w:sz w:val="20"/>
                    </w:rPr>
                    <w:t>%</w:t>
                  </w:r>
                </w:p>
              </w:tc>
              <w:tc>
                <w:tcPr>
                  <w:tcW w:w="1545" w:type="dxa"/>
                </w:tcPr>
                <w:p w14:paraId="341AB44C" w14:textId="4417AC4F" w:rsidR="00DE6270" w:rsidRPr="00622847" w:rsidRDefault="007612D7" w:rsidP="00DE6270">
                  <w:pPr>
                    <w:spacing w:before="60"/>
                    <w:rPr>
                      <w:rFonts w:cs="Arial"/>
                      <w:b/>
                      <w:i/>
                      <w:iCs/>
                      <w:color w:val="FF0000"/>
                      <w:sz w:val="20"/>
                    </w:rPr>
                  </w:pPr>
                  <w:r w:rsidRPr="00622847">
                    <w:rPr>
                      <w:rFonts w:cs="Arial"/>
                      <w:b/>
                      <w:i/>
                      <w:iCs/>
                      <w:color w:val="FF0000"/>
                      <w:sz w:val="20"/>
                    </w:rPr>
                    <w:t>3</w:t>
                  </w:r>
                  <w:r w:rsidR="00433F4E" w:rsidRPr="00622847">
                    <w:rPr>
                      <w:rFonts w:cs="Arial"/>
                      <w:b/>
                      <w:i/>
                      <w:iCs/>
                      <w:color w:val="FF0000"/>
                      <w:sz w:val="20"/>
                    </w:rPr>
                    <w:t>%</w:t>
                  </w:r>
                </w:p>
              </w:tc>
              <w:tc>
                <w:tcPr>
                  <w:tcW w:w="1544" w:type="dxa"/>
                </w:tcPr>
                <w:p w14:paraId="7F83912F" w14:textId="5A3A301B" w:rsidR="00DE6270" w:rsidRPr="00622847" w:rsidRDefault="007612D7" w:rsidP="00DE6270">
                  <w:pPr>
                    <w:spacing w:before="60"/>
                    <w:rPr>
                      <w:rFonts w:cs="Arial"/>
                      <w:b/>
                      <w:i/>
                      <w:iCs/>
                      <w:color w:val="FF0000"/>
                      <w:sz w:val="20"/>
                    </w:rPr>
                  </w:pPr>
                  <w:r w:rsidRPr="00622847">
                    <w:rPr>
                      <w:rFonts w:cs="Arial"/>
                      <w:b/>
                      <w:i/>
                      <w:iCs/>
                      <w:color w:val="FF0000"/>
                      <w:sz w:val="20"/>
                    </w:rPr>
                    <w:t>57%</w:t>
                  </w:r>
                </w:p>
              </w:tc>
              <w:tc>
                <w:tcPr>
                  <w:tcW w:w="1545" w:type="dxa"/>
                </w:tcPr>
                <w:p w14:paraId="7565C683" w14:textId="447DAAD5" w:rsidR="00DE6270" w:rsidRPr="00622847" w:rsidRDefault="007612D7" w:rsidP="00DE6270">
                  <w:pPr>
                    <w:spacing w:before="60"/>
                    <w:rPr>
                      <w:rFonts w:cs="Arial"/>
                      <w:b/>
                      <w:i/>
                      <w:iCs/>
                      <w:color w:val="FF0000"/>
                      <w:sz w:val="20"/>
                    </w:rPr>
                  </w:pPr>
                  <w:r w:rsidRPr="00622847">
                    <w:rPr>
                      <w:rFonts w:cs="Arial"/>
                      <w:b/>
                      <w:i/>
                      <w:iCs/>
                      <w:color w:val="FF0000"/>
                      <w:sz w:val="20"/>
                    </w:rPr>
                    <w:t>5%</w:t>
                  </w:r>
                </w:p>
              </w:tc>
              <w:tc>
                <w:tcPr>
                  <w:tcW w:w="1544" w:type="dxa"/>
                </w:tcPr>
                <w:p w14:paraId="5C7D74F7" w14:textId="30A410D2" w:rsidR="00DE6270" w:rsidRPr="00622847" w:rsidRDefault="007612D7" w:rsidP="00DE6270">
                  <w:pPr>
                    <w:spacing w:before="60"/>
                    <w:rPr>
                      <w:rFonts w:cs="Arial"/>
                      <w:b/>
                      <w:i/>
                      <w:iCs/>
                      <w:color w:val="FF0000"/>
                      <w:sz w:val="20"/>
                    </w:rPr>
                  </w:pPr>
                  <w:r w:rsidRPr="00622847">
                    <w:rPr>
                      <w:rFonts w:cs="Arial"/>
                      <w:b/>
                      <w:i/>
                      <w:iCs/>
                      <w:color w:val="FF0000"/>
                      <w:sz w:val="20"/>
                    </w:rPr>
                    <w:t>65%</w:t>
                  </w:r>
                </w:p>
              </w:tc>
              <w:tc>
                <w:tcPr>
                  <w:tcW w:w="1545" w:type="dxa"/>
                </w:tcPr>
                <w:p w14:paraId="53FD1ECA" w14:textId="0FE9E64E" w:rsidR="00DE6270" w:rsidRPr="00622847" w:rsidRDefault="007612D7" w:rsidP="00DE6270">
                  <w:pPr>
                    <w:spacing w:before="60"/>
                    <w:rPr>
                      <w:rFonts w:cs="Arial"/>
                      <w:b/>
                      <w:i/>
                      <w:iCs/>
                      <w:color w:val="FF0000"/>
                      <w:sz w:val="20"/>
                    </w:rPr>
                  </w:pPr>
                  <w:r w:rsidRPr="00622847">
                    <w:rPr>
                      <w:rFonts w:cs="Arial"/>
                      <w:b/>
                      <w:i/>
                      <w:iCs/>
                      <w:color w:val="FF0000"/>
                      <w:sz w:val="20"/>
                    </w:rPr>
                    <w:t>10%</w:t>
                  </w:r>
                </w:p>
              </w:tc>
            </w:tr>
          </w:tbl>
          <w:p w14:paraId="5D17CE21" w14:textId="77777777" w:rsidR="00DE6270" w:rsidRPr="00622847" w:rsidRDefault="00DE6270" w:rsidP="00242093">
            <w:pPr>
              <w:spacing w:before="60"/>
              <w:rPr>
                <w:rFonts w:cs="Arial"/>
                <w:i/>
                <w:iCs/>
                <w:color w:val="FF0000"/>
                <w:sz w:val="20"/>
              </w:rPr>
            </w:pPr>
          </w:p>
          <w:p w14:paraId="7CAF15C0" w14:textId="5A520667" w:rsidR="00DE6270" w:rsidRPr="00622847" w:rsidRDefault="00DE6270" w:rsidP="00DE6270">
            <w:pPr>
              <w:spacing w:before="60"/>
              <w:rPr>
                <w:rFonts w:cs="Arial"/>
                <w:b/>
                <w:i/>
                <w:iCs/>
                <w:color w:val="FF0000"/>
                <w:sz w:val="20"/>
                <w:u w:val="single"/>
              </w:rPr>
            </w:pPr>
            <w:r w:rsidRPr="00622847">
              <w:rPr>
                <w:rFonts w:cs="Arial"/>
                <w:b/>
                <w:i/>
                <w:iCs/>
                <w:color w:val="FF0000"/>
                <w:sz w:val="20"/>
                <w:u w:val="single"/>
              </w:rPr>
              <w:t>KS1 Writing – PP</w:t>
            </w:r>
          </w:p>
          <w:tbl>
            <w:tblPr>
              <w:tblStyle w:val="TableGrid"/>
              <w:tblW w:w="0" w:type="auto"/>
              <w:tblLook w:val="04A0" w:firstRow="1" w:lastRow="0" w:firstColumn="1" w:lastColumn="0" w:noHBand="0" w:noVBand="1"/>
            </w:tblPr>
            <w:tblGrid>
              <w:gridCol w:w="1544"/>
              <w:gridCol w:w="1545"/>
              <w:gridCol w:w="1544"/>
              <w:gridCol w:w="1545"/>
              <w:gridCol w:w="1544"/>
              <w:gridCol w:w="1545"/>
            </w:tblGrid>
            <w:tr w:rsidR="00DE6270" w:rsidRPr="00622847" w14:paraId="6756D05E" w14:textId="77777777" w:rsidTr="006C0D25">
              <w:tc>
                <w:tcPr>
                  <w:tcW w:w="3089" w:type="dxa"/>
                  <w:gridSpan w:val="2"/>
                </w:tcPr>
                <w:p w14:paraId="63E269F3" w14:textId="77777777" w:rsidR="00DE6270" w:rsidRPr="00622847" w:rsidRDefault="00DE6270" w:rsidP="00DE6270">
                  <w:pPr>
                    <w:spacing w:before="60"/>
                    <w:rPr>
                      <w:rFonts w:cs="Arial"/>
                      <w:b/>
                      <w:i/>
                      <w:iCs/>
                      <w:color w:val="FF0000"/>
                      <w:sz w:val="20"/>
                    </w:rPr>
                  </w:pPr>
                  <w:r w:rsidRPr="00622847">
                    <w:rPr>
                      <w:rFonts w:cs="Arial"/>
                      <w:b/>
                      <w:i/>
                      <w:iCs/>
                      <w:color w:val="FF0000"/>
                      <w:sz w:val="20"/>
                    </w:rPr>
                    <w:t>School</w:t>
                  </w:r>
                </w:p>
              </w:tc>
              <w:tc>
                <w:tcPr>
                  <w:tcW w:w="3089" w:type="dxa"/>
                  <w:gridSpan w:val="2"/>
                </w:tcPr>
                <w:p w14:paraId="00076B38" w14:textId="77777777" w:rsidR="00DE6270" w:rsidRPr="00622847" w:rsidRDefault="00DE6270" w:rsidP="00DE6270">
                  <w:pPr>
                    <w:spacing w:before="60"/>
                    <w:rPr>
                      <w:rFonts w:cs="Arial"/>
                      <w:b/>
                      <w:i/>
                      <w:iCs/>
                      <w:color w:val="FF0000"/>
                      <w:sz w:val="20"/>
                      <w:highlight w:val="green"/>
                    </w:rPr>
                  </w:pPr>
                  <w:r w:rsidRPr="00622847">
                    <w:rPr>
                      <w:rFonts w:cs="Arial"/>
                      <w:b/>
                      <w:i/>
                      <w:iCs/>
                      <w:color w:val="FF0000"/>
                      <w:sz w:val="20"/>
                      <w:highlight w:val="green"/>
                    </w:rPr>
                    <w:t>LA</w:t>
                  </w:r>
                </w:p>
              </w:tc>
              <w:tc>
                <w:tcPr>
                  <w:tcW w:w="3089" w:type="dxa"/>
                  <w:gridSpan w:val="2"/>
                </w:tcPr>
                <w:p w14:paraId="37A8F1F3" w14:textId="77777777" w:rsidR="00DE6270" w:rsidRPr="00622847" w:rsidRDefault="00DE6270" w:rsidP="00DE6270">
                  <w:pPr>
                    <w:spacing w:before="60"/>
                    <w:rPr>
                      <w:rFonts w:cs="Arial"/>
                      <w:b/>
                      <w:i/>
                      <w:iCs/>
                      <w:color w:val="FF0000"/>
                      <w:sz w:val="20"/>
                    </w:rPr>
                  </w:pPr>
                  <w:r w:rsidRPr="00622847">
                    <w:rPr>
                      <w:rFonts w:cs="Arial"/>
                      <w:b/>
                      <w:i/>
                      <w:iCs/>
                      <w:color w:val="FF0000"/>
                      <w:sz w:val="20"/>
                    </w:rPr>
                    <w:t>National</w:t>
                  </w:r>
                </w:p>
              </w:tc>
            </w:tr>
            <w:tr w:rsidR="00DE6270" w:rsidRPr="00622847" w14:paraId="0DBB71D3" w14:textId="77777777" w:rsidTr="006C0D25">
              <w:tc>
                <w:tcPr>
                  <w:tcW w:w="1544" w:type="dxa"/>
                </w:tcPr>
                <w:p w14:paraId="08848C81"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600EE8FC"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c>
                <w:tcPr>
                  <w:tcW w:w="1544" w:type="dxa"/>
                </w:tcPr>
                <w:p w14:paraId="370CE743" w14:textId="77777777" w:rsidR="00DE6270" w:rsidRPr="00622847" w:rsidRDefault="00DE6270" w:rsidP="00DE6270">
                  <w:pPr>
                    <w:spacing w:before="60"/>
                    <w:rPr>
                      <w:rFonts w:cs="Arial"/>
                      <w:b/>
                      <w:i/>
                      <w:iCs/>
                      <w:color w:val="FF0000"/>
                      <w:sz w:val="20"/>
                      <w:highlight w:val="green"/>
                    </w:rPr>
                  </w:pPr>
                  <w:r w:rsidRPr="00622847">
                    <w:rPr>
                      <w:rFonts w:cs="Arial"/>
                      <w:b/>
                      <w:i/>
                      <w:iCs/>
                      <w:color w:val="FF0000"/>
                      <w:sz w:val="20"/>
                      <w:highlight w:val="green"/>
                    </w:rPr>
                    <w:t>ARE</w:t>
                  </w:r>
                </w:p>
              </w:tc>
              <w:tc>
                <w:tcPr>
                  <w:tcW w:w="1545" w:type="dxa"/>
                </w:tcPr>
                <w:p w14:paraId="0510B568" w14:textId="77777777" w:rsidR="00DE6270" w:rsidRPr="00622847" w:rsidRDefault="00DE6270" w:rsidP="00DE6270">
                  <w:pPr>
                    <w:spacing w:before="60"/>
                    <w:rPr>
                      <w:rFonts w:cs="Arial"/>
                      <w:b/>
                      <w:i/>
                      <w:iCs/>
                      <w:color w:val="FF0000"/>
                      <w:sz w:val="20"/>
                      <w:highlight w:val="green"/>
                    </w:rPr>
                  </w:pPr>
                  <w:r w:rsidRPr="00622847">
                    <w:rPr>
                      <w:rFonts w:cs="Arial"/>
                      <w:b/>
                      <w:i/>
                      <w:iCs/>
                      <w:color w:val="FF0000"/>
                      <w:sz w:val="20"/>
                      <w:highlight w:val="green"/>
                    </w:rPr>
                    <w:t>GDS</w:t>
                  </w:r>
                </w:p>
              </w:tc>
              <w:tc>
                <w:tcPr>
                  <w:tcW w:w="1544" w:type="dxa"/>
                </w:tcPr>
                <w:p w14:paraId="6D0C15DE"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03AFE39B"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r>
            <w:tr w:rsidR="00DE6270" w:rsidRPr="00622847" w14:paraId="6F31D8E1" w14:textId="77777777" w:rsidTr="006C0D25">
              <w:tc>
                <w:tcPr>
                  <w:tcW w:w="1544" w:type="dxa"/>
                </w:tcPr>
                <w:p w14:paraId="6B0A6E30" w14:textId="3AFD5905" w:rsidR="00DE6270" w:rsidRPr="00622847" w:rsidRDefault="003559CB" w:rsidP="00DE6270">
                  <w:pPr>
                    <w:spacing w:before="60"/>
                    <w:rPr>
                      <w:rFonts w:cs="Arial"/>
                      <w:b/>
                      <w:i/>
                      <w:iCs/>
                      <w:color w:val="FF0000"/>
                      <w:sz w:val="20"/>
                    </w:rPr>
                  </w:pPr>
                  <w:r w:rsidRPr="00622847">
                    <w:rPr>
                      <w:rFonts w:cs="Arial"/>
                      <w:b/>
                      <w:i/>
                      <w:iCs/>
                      <w:color w:val="FF0000"/>
                      <w:sz w:val="20"/>
                    </w:rPr>
                    <w:t>34%</w:t>
                  </w:r>
                </w:p>
              </w:tc>
              <w:tc>
                <w:tcPr>
                  <w:tcW w:w="1545" w:type="dxa"/>
                </w:tcPr>
                <w:p w14:paraId="0A320CAB" w14:textId="5E41A64E" w:rsidR="00DE6270" w:rsidRPr="00622847" w:rsidRDefault="003559CB" w:rsidP="00DE6270">
                  <w:pPr>
                    <w:spacing w:before="60"/>
                    <w:rPr>
                      <w:rFonts w:cs="Arial"/>
                      <w:b/>
                      <w:i/>
                      <w:iCs/>
                      <w:color w:val="FF0000"/>
                      <w:sz w:val="20"/>
                    </w:rPr>
                  </w:pPr>
                  <w:r w:rsidRPr="00622847">
                    <w:rPr>
                      <w:rFonts w:cs="Arial"/>
                      <w:b/>
                      <w:i/>
                      <w:iCs/>
                      <w:color w:val="FF0000"/>
                      <w:sz w:val="20"/>
                    </w:rPr>
                    <w:t>0%</w:t>
                  </w:r>
                </w:p>
              </w:tc>
              <w:tc>
                <w:tcPr>
                  <w:tcW w:w="1544" w:type="dxa"/>
                </w:tcPr>
                <w:p w14:paraId="3D1CBEE2" w14:textId="77777777" w:rsidR="00DE6270" w:rsidRPr="00622847" w:rsidRDefault="00DE6270" w:rsidP="00DE6270">
                  <w:pPr>
                    <w:spacing w:before="60"/>
                    <w:rPr>
                      <w:rFonts w:cs="Arial"/>
                      <w:b/>
                      <w:i/>
                      <w:iCs/>
                      <w:color w:val="FF0000"/>
                      <w:sz w:val="20"/>
                      <w:highlight w:val="green"/>
                    </w:rPr>
                  </w:pPr>
                </w:p>
              </w:tc>
              <w:tc>
                <w:tcPr>
                  <w:tcW w:w="1545" w:type="dxa"/>
                </w:tcPr>
                <w:p w14:paraId="12D3B7E0" w14:textId="77777777" w:rsidR="00DE6270" w:rsidRPr="00622847" w:rsidRDefault="00DE6270" w:rsidP="00DE6270">
                  <w:pPr>
                    <w:spacing w:before="60"/>
                    <w:rPr>
                      <w:rFonts w:cs="Arial"/>
                      <w:b/>
                      <w:i/>
                      <w:iCs/>
                      <w:color w:val="FF0000"/>
                      <w:sz w:val="20"/>
                      <w:highlight w:val="green"/>
                    </w:rPr>
                  </w:pPr>
                </w:p>
              </w:tc>
              <w:tc>
                <w:tcPr>
                  <w:tcW w:w="1544" w:type="dxa"/>
                </w:tcPr>
                <w:p w14:paraId="5F41C2B2" w14:textId="56DF2493" w:rsidR="00DE6270" w:rsidRPr="00622847" w:rsidRDefault="008F1A8F" w:rsidP="00DE6270">
                  <w:pPr>
                    <w:spacing w:before="60"/>
                    <w:rPr>
                      <w:rFonts w:cs="Arial"/>
                      <w:b/>
                      <w:i/>
                      <w:iCs/>
                      <w:color w:val="FF0000"/>
                      <w:sz w:val="20"/>
                    </w:rPr>
                  </w:pPr>
                  <w:r w:rsidRPr="00622847">
                    <w:rPr>
                      <w:rFonts w:cs="Arial"/>
                      <w:b/>
                      <w:i/>
                      <w:iCs/>
                      <w:color w:val="FF0000"/>
                      <w:sz w:val="20"/>
                    </w:rPr>
                    <w:t>65%</w:t>
                  </w:r>
                </w:p>
              </w:tc>
              <w:tc>
                <w:tcPr>
                  <w:tcW w:w="1545" w:type="dxa"/>
                </w:tcPr>
                <w:p w14:paraId="78D71AF3" w14:textId="125A36E7" w:rsidR="00DE6270" w:rsidRPr="00622847" w:rsidRDefault="008F1A8F" w:rsidP="00DE6270">
                  <w:pPr>
                    <w:spacing w:before="60"/>
                    <w:rPr>
                      <w:rFonts w:cs="Arial"/>
                      <w:b/>
                      <w:i/>
                      <w:iCs/>
                      <w:color w:val="FF0000"/>
                      <w:sz w:val="20"/>
                    </w:rPr>
                  </w:pPr>
                  <w:r w:rsidRPr="00622847">
                    <w:rPr>
                      <w:rFonts w:cs="Arial"/>
                      <w:b/>
                      <w:i/>
                      <w:iCs/>
                      <w:color w:val="FF0000"/>
                      <w:sz w:val="20"/>
                    </w:rPr>
                    <w:t>10%</w:t>
                  </w:r>
                </w:p>
              </w:tc>
            </w:tr>
          </w:tbl>
          <w:p w14:paraId="6EDE01E3" w14:textId="77777777" w:rsidR="00DE6270" w:rsidRPr="00622847" w:rsidRDefault="00DE6270" w:rsidP="00242093">
            <w:pPr>
              <w:spacing w:before="60"/>
              <w:rPr>
                <w:rFonts w:cs="Arial"/>
                <w:i/>
                <w:iCs/>
                <w:color w:val="FF0000"/>
                <w:sz w:val="20"/>
              </w:rPr>
            </w:pPr>
          </w:p>
          <w:p w14:paraId="72062FD1" w14:textId="2E62F203" w:rsidR="00DE6270" w:rsidRPr="00622847" w:rsidRDefault="00DE6270" w:rsidP="00DE6270">
            <w:pPr>
              <w:spacing w:before="60"/>
              <w:rPr>
                <w:rFonts w:cs="Arial"/>
                <w:b/>
                <w:i/>
                <w:iCs/>
                <w:color w:val="FF0000"/>
                <w:sz w:val="20"/>
                <w:u w:val="single"/>
              </w:rPr>
            </w:pPr>
            <w:r w:rsidRPr="00622847">
              <w:rPr>
                <w:rFonts w:cs="Arial"/>
                <w:b/>
                <w:i/>
                <w:iCs/>
                <w:color w:val="FF0000"/>
                <w:sz w:val="20"/>
                <w:u w:val="single"/>
              </w:rPr>
              <w:t xml:space="preserve">KS1 Maths – </w:t>
            </w:r>
            <w:r w:rsidR="004A6D6A" w:rsidRPr="00622847">
              <w:rPr>
                <w:rFonts w:cs="Arial"/>
                <w:b/>
                <w:i/>
                <w:iCs/>
                <w:color w:val="FF0000"/>
                <w:sz w:val="20"/>
                <w:u w:val="single"/>
              </w:rPr>
              <w:t>overall</w:t>
            </w:r>
          </w:p>
          <w:tbl>
            <w:tblPr>
              <w:tblStyle w:val="TableGrid"/>
              <w:tblW w:w="0" w:type="auto"/>
              <w:tblLook w:val="04A0" w:firstRow="1" w:lastRow="0" w:firstColumn="1" w:lastColumn="0" w:noHBand="0" w:noVBand="1"/>
            </w:tblPr>
            <w:tblGrid>
              <w:gridCol w:w="1544"/>
              <w:gridCol w:w="1545"/>
              <w:gridCol w:w="1544"/>
              <w:gridCol w:w="1545"/>
              <w:gridCol w:w="1544"/>
              <w:gridCol w:w="1545"/>
            </w:tblGrid>
            <w:tr w:rsidR="00DE6270" w:rsidRPr="00622847" w14:paraId="526B4A40" w14:textId="77777777" w:rsidTr="006C0D25">
              <w:tc>
                <w:tcPr>
                  <w:tcW w:w="3089" w:type="dxa"/>
                  <w:gridSpan w:val="2"/>
                </w:tcPr>
                <w:p w14:paraId="72656653" w14:textId="77777777" w:rsidR="00DE6270" w:rsidRPr="00622847" w:rsidRDefault="00DE6270" w:rsidP="00DE6270">
                  <w:pPr>
                    <w:spacing w:before="60"/>
                    <w:rPr>
                      <w:rFonts w:cs="Arial"/>
                      <w:b/>
                      <w:i/>
                      <w:iCs/>
                      <w:color w:val="FF0000"/>
                      <w:sz w:val="20"/>
                    </w:rPr>
                  </w:pPr>
                  <w:r w:rsidRPr="00622847">
                    <w:rPr>
                      <w:rFonts w:cs="Arial"/>
                      <w:b/>
                      <w:i/>
                      <w:iCs/>
                      <w:color w:val="FF0000"/>
                      <w:sz w:val="20"/>
                    </w:rPr>
                    <w:t>School</w:t>
                  </w:r>
                </w:p>
              </w:tc>
              <w:tc>
                <w:tcPr>
                  <w:tcW w:w="3089" w:type="dxa"/>
                  <w:gridSpan w:val="2"/>
                </w:tcPr>
                <w:p w14:paraId="371372AB" w14:textId="77777777" w:rsidR="00DE6270" w:rsidRPr="00622847" w:rsidRDefault="00DE6270" w:rsidP="00DE6270">
                  <w:pPr>
                    <w:spacing w:before="60"/>
                    <w:rPr>
                      <w:rFonts w:cs="Arial"/>
                      <w:b/>
                      <w:i/>
                      <w:iCs/>
                      <w:color w:val="FF0000"/>
                      <w:sz w:val="20"/>
                    </w:rPr>
                  </w:pPr>
                  <w:r w:rsidRPr="00622847">
                    <w:rPr>
                      <w:rFonts w:cs="Arial"/>
                      <w:b/>
                      <w:i/>
                      <w:iCs/>
                      <w:color w:val="FF0000"/>
                      <w:sz w:val="20"/>
                    </w:rPr>
                    <w:t>LA</w:t>
                  </w:r>
                </w:p>
              </w:tc>
              <w:tc>
                <w:tcPr>
                  <w:tcW w:w="3089" w:type="dxa"/>
                  <w:gridSpan w:val="2"/>
                </w:tcPr>
                <w:p w14:paraId="0022CEFC" w14:textId="77777777" w:rsidR="00DE6270" w:rsidRPr="00622847" w:rsidRDefault="00DE6270" w:rsidP="00DE6270">
                  <w:pPr>
                    <w:spacing w:before="60"/>
                    <w:rPr>
                      <w:rFonts w:cs="Arial"/>
                      <w:b/>
                      <w:i/>
                      <w:iCs/>
                      <w:color w:val="FF0000"/>
                      <w:sz w:val="20"/>
                    </w:rPr>
                  </w:pPr>
                  <w:r w:rsidRPr="00622847">
                    <w:rPr>
                      <w:rFonts w:cs="Arial"/>
                      <w:b/>
                      <w:i/>
                      <w:iCs/>
                      <w:color w:val="FF0000"/>
                      <w:sz w:val="20"/>
                    </w:rPr>
                    <w:t>National</w:t>
                  </w:r>
                </w:p>
              </w:tc>
            </w:tr>
            <w:tr w:rsidR="00DE6270" w:rsidRPr="00622847" w14:paraId="25F088C8" w14:textId="77777777" w:rsidTr="006C0D25">
              <w:tc>
                <w:tcPr>
                  <w:tcW w:w="1544" w:type="dxa"/>
                </w:tcPr>
                <w:p w14:paraId="790C55A3"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693E3504"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c>
                <w:tcPr>
                  <w:tcW w:w="1544" w:type="dxa"/>
                </w:tcPr>
                <w:p w14:paraId="1284BC63"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093BE4F4"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c>
                <w:tcPr>
                  <w:tcW w:w="1544" w:type="dxa"/>
                </w:tcPr>
                <w:p w14:paraId="59CB26F3"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61A22EF6"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r>
            <w:tr w:rsidR="00DE6270" w:rsidRPr="00622847" w14:paraId="26651175" w14:textId="77777777" w:rsidTr="006C0D25">
              <w:tc>
                <w:tcPr>
                  <w:tcW w:w="1544" w:type="dxa"/>
                </w:tcPr>
                <w:p w14:paraId="17BC2C56" w14:textId="79FBCA6A" w:rsidR="00DE6270" w:rsidRPr="00622847" w:rsidRDefault="008F1A8F" w:rsidP="00DE6270">
                  <w:pPr>
                    <w:spacing w:before="60"/>
                    <w:rPr>
                      <w:rFonts w:cs="Arial"/>
                      <w:b/>
                      <w:i/>
                      <w:iCs/>
                      <w:color w:val="FF0000"/>
                      <w:sz w:val="20"/>
                      <w:highlight w:val="yellow"/>
                    </w:rPr>
                  </w:pPr>
                  <w:r w:rsidRPr="00622847">
                    <w:rPr>
                      <w:rFonts w:cs="Arial"/>
                      <w:b/>
                      <w:i/>
                      <w:iCs/>
                      <w:color w:val="FF0000"/>
                      <w:sz w:val="20"/>
                      <w:highlight w:val="yellow"/>
                    </w:rPr>
                    <w:t>71</w:t>
                  </w:r>
                  <w:r w:rsidR="003559CB" w:rsidRPr="00622847">
                    <w:rPr>
                      <w:rFonts w:cs="Arial"/>
                      <w:b/>
                      <w:i/>
                      <w:iCs/>
                      <w:color w:val="FF0000"/>
                      <w:sz w:val="20"/>
                      <w:highlight w:val="yellow"/>
                    </w:rPr>
                    <w:t>%</w:t>
                  </w:r>
                </w:p>
              </w:tc>
              <w:tc>
                <w:tcPr>
                  <w:tcW w:w="1545" w:type="dxa"/>
                </w:tcPr>
                <w:p w14:paraId="28FDA441" w14:textId="2E86B393" w:rsidR="00DE6270" w:rsidRPr="00622847" w:rsidRDefault="008F1A8F" w:rsidP="00DE6270">
                  <w:pPr>
                    <w:spacing w:before="60"/>
                    <w:rPr>
                      <w:rFonts w:cs="Arial"/>
                      <w:b/>
                      <w:i/>
                      <w:iCs/>
                      <w:color w:val="FF0000"/>
                      <w:sz w:val="20"/>
                      <w:highlight w:val="yellow"/>
                    </w:rPr>
                  </w:pPr>
                  <w:r w:rsidRPr="00622847">
                    <w:rPr>
                      <w:rFonts w:cs="Arial"/>
                      <w:b/>
                      <w:i/>
                      <w:iCs/>
                      <w:color w:val="FF0000"/>
                      <w:sz w:val="20"/>
                      <w:highlight w:val="yellow"/>
                    </w:rPr>
                    <w:t>14</w:t>
                  </w:r>
                  <w:r w:rsidR="003559CB" w:rsidRPr="00622847">
                    <w:rPr>
                      <w:rFonts w:cs="Arial"/>
                      <w:b/>
                      <w:i/>
                      <w:iCs/>
                      <w:color w:val="FF0000"/>
                      <w:sz w:val="20"/>
                      <w:highlight w:val="yellow"/>
                    </w:rPr>
                    <w:t>%</w:t>
                  </w:r>
                </w:p>
              </w:tc>
              <w:tc>
                <w:tcPr>
                  <w:tcW w:w="1544" w:type="dxa"/>
                </w:tcPr>
                <w:p w14:paraId="25931041" w14:textId="6D9A567A" w:rsidR="00DE6270" w:rsidRPr="00622847" w:rsidRDefault="008F1A8F" w:rsidP="00DE6270">
                  <w:pPr>
                    <w:spacing w:before="60"/>
                    <w:rPr>
                      <w:rFonts w:cs="Arial"/>
                      <w:b/>
                      <w:i/>
                      <w:iCs/>
                      <w:color w:val="FF0000"/>
                      <w:sz w:val="20"/>
                    </w:rPr>
                  </w:pPr>
                  <w:r w:rsidRPr="00622847">
                    <w:rPr>
                      <w:rFonts w:cs="Arial"/>
                      <w:b/>
                      <w:i/>
                      <w:iCs/>
                      <w:color w:val="FF0000"/>
                      <w:sz w:val="20"/>
                    </w:rPr>
                    <w:t>70%</w:t>
                  </w:r>
                </w:p>
              </w:tc>
              <w:tc>
                <w:tcPr>
                  <w:tcW w:w="1545" w:type="dxa"/>
                </w:tcPr>
                <w:p w14:paraId="15E361C3" w14:textId="0C9901D8" w:rsidR="00DE6270" w:rsidRPr="00622847" w:rsidRDefault="008F1A8F" w:rsidP="00DE6270">
                  <w:pPr>
                    <w:spacing w:before="60"/>
                    <w:rPr>
                      <w:rFonts w:cs="Arial"/>
                      <w:b/>
                      <w:i/>
                      <w:iCs/>
                      <w:color w:val="FF0000"/>
                      <w:sz w:val="20"/>
                    </w:rPr>
                  </w:pPr>
                  <w:r w:rsidRPr="00622847">
                    <w:rPr>
                      <w:rFonts w:cs="Arial"/>
                      <w:b/>
                      <w:i/>
                      <w:iCs/>
                      <w:color w:val="FF0000"/>
                      <w:sz w:val="20"/>
                    </w:rPr>
                    <w:t>14%</w:t>
                  </w:r>
                </w:p>
              </w:tc>
              <w:tc>
                <w:tcPr>
                  <w:tcW w:w="1544" w:type="dxa"/>
                </w:tcPr>
                <w:p w14:paraId="4F2A28A4" w14:textId="0B1FD04E" w:rsidR="00DE6270" w:rsidRPr="00622847" w:rsidRDefault="008F1A8F" w:rsidP="00DE6270">
                  <w:pPr>
                    <w:spacing w:before="60"/>
                    <w:rPr>
                      <w:rFonts w:cs="Arial"/>
                      <w:b/>
                      <w:i/>
                      <w:iCs/>
                      <w:color w:val="FF0000"/>
                      <w:sz w:val="20"/>
                    </w:rPr>
                  </w:pPr>
                  <w:r w:rsidRPr="00622847">
                    <w:rPr>
                      <w:rFonts w:cs="Arial"/>
                      <w:b/>
                      <w:i/>
                      <w:iCs/>
                      <w:color w:val="FF0000"/>
                      <w:sz w:val="20"/>
                    </w:rPr>
                    <w:t>70%</w:t>
                  </w:r>
                </w:p>
              </w:tc>
              <w:tc>
                <w:tcPr>
                  <w:tcW w:w="1545" w:type="dxa"/>
                </w:tcPr>
                <w:p w14:paraId="1F65FB44" w14:textId="3962A18A" w:rsidR="00DE6270" w:rsidRPr="00622847" w:rsidRDefault="008F1A8F" w:rsidP="00DE6270">
                  <w:pPr>
                    <w:spacing w:before="60"/>
                    <w:rPr>
                      <w:rFonts w:cs="Arial"/>
                      <w:b/>
                      <w:i/>
                      <w:iCs/>
                      <w:color w:val="FF0000"/>
                      <w:sz w:val="20"/>
                    </w:rPr>
                  </w:pPr>
                  <w:r w:rsidRPr="00622847">
                    <w:rPr>
                      <w:rFonts w:cs="Arial"/>
                      <w:b/>
                      <w:i/>
                      <w:iCs/>
                      <w:color w:val="FF0000"/>
                      <w:sz w:val="20"/>
                    </w:rPr>
                    <w:t>16%</w:t>
                  </w:r>
                </w:p>
              </w:tc>
            </w:tr>
          </w:tbl>
          <w:p w14:paraId="3A48FDA4" w14:textId="574A2229" w:rsidR="007612D7" w:rsidRPr="00622847" w:rsidRDefault="007612D7" w:rsidP="00242093">
            <w:pPr>
              <w:spacing w:before="60"/>
              <w:rPr>
                <w:rFonts w:cs="Arial"/>
                <w:i/>
                <w:iCs/>
                <w:color w:val="FF0000"/>
                <w:sz w:val="20"/>
              </w:rPr>
            </w:pPr>
          </w:p>
          <w:p w14:paraId="1681682B" w14:textId="305252FF" w:rsidR="00DE6270" w:rsidRPr="00622847" w:rsidRDefault="00DE6270" w:rsidP="00DE6270">
            <w:pPr>
              <w:spacing w:before="60"/>
              <w:rPr>
                <w:rFonts w:cs="Arial"/>
                <w:b/>
                <w:i/>
                <w:iCs/>
                <w:color w:val="FF0000"/>
                <w:sz w:val="20"/>
                <w:u w:val="single"/>
              </w:rPr>
            </w:pPr>
            <w:r w:rsidRPr="00622847">
              <w:rPr>
                <w:rFonts w:cs="Arial"/>
                <w:b/>
                <w:i/>
                <w:iCs/>
                <w:color w:val="FF0000"/>
                <w:sz w:val="20"/>
                <w:u w:val="single"/>
              </w:rPr>
              <w:t>KS1 Maths – PP</w:t>
            </w:r>
          </w:p>
          <w:tbl>
            <w:tblPr>
              <w:tblStyle w:val="TableGrid"/>
              <w:tblW w:w="0" w:type="auto"/>
              <w:tblLook w:val="04A0" w:firstRow="1" w:lastRow="0" w:firstColumn="1" w:lastColumn="0" w:noHBand="0" w:noVBand="1"/>
            </w:tblPr>
            <w:tblGrid>
              <w:gridCol w:w="1544"/>
              <w:gridCol w:w="1545"/>
              <w:gridCol w:w="1544"/>
              <w:gridCol w:w="1545"/>
              <w:gridCol w:w="1544"/>
              <w:gridCol w:w="1545"/>
            </w:tblGrid>
            <w:tr w:rsidR="00DE6270" w:rsidRPr="00622847" w14:paraId="34B16B18" w14:textId="77777777" w:rsidTr="006C0D25">
              <w:tc>
                <w:tcPr>
                  <w:tcW w:w="3089" w:type="dxa"/>
                  <w:gridSpan w:val="2"/>
                </w:tcPr>
                <w:p w14:paraId="7D8607B2" w14:textId="77777777" w:rsidR="00DE6270" w:rsidRPr="00622847" w:rsidRDefault="00DE6270" w:rsidP="00DE6270">
                  <w:pPr>
                    <w:spacing w:before="60"/>
                    <w:rPr>
                      <w:rFonts w:cs="Arial"/>
                      <w:b/>
                      <w:i/>
                      <w:iCs/>
                      <w:color w:val="FF0000"/>
                      <w:sz w:val="20"/>
                    </w:rPr>
                  </w:pPr>
                  <w:r w:rsidRPr="00622847">
                    <w:rPr>
                      <w:rFonts w:cs="Arial"/>
                      <w:b/>
                      <w:i/>
                      <w:iCs/>
                      <w:color w:val="FF0000"/>
                      <w:sz w:val="20"/>
                    </w:rPr>
                    <w:t>School</w:t>
                  </w:r>
                </w:p>
              </w:tc>
              <w:tc>
                <w:tcPr>
                  <w:tcW w:w="3089" w:type="dxa"/>
                  <w:gridSpan w:val="2"/>
                </w:tcPr>
                <w:p w14:paraId="19E22759" w14:textId="77777777" w:rsidR="00DE6270" w:rsidRPr="00622847" w:rsidRDefault="00DE6270" w:rsidP="00DE6270">
                  <w:pPr>
                    <w:spacing w:before="60"/>
                    <w:rPr>
                      <w:rFonts w:cs="Arial"/>
                      <w:b/>
                      <w:i/>
                      <w:iCs/>
                      <w:color w:val="FF0000"/>
                      <w:sz w:val="20"/>
                    </w:rPr>
                  </w:pPr>
                  <w:r w:rsidRPr="00622847">
                    <w:rPr>
                      <w:rFonts w:cs="Arial"/>
                      <w:b/>
                      <w:i/>
                      <w:iCs/>
                      <w:color w:val="FF0000"/>
                      <w:sz w:val="20"/>
                    </w:rPr>
                    <w:t>LA</w:t>
                  </w:r>
                </w:p>
              </w:tc>
              <w:tc>
                <w:tcPr>
                  <w:tcW w:w="3089" w:type="dxa"/>
                  <w:gridSpan w:val="2"/>
                </w:tcPr>
                <w:p w14:paraId="140C3DF4" w14:textId="77777777" w:rsidR="00DE6270" w:rsidRPr="00622847" w:rsidRDefault="00DE6270" w:rsidP="00DE6270">
                  <w:pPr>
                    <w:spacing w:before="60"/>
                    <w:rPr>
                      <w:rFonts w:cs="Arial"/>
                      <w:b/>
                      <w:i/>
                      <w:iCs/>
                      <w:color w:val="FF0000"/>
                      <w:sz w:val="20"/>
                    </w:rPr>
                  </w:pPr>
                  <w:r w:rsidRPr="00622847">
                    <w:rPr>
                      <w:rFonts w:cs="Arial"/>
                      <w:b/>
                      <w:i/>
                      <w:iCs/>
                      <w:color w:val="FF0000"/>
                      <w:sz w:val="20"/>
                    </w:rPr>
                    <w:t>National</w:t>
                  </w:r>
                </w:p>
              </w:tc>
            </w:tr>
            <w:tr w:rsidR="00DE6270" w:rsidRPr="00622847" w14:paraId="5F8325F1" w14:textId="77777777" w:rsidTr="006C0D25">
              <w:tc>
                <w:tcPr>
                  <w:tcW w:w="1544" w:type="dxa"/>
                </w:tcPr>
                <w:p w14:paraId="15664D11"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10A73462"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c>
                <w:tcPr>
                  <w:tcW w:w="1544" w:type="dxa"/>
                </w:tcPr>
                <w:p w14:paraId="799157B5"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57DEBF3A"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c>
                <w:tcPr>
                  <w:tcW w:w="1544" w:type="dxa"/>
                </w:tcPr>
                <w:p w14:paraId="175AF34F" w14:textId="77777777" w:rsidR="00DE6270" w:rsidRPr="00622847" w:rsidRDefault="00DE6270" w:rsidP="00DE6270">
                  <w:pPr>
                    <w:spacing w:before="60"/>
                    <w:rPr>
                      <w:rFonts w:cs="Arial"/>
                      <w:b/>
                      <w:i/>
                      <w:iCs/>
                      <w:color w:val="FF0000"/>
                      <w:sz w:val="20"/>
                    </w:rPr>
                  </w:pPr>
                  <w:r w:rsidRPr="00622847">
                    <w:rPr>
                      <w:rFonts w:cs="Arial"/>
                      <w:b/>
                      <w:i/>
                      <w:iCs/>
                      <w:color w:val="FF0000"/>
                      <w:sz w:val="20"/>
                    </w:rPr>
                    <w:t>ARE</w:t>
                  </w:r>
                </w:p>
              </w:tc>
              <w:tc>
                <w:tcPr>
                  <w:tcW w:w="1545" w:type="dxa"/>
                </w:tcPr>
                <w:p w14:paraId="1734CC02" w14:textId="77777777" w:rsidR="00DE6270" w:rsidRPr="00622847" w:rsidRDefault="00DE6270" w:rsidP="00DE6270">
                  <w:pPr>
                    <w:spacing w:before="60"/>
                    <w:rPr>
                      <w:rFonts w:cs="Arial"/>
                      <w:b/>
                      <w:i/>
                      <w:iCs/>
                      <w:color w:val="FF0000"/>
                      <w:sz w:val="20"/>
                    </w:rPr>
                  </w:pPr>
                  <w:r w:rsidRPr="00622847">
                    <w:rPr>
                      <w:rFonts w:cs="Arial"/>
                      <w:b/>
                      <w:i/>
                      <w:iCs/>
                      <w:color w:val="FF0000"/>
                      <w:sz w:val="20"/>
                    </w:rPr>
                    <w:t>GDS</w:t>
                  </w:r>
                </w:p>
              </w:tc>
            </w:tr>
            <w:tr w:rsidR="00DE6270" w:rsidRPr="00622847" w14:paraId="1FA1C391" w14:textId="77777777" w:rsidTr="006C0D25">
              <w:tc>
                <w:tcPr>
                  <w:tcW w:w="1544" w:type="dxa"/>
                </w:tcPr>
                <w:p w14:paraId="455377C0" w14:textId="5909BBA4" w:rsidR="00DE6270" w:rsidRPr="00622847" w:rsidRDefault="00680A16" w:rsidP="00DE6270">
                  <w:pPr>
                    <w:spacing w:before="60"/>
                    <w:rPr>
                      <w:rFonts w:cs="Arial"/>
                      <w:b/>
                      <w:i/>
                      <w:iCs/>
                      <w:color w:val="FF0000"/>
                      <w:sz w:val="20"/>
                    </w:rPr>
                  </w:pPr>
                  <w:r w:rsidRPr="00622847">
                    <w:rPr>
                      <w:rFonts w:cs="Arial"/>
                      <w:b/>
                      <w:i/>
                      <w:iCs/>
                      <w:color w:val="FF0000"/>
                      <w:sz w:val="20"/>
                    </w:rPr>
                    <w:t>43</w:t>
                  </w:r>
                  <w:r w:rsidR="003559CB" w:rsidRPr="00622847">
                    <w:rPr>
                      <w:rFonts w:cs="Arial"/>
                      <w:b/>
                      <w:i/>
                      <w:iCs/>
                      <w:color w:val="FF0000"/>
                      <w:sz w:val="20"/>
                    </w:rPr>
                    <w:t>%</w:t>
                  </w:r>
                </w:p>
              </w:tc>
              <w:tc>
                <w:tcPr>
                  <w:tcW w:w="1545" w:type="dxa"/>
                </w:tcPr>
                <w:p w14:paraId="2E25DB7D" w14:textId="3A3AC2B8" w:rsidR="00DE6270" w:rsidRPr="00622847" w:rsidRDefault="00680A16" w:rsidP="00DE6270">
                  <w:pPr>
                    <w:spacing w:before="60"/>
                    <w:rPr>
                      <w:rFonts w:cs="Arial"/>
                      <w:b/>
                      <w:i/>
                      <w:iCs/>
                      <w:color w:val="FF0000"/>
                      <w:sz w:val="20"/>
                    </w:rPr>
                  </w:pPr>
                  <w:r w:rsidRPr="00622847">
                    <w:rPr>
                      <w:rFonts w:cs="Arial"/>
                      <w:b/>
                      <w:i/>
                      <w:iCs/>
                      <w:color w:val="FF0000"/>
                      <w:sz w:val="20"/>
                    </w:rPr>
                    <w:t>7</w:t>
                  </w:r>
                  <w:r w:rsidR="003559CB" w:rsidRPr="00622847">
                    <w:rPr>
                      <w:rFonts w:cs="Arial"/>
                      <w:b/>
                      <w:i/>
                      <w:iCs/>
                      <w:color w:val="FF0000"/>
                      <w:sz w:val="20"/>
                    </w:rPr>
                    <w:t>%</w:t>
                  </w:r>
                </w:p>
              </w:tc>
              <w:tc>
                <w:tcPr>
                  <w:tcW w:w="1544" w:type="dxa"/>
                </w:tcPr>
                <w:p w14:paraId="7D6222F9" w14:textId="77777777" w:rsidR="00DE6270" w:rsidRPr="00622847" w:rsidRDefault="00DE6270" w:rsidP="00DE6270">
                  <w:pPr>
                    <w:spacing w:before="60"/>
                    <w:rPr>
                      <w:rFonts w:cs="Arial"/>
                      <w:b/>
                      <w:i/>
                      <w:iCs/>
                      <w:color w:val="FF0000"/>
                      <w:sz w:val="20"/>
                    </w:rPr>
                  </w:pPr>
                </w:p>
              </w:tc>
              <w:tc>
                <w:tcPr>
                  <w:tcW w:w="1545" w:type="dxa"/>
                </w:tcPr>
                <w:p w14:paraId="38E49F1F" w14:textId="77777777" w:rsidR="00DE6270" w:rsidRPr="00622847" w:rsidRDefault="00DE6270" w:rsidP="00DE6270">
                  <w:pPr>
                    <w:spacing w:before="60"/>
                    <w:rPr>
                      <w:rFonts w:cs="Arial"/>
                      <w:b/>
                      <w:i/>
                      <w:iCs/>
                      <w:color w:val="FF0000"/>
                      <w:sz w:val="20"/>
                    </w:rPr>
                  </w:pPr>
                </w:p>
              </w:tc>
              <w:tc>
                <w:tcPr>
                  <w:tcW w:w="1544" w:type="dxa"/>
                </w:tcPr>
                <w:p w14:paraId="35B93B0F" w14:textId="2EE97C88" w:rsidR="00DE6270" w:rsidRPr="00622847" w:rsidRDefault="002F39F3" w:rsidP="00DE6270">
                  <w:pPr>
                    <w:spacing w:before="60"/>
                    <w:rPr>
                      <w:rFonts w:cs="Arial"/>
                      <w:b/>
                      <w:i/>
                      <w:iCs/>
                      <w:color w:val="FF0000"/>
                      <w:sz w:val="20"/>
                    </w:rPr>
                  </w:pPr>
                  <w:r w:rsidRPr="00622847">
                    <w:rPr>
                      <w:rFonts w:cs="Arial"/>
                      <w:b/>
                      <w:i/>
                      <w:iCs/>
                      <w:color w:val="FF0000"/>
                      <w:sz w:val="20"/>
                    </w:rPr>
                    <w:t>75%</w:t>
                  </w:r>
                </w:p>
              </w:tc>
              <w:tc>
                <w:tcPr>
                  <w:tcW w:w="1545" w:type="dxa"/>
                </w:tcPr>
                <w:p w14:paraId="1E1B7D47" w14:textId="27B7D7E6" w:rsidR="00DE6270" w:rsidRPr="00622847" w:rsidRDefault="002F39F3" w:rsidP="00DE6270">
                  <w:pPr>
                    <w:spacing w:before="60"/>
                    <w:rPr>
                      <w:rFonts w:cs="Arial"/>
                      <w:b/>
                      <w:i/>
                      <w:iCs/>
                      <w:color w:val="FF0000"/>
                      <w:sz w:val="20"/>
                    </w:rPr>
                  </w:pPr>
                  <w:r w:rsidRPr="00622847">
                    <w:rPr>
                      <w:rFonts w:cs="Arial"/>
                      <w:b/>
                      <w:i/>
                      <w:iCs/>
                      <w:color w:val="FF0000"/>
                      <w:sz w:val="20"/>
                    </w:rPr>
                    <w:t>19%</w:t>
                  </w:r>
                </w:p>
              </w:tc>
            </w:tr>
          </w:tbl>
          <w:p w14:paraId="1EAECF61" w14:textId="77777777" w:rsidR="00DE6270" w:rsidRDefault="00DE6270" w:rsidP="00242093">
            <w:pPr>
              <w:spacing w:before="60"/>
              <w:rPr>
                <w:rFonts w:cs="Arial"/>
                <w:i/>
                <w:iCs/>
                <w:color w:val="FF0000"/>
              </w:rPr>
            </w:pPr>
          </w:p>
          <w:p w14:paraId="5023926C" w14:textId="6AF37DD4" w:rsidR="00DE6270" w:rsidRPr="00DE6270" w:rsidRDefault="00DE6270" w:rsidP="00242093">
            <w:pPr>
              <w:spacing w:before="60"/>
              <w:rPr>
                <w:rFonts w:cs="Arial"/>
                <w:i/>
                <w:iCs/>
                <w:color w:val="FF0000"/>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40E0703" w:rsidR="00E66558" w:rsidRDefault="00B121B9" w:rsidP="00F54FCB">
            <w:pPr>
              <w:pStyle w:val="TableRow"/>
              <w:ind w:left="0" w:right="0"/>
            </w:pPr>
            <w: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01F0D165" w14:textId="17C41EB4"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0F9AB6F0" w:rsidR="00ED5108" w:rsidRDefault="00B121B9" w:rsidP="00F54FCB">
            <w:r>
              <w:t>N/A</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4B9D2790" w:rsidR="00ED5108" w:rsidRDefault="00B121B9" w:rsidP="00F54FCB">
            <w:r>
              <w:t>N/A</w:t>
            </w:r>
          </w:p>
        </w:tc>
      </w:tr>
      <w:bookmarkEnd w:id="14"/>
      <w:bookmarkEnd w:id="15"/>
      <w:bookmarkEnd w:id="16"/>
    </w:tbl>
    <w:p w14:paraId="2A7D5564" w14:textId="77777777" w:rsidR="00E66558" w:rsidRDefault="00E66558"/>
    <w:p w14:paraId="49F16407" w14:textId="77777777" w:rsidR="00EA48DB" w:rsidRDefault="00EA48DB" w:rsidP="00EA48DB">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A48DB" w14:paraId="63455523" w14:textId="77777777" w:rsidTr="00211E6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74BD7" w14:textId="77777777" w:rsidR="00EA48DB" w:rsidRPr="00AA355B" w:rsidRDefault="00EA48DB" w:rsidP="00211E67">
            <w:pPr>
              <w:spacing w:before="120" w:after="120"/>
              <w:rPr>
                <w:rFonts w:cs="Arial"/>
                <w:i/>
                <w:iCs/>
              </w:rPr>
            </w:pPr>
            <w:r>
              <w:rPr>
                <w:rFonts w:cs="Arial"/>
                <w:i/>
                <w:iCs/>
              </w:rPr>
              <w:t>Use this space to provide any further information about your pupil premium strategy. For example, about your strategy planning, implementation and evaluation, or other activity that you are delivering to support disadvantaged pupils that is not dependent on pupil premium funding.</w:t>
            </w:r>
          </w:p>
        </w:tc>
      </w:tr>
    </w:tbl>
    <w:p w14:paraId="6AB23D7A" w14:textId="77777777" w:rsidR="00EA48DB" w:rsidRDefault="00EA48DB"/>
    <w:sectPr w:rsidR="00EA48DB">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9204" w14:textId="77777777" w:rsidR="00C75511" w:rsidRDefault="00C75511">
      <w:pPr>
        <w:spacing w:after="0" w:line="240" w:lineRule="auto"/>
      </w:pPr>
      <w:r>
        <w:separator/>
      </w:r>
    </w:p>
  </w:endnote>
  <w:endnote w:type="continuationSeparator" w:id="0">
    <w:p w14:paraId="376A96E7" w14:textId="77777777" w:rsidR="00C75511" w:rsidRDefault="00C75511">
      <w:pPr>
        <w:spacing w:after="0" w:line="240" w:lineRule="auto"/>
      </w:pPr>
      <w:r>
        <w:continuationSeparator/>
      </w:r>
    </w:p>
  </w:endnote>
  <w:endnote w:type="continuationNotice" w:id="1">
    <w:p w14:paraId="207DB352" w14:textId="77777777" w:rsidR="00C75511" w:rsidRDefault="00C75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DCDAA92" w:rsidR="00C75511" w:rsidRDefault="00C75511">
    <w:pPr>
      <w:pStyle w:val="Footer"/>
      <w:ind w:firstLine="4513"/>
    </w:pPr>
    <w:r>
      <w:fldChar w:fldCharType="begin"/>
    </w:r>
    <w:r>
      <w:instrText xml:space="preserve"> PAGE </w:instrText>
    </w:r>
    <w:r>
      <w:fldChar w:fldCharType="separate"/>
    </w:r>
    <w:r w:rsidR="003F682B">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2C15" w14:textId="77777777" w:rsidR="00C75511" w:rsidRDefault="00C75511">
      <w:pPr>
        <w:spacing w:after="0" w:line="240" w:lineRule="auto"/>
      </w:pPr>
      <w:r>
        <w:separator/>
      </w:r>
    </w:p>
  </w:footnote>
  <w:footnote w:type="continuationSeparator" w:id="0">
    <w:p w14:paraId="45208E9D" w14:textId="77777777" w:rsidR="00C75511" w:rsidRDefault="00C75511">
      <w:pPr>
        <w:spacing w:after="0" w:line="240" w:lineRule="auto"/>
      </w:pPr>
      <w:r>
        <w:continuationSeparator/>
      </w:r>
    </w:p>
  </w:footnote>
  <w:footnote w:type="continuationNotice" w:id="1">
    <w:p w14:paraId="1E6128AE" w14:textId="77777777" w:rsidR="00C75511" w:rsidRDefault="00C75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75511" w:rsidRDefault="00C75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232A"/>
    <w:multiLevelType w:val="hybridMultilevel"/>
    <w:tmpl w:val="92A42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84A6420"/>
    <w:multiLevelType w:val="hybridMultilevel"/>
    <w:tmpl w:val="B4AE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C813AB8"/>
    <w:multiLevelType w:val="hybridMultilevel"/>
    <w:tmpl w:val="E0604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2028070">
    <w:abstractNumId w:val="6"/>
  </w:num>
  <w:num w:numId="2" w16cid:durableId="1619795456">
    <w:abstractNumId w:val="4"/>
  </w:num>
  <w:num w:numId="3" w16cid:durableId="411705979">
    <w:abstractNumId w:val="7"/>
  </w:num>
  <w:num w:numId="4" w16cid:durableId="1308319225">
    <w:abstractNumId w:val="9"/>
  </w:num>
  <w:num w:numId="5" w16cid:durableId="714354479">
    <w:abstractNumId w:val="1"/>
  </w:num>
  <w:num w:numId="6" w16cid:durableId="1183789046">
    <w:abstractNumId w:val="10"/>
  </w:num>
  <w:num w:numId="7" w16cid:durableId="1936550164">
    <w:abstractNumId w:val="14"/>
  </w:num>
  <w:num w:numId="8" w16cid:durableId="45644060">
    <w:abstractNumId w:val="18"/>
  </w:num>
  <w:num w:numId="9" w16cid:durableId="323631074">
    <w:abstractNumId w:val="16"/>
  </w:num>
  <w:num w:numId="10" w16cid:durableId="1440447978">
    <w:abstractNumId w:val="15"/>
  </w:num>
  <w:num w:numId="11" w16cid:durableId="285550525">
    <w:abstractNumId w:val="5"/>
  </w:num>
  <w:num w:numId="12" w16cid:durableId="215044824">
    <w:abstractNumId w:val="17"/>
  </w:num>
  <w:num w:numId="13" w16cid:durableId="1784035765">
    <w:abstractNumId w:val="13"/>
  </w:num>
  <w:num w:numId="14" w16cid:durableId="1561789789">
    <w:abstractNumId w:val="11"/>
  </w:num>
  <w:num w:numId="15" w16cid:durableId="1836916603">
    <w:abstractNumId w:val="3"/>
  </w:num>
  <w:num w:numId="16" w16cid:durableId="1031224859">
    <w:abstractNumId w:val="2"/>
  </w:num>
  <w:num w:numId="17" w16cid:durableId="2114737275">
    <w:abstractNumId w:val="12"/>
  </w:num>
  <w:num w:numId="18" w16cid:durableId="351609447">
    <w:abstractNumId w:val="8"/>
  </w:num>
  <w:num w:numId="19" w16cid:durableId="820194836">
    <w:abstractNumId w:val="0"/>
  </w:num>
  <w:num w:numId="20" w16cid:durableId="18904125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590B"/>
    <w:rsid w:val="000227A9"/>
    <w:rsid w:val="00023729"/>
    <w:rsid w:val="000243B4"/>
    <w:rsid w:val="0002530E"/>
    <w:rsid w:val="0002710D"/>
    <w:rsid w:val="00031EA0"/>
    <w:rsid w:val="00036678"/>
    <w:rsid w:val="00036F43"/>
    <w:rsid w:val="000377A1"/>
    <w:rsid w:val="000452EB"/>
    <w:rsid w:val="00045603"/>
    <w:rsid w:val="000463AE"/>
    <w:rsid w:val="000507A3"/>
    <w:rsid w:val="00051FD4"/>
    <w:rsid w:val="0005493F"/>
    <w:rsid w:val="0005780E"/>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0C52"/>
    <w:rsid w:val="000E1329"/>
    <w:rsid w:val="000E6DF0"/>
    <w:rsid w:val="001037CB"/>
    <w:rsid w:val="0010629E"/>
    <w:rsid w:val="00114288"/>
    <w:rsid w:val="00115538"/>
    <w:rsid w:val="00116FA8"/>
    <w:rsid w:val="00120AB1"/>
    <w:rsid w:val="00123A7F"/>
    <w:rsid w:val="001278D0"/>
    <w:rsid w:val="00127CC2"/>
    <w:rsid w:val="00127F72"/>
    <w:rsid w:val="00140646"/>
    <w:rsid w:val="0014409B"/>
    <w:rsid w:val="00144AEE"/>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5F23"/>
    <w:rsid w:val="001E66BA"/>
    <w:rsid w:val="001E7739"/>
    <w:rsid w:val="001F3DB4"/>
    <w:rsid w:val="001F7057"/>
    <w:rsid w:val="001F7564"/>
    <w:rsid w:val="00203DB9"/>
    <w:rsid w:val="00204F40"/>
    <w:rsid w:val="00205DEF"/>
    <w:rsid w:val="002112C3"/>
    <w:rsid w:val="00211F28"/>
    <w:rsid w:val="002131E5"/>
    <w:rsid w:val="00216C8A"/>
    <w:rsid w:val="00220F5F"/>
    <w:rsid w:val="00226317"/>
    <w:rsid w:val="00231539"/>
    <w:rsid w:val="002406AC"/>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96B7E"/>
    <w:rsid w:val="002A07B4"/>
    <w:rsid w:val="002A745C"/>
    <w:rsid w:val="002B3574"/>
    <w:rsid w:val="002B5DB7"/>
    <w:rsid w:val="002B6B74"/>
    <w:rsid w:val="002C3BC1"/>
    <w:rsid w:val="002C6AE7"/>
    <w:rsid w:val="002D0713"/>
    <w:rsid w:val="002D2D4B"/>
    <w:rsid w:val="002D3805"/>
    <w:rsid w:val="002E66AE"/>
    <w:rsid w:val="002E7763"/>
    <w:rsid w:val="002F39F3"/>
    <w:rsid w:val="002F4C6F"/>
    <w:rsid w:val="002F5011"/>
    <w:rsid w:val="002F5842"/>
    <w:rsid w:val="002F7847"/>
    <w:rsid w:val="00306CB7"/>
    <w:rsid w:val="00307ABF"/>
    <w:rsid w:val="003111F5"/>
    <w:rsid w:val="00312619"/>
    <w:rsid w:val="00317664"/>
    <w:rsid w:val="003347E5"/>
    <w:rsid w:val="00336200"/>
    <w:rsid w:val="00337418"/>
    <w:rsid w:val="00351D83"/>
    <w:rsid w:val="00352197"/>
    <w:rsid w:val="00353E46"/>
    <w:rsid w:val="003559CB"/>
    <w:rsid w:val="003576C4"/>
    <w:rsid w:val="0036277A"/>
    <w:rsid w:val="00364B0C"/>
    <w:rsid w:val="00366AB0"/>
    <w:rsid w:val="00367E2C"/>
    <w:rsid w:val="003700E8"/>
    <w:rsid w:val="0037437C"/>
    <w:rsid w:val="00381127"/>
    <w:rsid w:val="0038146B"/>
    <w:rsid w:val="0038340F"/>
    <w:rsid w:val="00384457"/>
    <w:rsid w:val="00384F24"/>
    <w:rsid w:val="003A29F3"/>
    <w:rsid w:val="003A32B2"/>
    <w:rsid w:val="003A47DD"/>
    <w:rsid w:val="003A5F67"/>
    <w:rsid w:val="003A634F"/>
    <w:rsid w:val="003B14C1"/>
    <w:rsid w:val="003B2884"/>
    <w:rsid w:val="003B588A"/>
    <w:rsid w:val="003B621D"/>
    <w:rsid w:val="003B736E"/>
    <w:rsid w:val="003C4388"/>
    <w:rsid w:val="003C4C27"/>
    <w:rsid w:val="003C7F7B"/>
    <w:rsid w:val="003D0CD6"/>
    <w:rsid w:val="003D2EAA"/>
    <w:rsid w:val="003D425F"/>
    <w:rsid w:val="003D448C"/>
    <w:rsid w:val="003D4CEA"/>
    <w:rsid w:val="003E054C"/>
    <w:rsid w:val="003E1EC5"/>
    <w:rsid w:val="003E27A0"/>
    <w:rsid w:val="003E355D"/>
    <w:rsid w:val="003E3872"/>
    <w:rsid w:val="003F3E4F"/>
    <w:rsid w:val="003F682B"/>
    <w:rsid w:val="004044AA"/>
    <w:rsid w:val="004044C8"/>
    <w:rsid w:val="00404F3F"/>
    <w:rsid w:val="00410B5D"/>
    <w:rsid w:val="00413BEC"/>
    <w:rsid w:val="0042265E"/>
    <w:rsid w:val="00424ED7"/>
    <w:rsid w:val="00425258"/>
    <w:rsid w:val="00426217"/>
    <w:rsid w:val="00431A80"/>
    <w:rsid w:val="00433641"/>
    <w:rsid w:val="00433F4E"/>
    <w:rsid w:val="00435A89"/>
    <w:rsid w:val="00452267"/>
    <w:rsid w:val="00453307"/>
    <w:rsid w:val="00454EE1"/>
    <w:rsid w:val="00455A02"/>
    <w:rsid w:val="00457E36"/>
    <w:rsid w:val="00460BD3"/>
    <w:rsid w:val="00462F8F"/>
    <w:rsid w:val="004708F2"/>
    <w:rsid w:val="0047182A"/>
    <w:rsid w:val="004724DE"/>
    <w:rsid w:val="004770FE"/>
    <w:rsid w:val="00477FAD"/>
    <w:rsid w:val="0048157F"/>
    <w:rsid w:val="00481D56"/>
    <w:rsid w:val="00490408"/>
    <w:rsid w:val="004A001C"/>
    <w:rsid w:val="004A4C45"/>
    <w:rsid w:val="004A50ED"/>
    <w:rsid w:val="004A55C4"/>
    <w:rsid w:val="004A6D6A"/>
    <w:rsid w:val="004B0485"/>
    <w:rsid w:val="004B0ED7"/>
    <w:rsid w:val="004B1F58"/>
    <w:rsid w:val="004B428E"/>
    <w:rsid w:val="004B4D0A"/>
    <w:rsid w:val="004B4D37"/>
    <w:rsid w:val="004C42F0"/>
    <w:rsid w:val="004D50C8"/>
    <w:rsid w:val="004D6B72"/>
    <w:rsid w:val="004D7BAD"/>
    <w:rsid w:val="004E1D73"/>
    <w:rsid w:val="004E5450"/>
    <w:rsid w:val="004E57C3"/>
    <w:rsid w:val="004E72DD"/>
    <w:rsid w:val="004F1CED"/>
    <w:rsid w:val="004F22CD"/>
    <w:rsid w:val="005025FB"/>
    <w:rsid w:val="00503462"/>
    <w:rsid w:val="0051286E"/>
    <w:rsid w:val="00516021"/>
    <w:rsid w:val="00516457"/>
    <w:rsid w:val="00516641"/>
    <w:rsid w:val="0051729F"/>
    <w:rsid w:val="005201C6"/>
    <w:rsid w:val="00520A0C"/>
    <w:rsid w:val="00530E37"/>
    <w:rsid w:val="00531C2A"/>
    <w:rsid w:val="00535946"/>
    <w:rsid w:val="0053626E"/>
    <w:rsid w:val="00541D8C"/>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4648"/>
    <w:rsid w:val="005F5224"/>
    <w:rsid w:val="005F7AA1"/>
    <w:rsid w:val="00600B2E"/>
    <w:rsid w:val="00601122"/>
    <w:rsid w:val="0060319C"/>
    <w:rsid w:val="00606521"/>
    <w:rsid w:val="00607CEB"/>
    <w:rsid w:val="00613299"/>
    <w:rsid w:val="00616E36"/>
    <w:rsid w:val="0061762D"/>
    <w:rsid w:val="006207B9"/>
    <w:rsid w:val="00622847"/>
    <w:rsid w:val="00626CB1"/>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0A16"/>
    <w:rsid w:val="00681416"/>
    <w:rsid w:val="00694526"/>
    <w:rsid w:val="00697F01"/>
    <w:rsid w:val="006A06F5"/>
    <w:rsid w:val="006A0ED2"/>
    <w:rsid w:val="006B0A73"/>
    <w:rsid w:val="006B24EB"/>
    <w:rsid w:val="006B5A6B"/>
    <w:rsid w:val="006C0F82"/>
    <w:rsid w:val="006C25E8"/>
    <w:rsid w:val="006C332E"/>
    <w:rsid w:val="006C5901"/>
    <w:rsid w:val="006D00F1"/>
    <w:rsid w:val="006D377A"/>
    <w:rsid w:val="006D4222"/>
    <w:rsid w:val="006D6372"/>
    <w:rsid w:val="006D68C4"/>
    <w:rsid w:val="006D6E5C"/>
    <w:rsid w:val="006D7E4C"/>
    <w:rsid w:val="006E02AF"/>
    <w:rsid w:val="006E0786"/>
    <w:rsid w:val="006E4A6F"/>
    <w:rsid w:val="006E6B4A"/>
    <w:rsid w:val="006E7449"/>
    <w:rsid w:val="006E7FB1"/>
    <w:rsid w:val="006F2604"/>
    <w:rsid w:val="006F3909"/>
    <w:rsid w:val="006F5319"/>
    <w:rsid w:val="006F55FD"/>
    <w:rsid w:val="006F5D21"/>
    <w:rsid w:val="007037D3"/>
    <w:rsid w:val="007061DA"/>
    <w:rsid w:val="007109F6"/>
    <w:rsid w:val="00711BE3"/>
    <w:rsid w:val="00721B51"/>
    <w:rsid w:val="00722CB3"/>
    <w:rsid w:val="00724594"/>
    <w:rsid w:val="00724FA7"/>
    <w:rsid w:val="00725415"/>
    <w:rsid w:val="007262CC"/>
    <w:rsid w:val="00727505"/>
    <w:rsid w:val="00731581"/>
    <w:rsid w:val="0073481D"/>
    <w:rsid w:val="00740BD7"/>
    <w:rsid w:val="00741B9E"/>
    <w:rsid w:val="00743DAC"/>
    <w:rsid w:val="007455B3"/>
    <w:rsid w:val="007502CD"/>
    <w:rsid w:val="00752AE7"/>
    <w:rsid w:val="00752D3B"/>
    <w:rsid w:val="0075337B"/>
    <w:rsid w:val="00755CD4"/>
    <w:rsid w:val="00757F96"/>
    <w:rsid w:val="007610B5"/>
    <w:rsid w:val="007612D7"/>
    <w:rsid w:val="007623CB"/>
    <w:rsid w:val="00762652"/>
    <w:rsid w:val="00764551"/>
    <w:rsid w:val="0076556F"/>
    <w:rsid w:val="007677B8"/>
    <w:rsid w:val="00781713"/>
    <w:rsid w:val="00785285"/>
    <w:rsid w:val="0078529D"/>
    <w:rsid w:val="00785E77"/>
    <w:rsid w:val="0078720B"/>
    <w:rsid w:val="00787DC1"/>
    <w:rsid w:val="00794070"/>
    <w:rsid w:val="007A4BD5"/>
    <w:rsid w:val="007A63CA"/>
    <w:rsid w:val="007A713B"/>
    <w:rsid w:val="007A7DA0"/>
    <w:rsid w:val="007B63AB"/>
    <w:rsid w:val="007B64E5"/>
    <w:rsid w:val="007C0614"/>
    <w:rsid w:val="007C2F04"/>
    <w:rsid w:val="007C53A9"/>
    <w:rsid w:val="007F06E5"/>
    <w:rsid w:val="007F5B8B"/>
    <w:rsid w:val="00805BC0"/>
    <w:rsid w:val="00814FB9"/>
    <w:rsid w:val="00817E9A"/>
    <w:rsid w:val="00827786"/>
    <w:rsid w:val="00827BDA"/>
    <w:rsid w:val="00830D57"/>
    <w:rsid w:val="00831F00"/>
    <w:rsid w:val="00850CA0"/>
    <w:rsid w:val="00851C89"/>
    <w:rsid w:val="00852A2F"/>
    <w:rsid w:val="00856546"/>
    <w:rsid w:val="0086005B"/>
    <w:rsid w:val="008600E5"/>
    <w:rsid w:val="008608EE"/>
    <w:rsid w:val="00860B07"/>
    <w:rsid w:val="008616F6"/>
    <w:rsid w:val="0086259C"/>
    <w:rsid w:val="008674ED"/>
    <w:rsid w:val="0087074C"/>
    <w:rsid w:val="00872A73"/>
    <w:rsid w:val="00874913"/>
    <w:rsid w:val="00883F24"/>
    <w:rsid w:val="008954A1"/>
    <w:rsid w:val="00897E1F"/>
    <w:rsid w:val="008A3E8E"/>
    <w:rsid w:val="008B2C98"/>
    <w:rsid w:val="008B2CB4"/>
    <w:rsid w:val="008B3D82"/>
    <w:rsid w:val="008B5503"/>
    <w:rsid w:val="008B6404"/>
    <w:rsid w:val="008C2C21"/>
    <w:rsid w:val="008C4499"/>
    <w:rsid w:val="008C7DD3"/>
    <w:rsid w:val="008D054C"/>
    <w:rsid w:val="008D47A4"/>
    <w:rsid w:val="008E000B"/>
    <w:rsid w:val="008E2926"/>
    <w:rsid w:val="008E35C6"/>
    <w:rsid w:val="008E3F49"/>
    <w:rsid w:val="008E50B4"/>
    <w:rsid w:val="008E7FBC"/>
    <w:rsid w:val="008F1A8F"/>
    <w:rsid w:val="008F243B"/>
    <w:rsid w:val="008F4675"/>
    <w:rsid w:val="008F50FE"/>
    <w:rsid w:val="008F69CD"/>
    <w:rsid w:val="008F6E88"/>
    <w:rsid w:val="00901E60"/>
    <w:rsid w:val="00904A66"/>
    <w:rsid w:val="00905029"/>
    <w:rsid w:val="00911A39"/>
    <w:rsid w:val="00920911"/>
    <w:rsid w:val="00921A3A"/>
    <w:rsid w:val="0092287F"/>
    <w:rsid w:val="0092495B"/>
    <w:rsid w:val="0092660E"/>
    <w:rsid w:val="009306FB"/>
    <w:rsid w:val="0093204C"/>
    <w:rsid w:val="00933C72"/>
    <w:rsid w:val="00936519"/>
    <w:rsid w:val="009413AA"/>
    <w:rsid w:val="00941DA3"/>
    <w:rsid w:val="00942C0C"/>
    <w:rsid w:val="00945990"/>
    <w:rsid w:val="00951711"/>
    <w:rsid w:val="009539E3"/>
    <w:rsid w:val="00954083"/>
    <w:rsid w:val="00954A5E"/>
    <w:rsid w:val="009551B2"/>
    <w:rsid w:val="0096022C"/>
    <w:rsid w:val="009619B1"/>
    <w:rsid w:val="00964625"/>
    <w:rsid w:val="00965B57"/>
    <w:rsid w:val="00980937"/>
    <w:rsid w:val="00981C1D"/>
    <w:rsid w:val="00987E15"/>
    <w:rsid w:val="0099109C"/>
    <w:rsid w:val="009936DB"/>
    <w:rsid w:val="00993CFC"/>
    <w:rsid w:val="009A1DC2"/>
    <w:rsid w:val="009A5EEA"/>
    <w:rsid w:val="009B0906"/>
    <w:rsid w:val="009B38F2"/>
    <w:rsid w:val="009B4511"/>
    <w:rsid w:val="009B7433"/>
    <w:rsid w:val="009C0914"/>
    <w:rsid w:val="009C27E5"/>
    <w:rsid w:val="009C378D"/>
    <w:rsid w:val="009D24A1"/>
    <w:rsid w:val="009D3891"/>
    <w:rsid w:val="009D71E8"/>
    <w:rsid w:val="009E0CF5"/>
    <w:rsid w:val="009E104B"/>
    <w:rsid w:val="009E7DE4"/>
    <w:rsid w:val="009F3BBD"/>
    <w:rsid w:val="00A022AB"/>
    <w:rsid w:val="00A063DD"/>
    <w:rsid w:val="00A112B5"/>
    <w:rsid w:val="00A14EEA"/>
    <w:rsid w:val="00A33636"/>
    <w:rsid w:val="00A40F74"/>
    <w:rsid w:val="00A44FBB"/>
    <w:rsid w:val="00A50104"/>
    <w:rsid w:val="00A522E0"/>
    <w:rsid w:val="00A52823"/>
    <w:rsid w:val="00A60E28"/>
    <w:rsid w:val="00A63579"/>
    <w:rsid w:val="00A638AC"/>
    <w:rsid w:val="00A64475"/>
    <w:rsid w:val="00A727E5"/>
    <w:rsid w:val="00A748B5"/>
    <w:rsid w:val="00A7797A"/>
    <w:rsid w:val="00A80A32"/>
    <w:rsid w:val="00A810B7"/>
    <w:rsid w:val="00A81948"/>
    <w:rsid w:val="00A82A98"/>
    <w:rsid w:val="00A82D16"/>
    <w:rsid w:val="00A83C1D"/>
    <w:rsid w:val="00A852F2"/>
    <w:rsid w:val="00A8712A"/>
    <w:rsid w:val="00A95F75"/>
    <w:rsid w:val="00A968DA"/>
    <w:rsid w:val="00A96B83"/>
    <w:rsid w:val="00AA355B"/>
    <w:rsid w:val="00AA42E5"/>
    <w:rsid w:val="00AB24FA"/>
    <w:rsid w:val="00AB5161"/>
    <w:rsid w:val="00AB6C4E"/>
    <w:rsid w:val="00AD7B5A"/>
    <w:rsid w:val="00AE229F"/>
    <w:rsid w:val="00AF0618"/>
    <w:rsid w:val="00AF5E20"/>
    <w:rsid w:val="00B002FA"/>
    <w:rsid w:val="00B00327"/>
    <w:rsid w:val="00B024B3"/>
    <w:rsid w:val="00B03032"/>
    <w:rsid w:val="00B11DE8"/>
    <w:rsid w:val="00B121B9"/>
    <w:rsid w:val="00B179ED"/>
    <w:rsid w:val="00B20E18"/>
    <w:rsid w:val="00B331E1"/>
    <w:rsid w:val="00B40B30"/>
    <w:rsid w:val="00B4532A"/>
    <w:rsid w:val="00B47C66"/>
    <w:rsid w:val="00B572C4"/>
    <w:rsid w:val="00B60858"/>
    <w:rsid w:val="00B60D69"/>
    <w:rsid w:val="00B60E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85"/>
    <w:rsid w:val="00BE44AC"/>
    <w:rsid w:val="00BF0D5F"/>
    <w:rsid w:val="00BF1EA1"/>
    <w:rsid w:val="00BF30FC"/>
    <w:rsid w:val="00BF59B3"/>
    <w:rsid w:val="00BF6F95"/>
    <w:rsid w:val="00C10BCF"/>
    <w:rsid w:val="00C11EB4"/>
    <w:rsid w:val="00C12746"/>
    <w:rsid w:val="00C22B7A"/>
    <w:rsid w:val="00C23C11"/>
    <w:rsid w:val="00C2441E"/>
    <w:rsid w:val="00C25827"/>
    <w:rsid w:val="00C31636"/>
    <w:rsid w:val="00C31BB8"/>
    <w:rsid w:val="00C373EA"/>
    <w:rsid w:val="00C4004B"/>
    <w:rsid w:val="00C43CA3"/>
    <w:rsid w:val="00C43D9D"/>
    <w:rsid w:val="00C43EA4"/>
    <w:rsid w:val="00C50040"/>
    <w:rsid w:val="00C52DFF"/>
    <w:rsid w:val="00C574E1"/>
    <w:rsid w:val="00C621C1"/>
    <w:rsid w:val="00C62989"/>
    <w:rsid w:val="00C65CBB"/>
    <w:rsid w:val="00C74684"/>
    <w:rsid w:val="00C75511"/>
    <w:rsid w:val="00C77FEF"/>
    <w:rsid w:val="00C80F37"/>
    <w:rsid w:val="00C83659"/>
    <w:rsid w:val="00C839C1"/>
    <w:rsid w:val="00C97A7F"/>
    <w:rsid w:val="00CA4421"/>
    <w:rsid w:val="00CA5363"/>
    <w:rsid w:val="00CA7D07"/>
    <w:rsid w:val="00CB24A4"/>
    <w:rsid w:val="00CB5B17"/>
    <w:rsid w:val="00CB6AA0"/>
    <w:rsid w:val="00CB7670"/>
    <w:rsid w:val="00CC4443"/>
    <w:rsid w:val="00CC5CAF"/>
    <w:rsid w:val="00CE7E1B"/>
    <w:rsid w:val="00D04F25"/>
    <w:rsid w:val="00D06874"/>
    <w:rsid w:val="00D07530"/>
    <w:rsid w:val="00D07FCB"/>
    <w:rsid w:val="00D173F7"/>
    <w:rsid w:val="00D20203"/>
    <w:rsid w:val="00D204E0"/>
    <w:rsid w:val="00D21354"/>
    <w:rsid w:val="00D22400"/>
    <w:rsid w:val="00D23F4A"/>
    <w:rsid w:val="00D2439A"/>
    <w:rsid w:val="00D264E2"/>
    <w:rsid w:val="00D278BA"/>
    <w:rsid w:val="00D33FE5"/>
    <w:rsid w:val="00D348C0"/>
    <w:rsid w:val="00D3578A"/>
    <w:rsid w:val="00D43A15"/>
    <w:rsid w:val="00D442CA"/>
    <w:rsid w:val="00D4463C"/>
    <w:rsid w:val="00D46182"/>
    <w:rsid w:val="00D46C7D"/>
    <w:rsid w:val="00D501EE"/>
    <w:rsid w:val="00D517DC"/>
    <w:rsid w:val="00D5360D"/>
    <w:rsid w:val="00D545C7"/>
    <w:rsid w:val="00D5590D"/>
    <w:rsid w:val="00D618E4"/>
    <w:rsid w:val="00D61DA5"/>
    <w:rsid w:val="00D642A3"/>
    <w:rsid w:val="00D71B8A"/>
    <w:rsid w:val="00D72C08"/>
    <w:rsid w:val="00D75247"/>
    <w:rsid w:val="00D81325"/>
    <w:rsid w:val="00D842FA"/>
    <w:rsid w:val="00D85199"/>
    <w:rsid w:val="00D875ED"/>
    <w:rsid w:val="00D877D0"/>
    <w:rsid w:val="00D90013"/>
    <w:rsid w:val="00D91B9C"/>
    <w:rsid w:val="00D92C1B"/>
    <w:rsid w:val="00D94CC7"/>
    <w:rsid w:val="00D97901"/>
    <w:rsid w:val="00DA1AF4"/>
    <w:rsid w:val="00DB0C60"/>
    <w:rsid w:val="00DC641A"/>
    <w:rsid w:val="00DD21A1"/>
    <w:rsid w:val="00DD30F0"/>
    <w:rsid w:val="00DD68FB"/>
    <w:rsid w:val="00DD6B7D"/>
    <w:rsid w:val="00DD6E14"/>
    <w:rsid w:val="00DE15AC"/>
    <w:rsid w:val="00DE6270"/>
    <w:rsid w:val="00DF2015"/>
    <w:rsid w:val="00DF4751"/>
    <w:rsid w:val="00E02D30"/>
    <w:rsid w:val="00E061EC"/>
    <w:rsid w:val="00E0696B"/>
    <w:rsid w:val="00E10E81"/>
    <w:rsid w:val="00E13E51"/>
    <w:rsid w:val="00E21F56"/>
    <w:rsid w:val="00E3014F"/>
    <w:rsid w:val="00E4286E"/>
    <w:rsid w:val="00E43EAD"/>
    <w:rsid w:val="00E62DCB"/>
    <w:rsid w:val="00E651DD"/>
    <w:rsid w:val="00E66558"/>
    <w:rsid w:val="00E703C6"/>
    <w:rsid w:val="00E70D81"/>
    <w:rsid w:val="00E7128E"/>
    <w:rsid w:val="00E726A6"/>
    <w:rsid w:val="00E73418"/>
    <w:rsid w:val="00E8109E"/>
    <w:rsid w:val="00E85C23"/>
    <w:rsid w:val="00E86F05"/>
    <w:rsid w:val="00EA3A2A"/>
    <w:rsid w:val="00EA48DB"/>
    <w:rsid w:val="00EA6B46"/>
    <w:rsid w:val="00EB4556"/>
    <w:rsid w:val="00EB4A11"/>
    <w:rsid w:val="00EB5163"/>
    <w:rsid w:val="00EB64C8"/>
    <w:rsid w:val="00ED4136"/>
    <w:rsid w:val="00ED5108"/>
    <w:rsid w:val="00ED6AE8"/>
    <w:rsid w:val="00EE291B"/>
    <w:rsid w:val="00EE2CB2"/>
    <w:rsid w:val="00EE6719"/>
    <w:rsid w:val="00EF485B"/>
    <w:rsid w:val="00EF5127"/>
    <w:rsid w:val="00EF5A6B"/>
    <w:rsid w:val="00F004EA"/>
    <w:rsid w:val="00F012CA"/>
    <w:rsid w:val="00F01752"/>
    <w:rsid w:val="00F017D2"/>
    <w:rsid w:val="00F0355A"/>
    <w:rsid w:val="00F05C44"/>
    <w:rsid w:val="00F13942"/>
    <w:rsid w:val="00F15753"/>
    <w:rsid w:val="00F21F92"/>
    <w:rsid w:val="00F23A9F"/>
    <w:rsid w:val="00F24A7E"/>
    <w:rsid w:val="00F3084B"/>
    <w:rsid w:val="00F32A87"/>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821A7"/>
    <w:rsid w:val="00F90694"/>
    <w:rsid w:val="00F925EB"/>
    <w:rsid w:val="00F97033"/>
    <w:rsid w:val="00FA6DD0"/>
    <w:rsid w:val="00FC28DF"/>
    <w:rsid w:val="00FD1780"/>
    <w:rsid w:val="00FD2297"/>
    <w:rsid w:val="00FD406D"/>
    <w:rsid w:val="00FD6AC6"/>
    <w:rsid w:val="00FE3136"/>
    <w:rsid w:val="00FE50A3"/>
    <w:rsid w:val="00FE5204"/>
    <w:rsid w:val="00FE604C"/>
    <w:rsid w:val="00FF0016"/>
    <w:rsid w:val="00FF2000"/>
    <w:rsid w:val="00FF369D"/>
    <w:rsid w:val="00FF4689"/>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09008249">
      <w:bodyDiv w:val="1"/>
      <w:marLeft w:val="0"/>
      <w:marRight w:val="0"/>
      <w:marTop w:val="0"/>
      <w:marBottom w:val="0"/>
      <w:divBdr>
        <w:top w:val="none" w:sz="0" w:space="0" w:color="auto"/>
        <w:left w:val="none" w:sz="0" w:space="0" w:color="auto"/>
        <w:bottom w:val="none" w:sz="0" w:space="0" w:color="auto"/>
        <w:right w:val="none" w:sz="0" w:space="0" w:color="auto"/>
      </w:divBdr>
    </w:div>
    <w:div w:id="667951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ducationendowmentfoundation.org.uk/news/attendance-and-reading-key-barriers-to-disadvantaged-pupils-progress-say-three-in-four-schoo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acp.co.uk/about-therapy/types-of-therapy/play-therap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eechandlanguage.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cationendowmentfoundation.org.uk/education-evidence/teaching-learning-toolkit/oral-language-interventions" TargetMode="External"/><Relationship Id="rId4" Type="http://schemas.openxmlformats.org/officeDocument/2006/relationships/webSettings" Target="webSettings.xml"/><Relationship Id="rId9" Type="http://schemas.openxmlformats.org/officeDocument/2006/relationships/hyperlink" Target="https://www.gov.uk/government/news/new-research-shows-early-intervention-is-key-in-helping-children-with-special-nee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Kirsty Cargill</cp:lastModifiedBy>
  <cp:revision>2</cp:revision>
  <cp:lastPrinted>2026-01-29T09:44:00Z</cp:lastPrinted>
  <dcterms:created xsi:type="dcterms:W3CDTF">2026-01-30T11:04:00Z</dcterms:created>
  <dcterms:modified xsi:type="dcterms:W3CDTF">2026-01-30T11:04:00Z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