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83874915"/>
        <w:docPartObj>
          <w:docPartGallery w:val="Cover Pages"/>
          <w:docPartUnique/>
        </w:docPartObj>
      </w:sdtPr>
      <w:sdtEndPr>
        <w:rPr>
          <w:rFonts w:ascii="Comic Sans MS" w:hAnsi="Comic Sans MS"/>
          <w:sz w:val="24"/>
          <w:szCs w:val="24"/>
        </w:rPr>
      </w:sdtEndPr>
      <w:sdtContent>
        <w:p w:rsidR="00651EF6" w:rsidRDefault="00651EF6">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7E7391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3C084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651EF6" w:rsidRDefault="00651EF6">
                              <w:pPr>
                                <w:pStyle w:val="NoSpacing"/>
                                <w:jc w:val="right"/>
                                <w:rPr>
                                  <w:color w:val="595959" w:themeColor="text1" w:themeTint="A6"/>
                                  <w:sz w:val="28"/>
                                  <w:szCs w:val="28"/>
                                </w:rPr>
                              </w:pPr>
                              <w:r>
                                <w:rPr>
                                  <w:color w:val="595959" w:themeColor="text1" w:themeTint="A6"/>
                                  <w:sz w:val="28"/>
                                  <w:szCs w:val="28"/>
                                </w:rPr>
                                <w:t>Jenny Garside</w:t>
                              </w:r>
                            </w:p>
                          </w:sdtContent>
                        </w:sdt>
                        <w:p w:rsidR="00651EF6" w:rsidRDefault="003C084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904BB">
                                <w:rPr>
                                  <w:color w:val="595959" w:themeColor="text1" w:themeTint="A6"/>
                                  <w:sz w:val="18"/>
                                  <w:szCs w:val="18"/>
                                </w:rPr>
                                <w:t xml:space="preserve">     </w:t>
                              </w:r>
                            </w:sdtContent>
                          </w:sdt>
                        </w:p>
                      </w:txbxContent>
                    </v:textbox>
                    <w10:wrap type="square" anchorx="page" anchory="page"/>
                  </v:shape>
                </w:pict>
              </mc:Fallback>
            </mc:AlternateContent>
          </w:r>
        </w:p>
        <w:p w:rsidR="00651EF6" w:rsidRDefault="00A904BB">
          <w:pPr>
            <w:rPr>
              <w:rFonts w:ascii="Comic Sans MS" w:hAnsi="Comic Sans MS"/>
              <w:sz w:val="24"/>
              <w:szCs w:val="24"/>
            </w:rPr>
          </w:pPr>
          <w:r w:rsidRPr="000C2FD7">
            <w:rPr>
              <w:noProof/>
              <w:lang w:eastAsia="en-GB"/>
            </w:rPr>
            <w:drawing>
              <wp:anchor distT="0" distB="0" distL="114300" distR="114300" simplePos="0" relativeHeight="251664384" behindDoc="1" locked="0" layoutInCell="1" allowOverlap="1" wp14:anchorId="1092B06C" wp14:editId="6686D76E">
                <wp:simplePos x="0" y="0"/>
                <wp:positionH relativeFrom="margin">
                  <wp:align>center</wp:align>
                </wp:positionH>
                <wp:positionV relativeFrom="paragraph">
                  <wp:posOffset>19685</wp:posOffset>
                </wp:positionV>
                <wp:extent cx="4700270" cy="4700270"/>
                <wp:effectExtent l="0" t="0" r="0" b="5080"/>
                <wp:wrapTight wrapText="bothSides">
                  <wp:wrapPolygon edited="0">
                    <wp:start x="10768" y="438"/>
                    <wp:lineTo x="7879" y="1226"/>
                    <wp:lineTo x="6566" y="1663"/>
                    <wp:lineTo x="6566" y="2014"/>
                    <wp:lineTo x="6041" y="2539"/>
                    <wp:lineTo x="5428" y="3327"/>
                    <wp:lineTo x="4552" y="4552"/>
                    <wp:lineTo x="4027" y="6216"/>
                    <wp:lineTo x="3939" y="8229"/>
                    <wp:lineTo x="4815" y="9017"/>
                    <wp:lineTo x="5515" y="9017"/>
                    <wp:lineTo x="4640" y="10418"/>
                    <wp:lineTo x="3502" y="11293"/>
                    <wp:lineTo x="4815" y="13219"/>
                    <wp:lineTo x="6828" y="14620"/>
                    <wp:lineTo x="6916" y="14882"/>
                    <wp:lineTo x="10155" y="16021"/>
                    <wp:lineTo x="10768" y="16021"/>
                    <wp:lineTo x="10768" y="17421"/>
                    <wp:lineTo x="7704" y="17509"/>
                    <wp:lineTo x="7441" y="17596"/>
                    <wp:lineTo x="7441" y="18822"/>
                    <wp:lineTo x="3677" y="19347"/>
                    <wp:lineTo x="2976" y="19522"/>
                    <wp:lineTo x="2976" y="20923"/>
                    <wp:lineTo x="5778" y="21361"/>
                    <wp:lineTo x="9630" y="21536"/>
                    <wp:lineTo x="18559" y="21536"/>
                    <wp:lineTo x="19347" y="19960"/>
                    <wp:lineTo x="14795" y="18822"/>
                    <wp:lineTo x="14970" y="18122"/>
                    <wp:lineTo x="14270" y="17859"/>
                    <wp:lineTo x="10680" y="17421"/>
                    <wp:lineTo x="10768" y="16021"/>
                    <wp:lineTo x="11468" y="16021"/>
                    <wp:lineTo x="14707" y="14882"/>
                    <wp:lineTo x="14795" y="14620"/>
                    <wp:lineTo x="16808" y="13219"/>
                    <wp:lineTo x="17771" y="11818"/>
                    <wp:lineTo x="18122" y="11468"/>
                    <wp:lineTo x="17859" y="11118"/>
                    <wp:lineTo x="16984" y="10418"/>
                    <wp:lineTo x="16371" y="9017"/>
                    <wp:lineTo x="17159" y="9017"/>
                    <wp:lineTo x="18122" y="8229"/>
                    <wp:lineTo x="18034" y="7616"/>
                    <wp:lineTo x="17684" y="6216"/>
                    <wp:lineTo x="17684" y="5428"/>
                    <wp:lineTo x="17509" y="4465"/>
                    <wp:lineTo x="16721" y="3589"/>
                    <wp:lineTo x="16283" y="3414"/>
                    <wp:lineTo x="14795" y="1926"/>
                    <wp:lineTo x="11381" y="438"/>
                    <wp:lineTo x="10768" y="438"/>
                  </wp:wrapPolygon>
                </wp:wrapTight>
                <wp:docPr id="3" name="Picture 3"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0270" cy="470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-1170940</wp:posOffset>
                    </wp:positionH>
                    <wp:positionV relativeFrom="page">
                      <wp:posOffset>8001000</wp:posOffset>
                    </wp:positionV>
                    <wp:extent cx="4957763" cy="1271588"/>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4957763" cy="1271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1840" w:rsidRDefault="00D8631B" w:rsidP="00A904BB">
                                <w:pPr>
                                  <w:pStyle w:val="NoSpacing"/>
                                  <w:rPr>
                                    <w:color w:val="4F81BD" w:themeColor="accent1"/>
                                    <w:sz w:val="28"/>
                                    <w:szCs w:val="28"/>
                                  </w:rPr>
                                </w:pPr>
                                <w:r>
                                  <w:rPr>
                                    <w:color w:val="4F81BD" w:themeColor="accent1"/>
                                    <w:sz w:val="28"/>
                                    <w:szCs w:val="28"/>
                                  </w:rPr>
                                  <w:t>Review Cycle: Annually</w:t>
                                </w:r>
                              </w:p>
                              <w:p w:rsidR="00A904BB" w:rsidRDefault="003C0847"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92.2pt;margin-top:630pt;width:390.4pt;height:10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" filled="f" stroked="f" strokeweight=".5pt">
                    <v:textbox inset="126pt,0,54pt,0">
                      <w:txbxContent>
                        <w:p w:rsidR="00831840" w:rsidRDefault="00D8631B" w:rsidP="00A904BB">
                          <w:pPr>
                            <w:pStyle w:val="NoSpacing"/>
                            <w:rPr>
                              <w:color w:val="4F81BD" w:themeColor="accent1"/>
                              <w:sz w:val="28"/>
                              <w:szCs w:val="28"/>
                            </w:rPr>
                          </w:pPr>
                          <w:r>
                            <w:rPr>
                              <w:color w:val="4F81BD" w:themeColor="accent1"/>
                              <w:sz w:val="28"/>
                              <w:szCs w:val="28"/>
                            </w:rPr>
                            <w:t>Review Cycle: Annually</w:t>
                          </w:r>
                        </w:p>
                        <w:p w:rsidR="00A904BB" w:rsidRDefault="003C0847" w:rsidP="00A904BB">
                          <w:pPr>
                            <w:pStyle w:val="NoSpacing"/>
                            <w:rPr>
                              <w:rFonts w:ascii="Times New Roman" w:hAnsi="Times New Roman" w:cs="Times New Roman"/>
                              <w:color w:val="595959" w:themeColor="text1" w:themeTint="A6"/>
                              <w:sz w:val="24"/>
                              <w:szCs w:val="20"/>
                              <w:lang w:eastAsia="en-GB"/>
                            </w:rPr>
                          </w:pPr>
                          <w:sdt>
                            <w:sdtPr>
                              <w:rPr>
                                <w:rFonts w:ascii="Calibri" w:eastAsia="Times New Roman" w:hAnsi="Calibri" w:cs="Calibri"/>
                                <w:color w:val="595959" w:themeColor="text1" w:themeTint="A6"/>
                                <w:sz w:val="20"/>
                                <w:szCs w:val="20"/>
                              </w:rPr>
                              <w:alias w:val="Abstract"/>
                              <w:tag w:val=""/>
                              <w:id w:val="1626193102"/>
                              <w:showingPlcHdr/>
                              <w:dataBinding w:prefixMappings="xmlns:ns0='http://schemas.microsoft.com/office/2006/coverPageProps' " w:xpath="/ns0:CoverPageProperties[1]/ns0:Abstract[1]" w:storeItemID="{55AF091B-3C7A-41E3-B477-F2FDAA23CFDA}"/>
                              <w:text w:multiLine="1"/>
                            </w:sdtPr>
                            <w:sdtEndPr/>
                            <w:sdtContent>
                              <w:r w:rsidR="00A904BB">
                                <w:rPr>
                                  <w:rFonts w:ascii="Calibri" w:eastAsia="Times New Roman" w:hAnsi="Calibri" w:cs="Calibri"/>
                                  <w:color w:val="595959" w:themeColor="text1" w:themeTint="A6"/>
                                  <w:sz w:val="20"/>
                                  <w:szCs w:val="20"/>
                                </w:rPr>
                                <w:t xml:space="preserve">     </w:t>
                              </w:r>
                            </w:sdtContent>
                          </w:sdt>
                          <w:r w:rsidR="00A904BB" w:rsidRPr="00A904BB">
                            <w:rPr>
                              <w:rFonts w:ascii="Times New Roman" w:hAnsi="Times New Roman" w:cs="Times New Roman"/>
                              <w:color w:val="595959" w:themeColor="text1" w:themeTint="A6"/>
                              <w:sz w:val="24"/>
                              <w:szCs w:val="20"/>
                              <w:lang w:eastAsia="en-GB"/>
                            </w:rPr>
                            <w:t xml:space="preserve"> </w:t>
                          </w:r>
                          <w:sdt>
                            <w:sdtPr>
                              <w:rPr>
                                <w:rFonts w:ascii="Times New Roman" w:hAnsi="Times New Roman" w:cs="Times New Roman"/>
                                <w:color w:val="595959" w:themeColor="text1" w:themeTint="A6"/>
                                <w:sz w:val="24"/>
                                <w:szCs w:val="20"/>
                                <w:lang w:eastAsia="en-GB"/>
                              </w:rPr>
                              <w:alias w:val="Abstract"/>
                              <w:tag w:val=""/>
                              <w:id w:val="-1888332058"/>
                              <w:showingPlcHdr/>
                              <w:dataBinding w:prefixMappings="xmlns:ns0='http://schemas.microsoft.com/office/2006/coverPageProps' " w:xpath="/ns0:CoverPageProperties[1]/ns0:Abstract[1]" w:storeItemID="{55AF091B-3C7A-41E3-B477-F2FDAA23CFDA}"/>
                              <w:text w:multiLine="1"/>
                            </w:sdtPr>
                            <w:sdtEndPr/>
                            <w:sdtContent>
                              <w:r w:rsidR="00A904BB">
                                <w:rPr>
                                  <w:rFonts w:ascii="Times New Roman" w:hAnsi="Times New Roman" w:cs="Times New Roman"/>
                                  <w:color w:val="595959" w:themeColor="text1" w:themeTint="A6"/>
                                  <w:sz w:val="24"/>
                                  <w:szCs w:val="20"/>
                                  <w:lang w:eastAsia="en-GB"/>
                                </w:rPr>
                                <w:t xml:space="preserve">     </w:t>
                              </w:r>
                            </w:sdtContent>
                          </w:sdt>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 xml:space="preserve">Date Agreed by Local Governing Body: </w:t>
                          </w:r>
                        </w:p>
                        <w:p w:rsidR="00A904BB" w:rsidRPr="00A904BB" w:rsidRDefault="00A904BB" w:rsidP="00A904BB">
                          <w:pPr>
                            <w:pStyle w:val="NoSpacing"/>
                            <w:rPr>
                              <w:color w:val="595959" w:themeColor="text1" w:themeTint="A6"/>
                              <w:sz w:val="20"/>
                              <w:szCs w:val="20"/>
                            </w:rPr>
                          </w:pPr>
                        </w:p>
                        <w:p w:rsidR="00A904BB" w:rsidRPr="00A904BB" w:rsidRDefault="00A904BB" w:rsidP="00A904BB">
                          <w:pPr>
                            <w:pStyle w:val="NoSpacing"/>
                            <w:rPr>
                              <w:color w:val="595959" w:themeColor="text1" w:themeTint="A6"/>
                              <w:sz w:val="20"/>
                              <w:szCs w:val="20"/>
                            </w:rPr>
                          </w:pPr>
                          <w:r w:rsidRPr="00A904BB">
                            <w:rPr>
                              <w:color w:val="595959" w:themeColor="text1" w:themeTint="A6"/>
                              <w:sz w:val="20"/>
                              <w:szCs w:val="20"/>
                            </w:rPr>
                            <w:t>Signed Principal:</w:t>
                          </w:r>
                        </w:p>
                        <w:p w:rsidR="00A904BB" w:rsidRPr="00A904BB" w:rsidRDefault="00A904BB" w:rsidP="00A904BB">
                          <w:pPr>
                            <w:pStyle w:val="NoSpacing"/>
                            <w:rPr>
                              <w:color w:val="595959" w:themeColor="text1" w:themeTint="A6"/>
                              <w:sz w:val="20"/>
                              <w:szCs w:val="20"/>
                            </w:rPr>
                          </w:pPr>
                        </w:p>
                        <w:p w:rsidR="00651EF6" w:rsidRDefault="00A904BB" w:rsidP="00A904BB">
                          <w:pPr>
                            <w:pStyle w:val="NoSpacing"/>
                            <w:rPr>
                              <w:color w:val="595959" w:themeColor="text1" w:themeTint="A6"/>
                              <w:sz w:val="20"/>
                              <w:szCs w:val="20"/>
                            </w:rPr>
                          </w:pPr>
                          <w:r w:rsidRPr="00A904BB">
                            <w:rPr>
                              <w:color w:val="595959" w:themeColor="text1" w:themeTint="A6"/>
                              <w:sz w:val="20"/>
                              <w:szCs w:val="20"/>
                            </w:rPr>
                            <w:t>Signed Chair of Governing Body:</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posOffset>3391217</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1EF6" w:rsidRDefault="003C0847">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w:t>
                                    </w:r>
                                    <w:proofErr w:type="gramStart"/>
                                    <w:r w:rsidR="00C904DA">
                                      <w:rPr>
                                        <w:caps/>
                                        <w:color w:val="4F81BD" w:themeColor="accent1"/>
                                        <w:sz w:val="56"/>
                                        <w:szCs w:val="64"/>
                                      </w:rPr>
                                      <w:t xml:space="preserve">needs </w:t>
                                    </w:r>
                                    <w:r w:rsidR="00D8631B">
                                      <w:rPr>
                                        <w:caps/>
                                        <w:color w:val="4F81BD" w:themeColor="accent1"/>
                                        <w:sz w:val="56"/>
                                        <w:szCs w:val="64"/>
                                      </w:rPr>
                                      <w:t xml:space="preserve"> Policy</w:t>
                                    </w:r>
                                    <w:proofErr w:type="gramEnd"/>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9259FA" w:rsidP="009259FA">
                                    <w:pPr>
                                      <w:jc w:val="center"/>
                                      <w:rPr>
                                        <w:smallCaps/>
                                        <w:color w:val="404040" w:themeColor="text1" w:themeTint="BF"/>
                                        <w:sz w:val="36"/>
                                        <w:szCs w:val="36"/>
                                      </w:rPr>
                                    </w:pPr>
                                    <w:r>
                                      <w:rPr>
                                        <w:color w:val="404040" w:themeColor="text1" w:themeTint="BF"/>
                                        <w:sz w:val="36"/>
                                        <w:szCs w:val="36"/>
                                      </w:rPr>
                                      <w:t>Amended April 2020 due to partial closure in response to the outbreak of COVID-19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267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margin;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" filled="f" stroked="f" strokeweight=".5pt">
                    <v:textbox inset="126pt,0,54pt,0">
                      <w:txbxContent>
                        <w:p w:rsidR="00651EF6" w:rsidRDefault="003C0847">
                          <w:pPr>
                            <w:jc w:val="right"/>
                            <w:rPr>
                              <w:color w:val="4F81BD" w:themeColor="accent1"/>
                              <w:sz w:val="64"/>
                              <w:szCs w:val="64"/>
                            </w:rPr>
                          </w:pPr>
                          <w:sdt>
                            <w:sdtPr>
                              <w:rPr>
                                <w:caps/>
                                <w:color w:val="4F81BD" w:themeColor="accent1"/>
                                <w:sz w:val="56"/>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4DA">
                                <w:rPr>
                                  <w:caps/>
                                  <w:color w:val="4F81BD" w:themeColor="accent1"/>
                                  <w:sz w:val="56"/>
                                  <w:szCs w:val="64"/>
                                </w:rPr>
                                <w:t xml:space="preserve">Special educational </w:t>
                              </w:r>
                              <w:proofErr w:type="gramStart"/>
                              <w:r w:rsidR="00C904DA">
                                <w:rPr>
                                  <w:caps/>
                                  <w:color w:val="4F81BD" w:themeColor="accent1"/>
                                  <w:sz w:val="56"/>
                                  <w:szCs w:val="64"/>
                                </w:rPr>
                                <w:t xml:space="preserve">needs </w:t>
                              </w:r>
                              <w:r w:rsidR="00D8631B">
                                <w:rPr>
                                  <w:caps/>
                                  <w:color w:val="4F81BD" w:themeColor="accent1"/>
                                  <w:sz w:val="56"/>
                                  <w:szCs w:val="64"/>
                                </w:rPr>
                                <w:t xml:space="preserve"> Policy</w:t>
                              </w:r>
                              <w:proofErr w:type="gramEnd"/>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651EF6" w:rsidRDefault="009259FA" w:rsidP="009259FA">
                              <w:pPr>
                                <w:jc w:val="center"/>
                                <w:rPr>
                                  <w:smallCaps/>
                                  <w:color w:val="404040" w:themeColor="text1" w:themeTint="BF"/>
                                  <w:sz w:val="36"/>
                                  <w:szCs w:val="36"/>
                                </w:rPr>
                              </w:pPr>
                              <w:r>
                                <w:rPr>
                                  <w:color w:val="404040" w:themeColor="text1" w:themeTint="BF"/>
                                  <w:sz w:val="36"/>
                                  <w:szCs w:val="36"/>
                                </w:rPr>
                                <w:t>Amended April 2020 due to partial closure in response to the outbreak of COVID-19</w:t>
                              </w:r>
                            </w:p>
                          </w:sdtContent>
                        </w:sdt>
                      </w:txbxContent>
                    </v:textbox>
                    <w10:wrap type="square" anchorx="margin" anchory="margin"/>
                  </v:shape>
                </w:pict>
              </mc:Fallback>
            </mc:AlternateContent>
          </w:r>
          <w:r w:rsidR="00651EF6">
            <w:rPr>
              <w:rFonts w:ascii="Comic Sans MS" w:hAnsi="Comic Sans MS"/>
              <w:sz w:val="24"/>
              <w:szCs w:val="24"/>
            </w:rPr>
            <w:br w:type="page"/>
          </w:r>
        </w:p>
      </w:sdtContent>
    </w:sdt>
    <w:p w:rsidR="009259FA" w:rsidRDefault="009259FA" w:rsidP="009259FA">
      <w:pPr>
        <w:pStyle w:val="Heading1"/>
      </w:pPr>
      <w:bookmarkStart w:id="0" w:name="_Toc492996803"/>
    </w:p>
    <w:p w:rsidR="009259FA" w:rsidRDefault="009259FA" w:rsidP="009259FA">
      <w:pPr>
        <w:pStyle w:val="Heading1"/>
      </w:pPr>
      <w:r w:rsidRPr="009259FA">
        <w:t>Amendment April 2020 in response to the partial closure of school due to the outbreak of COVID-19</w:t>
      </w:r>
    </w:p>
    <w:p w:rsidR="009259FA" w:rsidRPr="009259FA" w:rsidRDefault="009259FA" w:rsidP="009259FA">
      <w:r w:rsidRPr="009259FA">
        <w:t xml:space="preserve">As part of the response to coronavirus (COVID-19), educational settings </w:t>
      </w:r>
      <w:proofErr w:type="gramStart"/>
      <w:r w:rsidRPr="009259FA">
        <w:t>have been asked</w:t>
      </w:r>
      <w:proofErr w:type="gramEnd"/>
      <w:r w:rsidRPr="009259FA">
        <w:t xml:space="preserve"> to continue to provide care for a limited number of children and young people:</w:t>
      </w:r>
    </w:p>
    <w:p w:rsidR="009259FA" w:rsidRPr="009259FA" w:rsidRDefault="009259FA" w:rsidP="009259FA">
      <w:pPr>
        <w:numPr>
          <w:ilvl w:val="0"/>
          <w:numId w:val="3"/>
        </w:numPr>
      </w:pPr>
      <w:r w:rsidRPr="009259FA">
        <w:t>those who are vulnerable</w:t>
      </w:r>
    </w:p>
    <w:p w:rsidR="009259FA" w:rsidRPr="009259FA" w:rsidRDefault="009259FA" w:rsidP="009259FA">
      <w:pPr>
        <w:numPr>
          <w:ilvl w:val="0"/>
          <w:numId w:val="3"/>
        </w:numPr>
      </w:pPr>
      <w:proofErr w:type="gramStart"/>
      <w:r w:rsidRPr="009259FA">
        <w:t>those</w:t>
      </w:r>
      <w:proofErr w:type="gramEnd"/>
      <w:r w:rsidRPr="009259FA">
        <w:t xml:space="preserve"> whose parents/carers are critical to the coronavirus (COVID-19) response.</w:t>
      </w:r>
    </w:p>
    <w:p w:rsidR="009259FA" w:rsidRPr="009259FA" w:rsidRDefault="009259FA" w:rsidP="009259FA">
      <w:r w:rsidRPr="009259FA">
        <w:t>The government encourages vulnerable children and young people to attend educational settings unless they have underlying health conditions that put them at severe risk.</w:t>
      </w:r>
    </w:p>
    <w:p w:rsidR="009259FA" w:rsidRPr="009259FA" w:rsidRDefault="009259FA" w:rsidP="009259FA">
      <w:r w:rsidRPr="009259FA">
        <w:t xml:space="preserve">During the coronavirus (COVID-19) outbreak, for the purposes of continued attendance at educational settings, vulnerable children and young people </w:t>
      </w:r>
      <w:proofErr w:type="gramStart"/>
      <w:r w:rsidRPr="009259FA">
        <w:t>are defined</w:t>
      </w:r>
      <w:proofErr w:type="gramEnd"/>
      <w:r w:rsidRPr="009259FA">
        <w:t xml:space="preserve"> as those who:</w:t>
      </w:r>
    </w:p>
    <w:p w:rsidR="009259FA" w:rsidRPr="009259FA" w:rsidRDefault="009259FA" w:rsidP="009259FA">
      <w:pPr>
        <w:numPr>
          <w:ilvl w:val="0"/>
          <w:numId w:val="4"/>
        </w:numPr>
      </w:pPr>
      <w:r w:rsidRPr="009259FA">
        <w:t>are assessed as being in need under section 17 of the Children Act 1989, including children who have a child in need plan, a child protection plan or who are a looked-after child</w:t>
      </w:r>
    </w:p>
    <w:p w:rsidR="009259FA" w:rsidRPr="009259FA" w:rsidRDefault="009259FA" w:rsidP="009259FA">
      <w:pPr>
        <w:numPr>
          <w:ilvl w:val="0"/>
          <w:numId w:val="4"/>
        </w:numPr>
      </w:pPr>
      <w:r w:rsidRPr="009259FA">
        <w:t>have an education, health and care (EHC) plan whose needs cannot be met safely in the home environment</w:t>
      </w:r>
    </w:p>
    <w:p w:rsidR="009259FA" w:rsidRDefault="009259FA" w:rsidP="009259FA">
      <w:pPr>
        <w:numPr>
          <w:ilvl w:val="0"/>
          <w:numId w:val="4"/>
        </w:numPr>
      </w:pPr>
      <w:r w:rsidRPr="009259FA">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or those who are young carers, and others at the provider and local authority discretion</w:t>
      </w:r>
    </w:p>
    <w:p w:rsidR="009259FA" w:rsidRDefault="009259FA" w:rsidP="009259FA">
      <w:r>
        <w:t xml:space="preserve">This means that the majority of children with SEND will remain at home during the closure of schools and therefore ‘Part 2 Legislation and guidance’ of this policy has been superseded/amended </w:t>
      </w:r>
      <w:proofErr w:type="gramStart"/>
      <w:r>
        <w:t xml:space="preserve">by  </w:t>
      </w:r>
      <w:r w:rsidR="003C0847">
        <w:t>the</w:t>
      </w:r>
      <w:proofErr w:type="gramEnd"/>
      <w:r w:rsidR="003C0847">
        <w:t xml:space="preserve"> directive from Government made on March 23</w:t>
      </w:r>
      <w:r w:rsidR="003C0847" w:rsidRPr="003C0847">
        <w:rPr>
          <w:vertAlign w:val="superscript"/>
        </w:rPr>
        <w:t>rd</w:t>
      </w:r>
      <w:r w:rsidR="003C0847">
        <w:t xml:space="preserve"> under the Coronavirus Act 2020. </w:t>
      </w:r>
    </w:p>
    <w:p w:rsidR="003C0847" w:rsidRPr="009259FA" w:rsidRDefault="003C0847" w:rsidP="009259FA">
      <w:r>
        <w:t xml:space="preserve">Please see the updated SEN information report for details on the practical implementation of this legislation. </w:t>
      </w:r>
    </w:p>
    <w:p w:rsidR="009259FA" w:rsidRPr="009259FA" w:rsidRDefault="009259FA" w:rsidP="009259FA">
      <w:pPr>
        <w:rPr>
          <w:lang w:val="en-US"/>
        </w:rPr>
      </w:pPr>
    </w:p>
    <w:p w:rsidR="003C0847" w:rsidRDefault="003C0847" w:rsidP="009259FA">
      <w:pPr>
        <w:pStyle w:val="Heading1"/>
      </w:pPr>
    </w:p>
    <w:p w:rsidR="00D8631B" w:rsidRPr="00FA022D" w:rsidRDefault="00D8631B" w:rsidP="009259FA">
      <w:pPr>
        <w:pStyle w:val="Heading1"/>
      </w:pPr>
      <w:bookmarkStart w:id="1" w:name="_GoBack"/>
      <w:bookmarkEnd w:id="1"/>
      <w:r w:rsidRPr="00FA022D">
        <w:t>1. Aims</w:t>
      </w:r>
      <w:bookmarkEnd w:id="0"/>
    </w:p>
    <w:p w:rsidR="00D8631B" w:rsidRPr="00FA022D" w:rsidRDefault="00D8631B" w:rsidP="00D8631B">
      <w:pPr>
        <w:rPr>
          <w:rFonts w:cstheme="minorHAnsi"/>
        </w:rPr>
      </w:pPr>
      <w:r w:rsidRPr="00FA022D">
        <w:rPr>
          <w:rFonts w:cstheme="minorHAnsi"/>
        </w:rPr>
        <w:t>Our SEN policy and information report aims to:</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Set out how our school will support and make provision for pupils with special educational needs (SEN)</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Explain the roles and responsibilities of everyone involved in providing for pupils with SEN</w:t>
      </w:r>
    </w:p>
    <w:p w:rsidR="00D8631B" w:rsidRPr="00FA022D" w:rsidRDefault="00D8631B" w:rsidP="00D8631B">
      <w:pPr>
        <w:pStyle w:val="Caption1"/>
        <w:rPr>
          <w:rFonts w:asciiTheme="minorHAnsi" w:hAnsiTheme="minorHAnsi" w:cstheme="minorHAnsi"/>
          <w:i w:val="0"/>
          <w:color w:val="auto"/>
          <w:sz w:val="22"/>
          <w:szCs w:val="22"/>
        </w:rPr>
      </w:pPr>
      <w:r w:rsidRPr="00FA022D">
        <w:rPr>
          <w:rFonts w:asciiTheme="minorHAnsi" w:hAnsiTheme="minorHAnsi" w:cstheme="minorHAnsi"/>
          <w:i w:val="0"/>
          <w:color w:val="auto"/>
          <w:sz w:val="22"/>
          <w:szCs w:val="22"/>
        </w:rPr>
        <w:t xml:space="preserve">This SEN policy aims to outline the vision and values held regarding SEN and disability at Dowson Primary Academy, whilst the SEN information report describes the vision and values </w:t>
      </w:r>
      <w:proofErr w:type="gramStart"/>
      <w:r w:rsidRPr="00FA022D">
        <w:rPr>
          <w:rFonts w:asciiTheme="minorHAnsi" w:hAnsiTheme="minorHAnsi" w:cstheme="minorHAnsi"/>
          <w:i w:val="0"/>
          <w:color w:val="auto"/>
          <w:sz w:val="22"/>
          <w:szCs w:val="22"/>
        </w:rPr>
        <w:t>are actualized</w:t>
      </w:r>
      <w:proofErr w:type="gramEnd"/>
      <w:r w:rsidRPr="00FA022D">
        <w:rPr>
          <w:rFonts w:asciiTheme="minorHAnsi" w:hAnsiTheme="minorHAnsi" w:cstheme="minorHAnsi"/>
          <w:i w:val="0"/>
          <w:color w:val="auto"/>
          <w:sz w:val="22"/>
          <w:szCs w:val="22"/>
        </w:rPr>
        <w:t xml:space="preserve"> within school. The SEN information report is intended to be a useful and accessible document and is therefore written with a parental audience in mind in the style of ‘Frequently Asked Questions’.  </w:t>
      </w:r>
    </w:p>
    <w:p w:rsidR="00D8631B" w:rsidRPr="00887629" w:rsidRDefault="00887629" w:rsidP="00D8631B">
      <w:pPr>
        <w:pStyle w:val="NoSpacing"/>
        <w:rPr>
          <w:rFonts w:eastAsia="MS Mincho" w:cstheme="minorHAnsi"/>
        </w:rPr>
      </w:pPr>
      <w:r>
        <w:rPr>
          <w:rFonts w:eastAsia="MS Mincho" w:cstheme="minorHAnsi"/>
        </w:rPr>
        <w:t>Dowson’s Vision is ‘</w:t>
      </w:r>
      <w:r w:rsidRPr="00887629">
        <w:rPr>
          <w:rFonts w:eastAsia="MS Mincho" w:cstheme="minorHAnsi"/>
          <w:i/>
          <w:lang w:val="en-GB"/>
        </w:rPr>
        <w:t>Today’s generation makes a positive difference to tomorrow’s world</w:t>
      </w:r>
      <w:r>
        <w:rPr>
          <w:rFonts w:eastAsia="MS Mincho" w:cstheme="minorHAnsi"/>
          <w:i/>
          <w:lang w:val="en-GB"/>
        </w:rPr>
        <w:t xml:space="preserve">’ </w:t>
      </w:r>
      <w:r>
        <w:rPr>
          <w:rFonts w:eastAsia="MS Mincho" w:cstheme="minorHAnsi"/>
          <w:lang w:val="en-GB"/>
        </w:rPr>
        <w:t xml:space="preserve">and this is equally pertinent, if not more so, for children with SEN and disability. The systems and provision in place at Dowson, as detailed in the SEN information report, all centred </w:t>
      </w:r>
      <w:proofErr w:type="gramStart"/>
      <w:r>
        <w:rPr>
          <w:rFonts w:eastAsia="MS Mincho" w:cstheme="minorHAnsi"/>
          <w:lang w:val="en-GB"/>
        </w:rPr>
        <w:t>around</w:t>
      </w:r>
      <w:proofErr w:type="gramEnd"/>
      <w:r>
        <w:rPr>
          <w:rFonts w:eastAsia="MS Mincho" w:cstheme="minorHAnsi"/>
          <w:lang w:val="en-GB"/>
        </w:rPr>
        <w:t xml:space="preserve"> this statement and are geared towards making this a reality. </w:t>
      </w:r>
    </w:p>
    <w:p w:rsidR="00887629" w:rsidRDefault="00887629" w:rsidP="00D8631B">
      <w:pPr>
        <w:pStyle w:val="NoSpacing"/>
        <w:rPr>
          <w:rFonts w:cstheme="minorHAnsi"/>
        </w:rPr>
      </w:pPr>
    </w:p>
    <w:p w:rsidR="00D8631B" w:rsidRPr="00FA022D" w:rsidRDefault="00D8631B" w:rsidP="00660897">
      <w:pPr>
        <w:pStyle w:val="NoSpacing"/>
        <w:rPr>
          <w:rFonts w:cstheme="minorHAnsi"/>
        </w:rPr>
      </w:pPr>
      <w:r w:rsidRPr="00FA022D">
        <w:rPr>
          <w:rFonts w:cstheme="minorHAnsi"/>
        </w:rPr>
        <w:t xml:space="preserve">Dowson believes that the majority of children learn successfully within the classroom when the correct support </w:t>
      </w:r>
      <w:proofErr w:type="gramStart"/>
      <w:r w:rsidRPr="00FA022D">
        <w:rPr>
          <w:rFonts w:cstheme="minorHAnsi"/>
        </w:rPr>
        <w:t>is put</w:t>
      </w:r>
      <w:proofErr w:type="gramEnd"/>
      <w:r w:rsidRPr="00FA022D">
        <w:rPr>
          <w:rFonts w:cstheme="minorHAnsi"/>
        </w:rPr>
        <w:t xml:space="preserve"> in place for them. </w:t>
      </w:r>
      <w:r w:rsidR="00887629">
        <w:rPr>
          <w:rFonts w:cstheme="minorHAnsi"/>
        </w:rPr>
        <w:t xml:space="preserve"> </w:t>
      </w:r>
      <w:r w:rsidRPr="00FA022D">
        <w:rPr>
          <w:rFonts w:cstheme="minorHAnsi"/>
        </w:rPr>
        <w:t xml:space="preserve">Wherever appropriate, children with SEN </w:t>
      </w:r>
      <w:r>
        <w:rPr>
          <w:rFonts w:cstheme="minorHAnsi"/>
        </w:rPr>
        <w:t xml:space="preserve">and disabilities </w:t>
      </w:r>
      <w:proofErr w:type="gramStart"/>
      <w:r w:rsidRPr="00FA022D">
        <w:rPr>
          <w:rFonts w:cstheme="minorHAnsi"/>
        </w:rPr>
        <w:t>will be taught</w:t>
      </w:r>
      <w:proofErr w:type="gramEnd"/>
      <w:r w:rsidRPr="00FA022D">
        <w:rPr>
          <w:rFonts w:cstheme="minorHAnsi"/>
        </w:rPr>
        <w:t xml:space="preserve"> with their peers and work towards similar objectives from their year group curriculum within each lesson</w:t>
      </w:r>
      <w:r w:rsidR="00660897">
        <w:rPr>
          <w:rFonts w:cstheme="minorHAnsi"/>
        </w:rPr>
        <w:t>.</w:t>
      </w:r>
    </w:p>
    <w:p w:rsidR="00D8631B" w:rsidRPr="00FA022D" w:rsidRDefault="00D8631B" w:rsidP="009259FA">
      <w:pPr>
        <w:pStyle w:val="Heading1"/>
      </w:pPr>
      <w:bookmarkStart w:id="2" w:name="_Toc492996804"/>
      <w:r w:rsidRPr="00FA022D">
        <w:t>2. Legislation and guidance</w:t>
      </w:r>
      <w:bookmarkEnd w:id="2"/>
      <w:r w:rsidRPr="00FA022D">
        <w:t xml:space="preserve"> </w:t>
      </w:r>
    </w:p>
    <w:p w:rsidR="00D8631B" w:rsidRPr="00FA022D" w:rsidRDefault="00D8631B" w:rsidP="00D8631B">
      <w:pPr>
        <w:rPr>
          <w:rFonts w:cstheme="minorHAnsi"/>
        </w:rPr>
      </w:pPr>
    </w:p>
    <w:p w:rsidR="00D8631B" w:rsidRPr="00FA022D" w:rsidRDefault="00D8631B" w:rsidP="00D8631B">
      <w:pPr>
        <w:rPr>
          <w:rFonts w:cstheme="minorHAnsi"/>
        </w:rPr>
      </w:pPr>
      <w:r w:rsidRPr="00FA022D">
        <w:rPr>
          <w:rFonts w:cstheme="minorHAnsi"/>
        </w:rPr>
        <w:t xml:space="preserve">This policy and the separate SEN information report (found on the school website) </w:t>
      </w:r>
      <w:proofErr w:type="gramStart"/>
      <w:r w:rsidRPr="00FA022D">
        <w:rPr>
          <w:rFonts w:cstheme="minorHAnsi"/>
        </w:rPr>
        <w:t>is based</w:t>
      </w:r>
      <w:proofErr w:type="gramEnd"/>
      <w:r w:rsidRPr="00FA022D">
        <w:rPr>
          <w:rFonts w:cstheme="minorHAnsi"/>
        </w:rPr>
        <w:t xml:space="preserve"> on the statutory </w:t>
      </w:r>
      <w:hyperlink r:id="rId12" w:history="1">
        <w:r w:rsidRPr="00FA022D">
          <w:rPr>
            <w:rStyle w:val="Hyperlink"/>
            <w:rFonts w:cstheme="minorHAnsi"/>
          </w:rPr>
          <w:t>Special Educational Needs and Disability (SEND) Code of Practice</w:t>
        </w:r>
      </w:hyperlink>
      <w:r w:rsidRPr="00FA022D">
        <w:rPr>
          <w:rFonts w:cstheme="minorHAnsi"/>
        </w:rPr>
        <w:t xml:space="preserve"> and the following legislation:</w:t>
      </w:r>
    </w:p>
    <w:p w:rsidR="00D8631B" w:rsidRPr="00FA022D" w:rsidRDefault="003C0847" w:rsidP="00D8631B">
      <w:pPr>
        <w:pStyle w:val="ListParagraph"/>
        <w:numPr>
          <w:ilvl w:val="0"/>
          <w:numId w:val="2"/>
        </w:numPr>
        <w:spacing w:before="120" w:after="120" w:line="240" w:lineRule="auto"/>
        <w:contextualSpacing w:val="0"/>
        <w:rPr>
          <w:rFonts w:cstheme="minorHAnsi"/>
        </w:rPr>
      </w:pPr>
      <w:hyperlink r:id="rId13" w:history="1">
        <w:r w:rsidR="00D8631B" w:rsidRPr="00FA022D">
          <w:rPr>
            <w:rStyle w:val="Hyperlink"/>
            <w:rFonts w:cstheme="minorHAnsi"/>
          </w:rPr>
          <w:t>Part 3 of the Children and Families Act 2014</w:t>
        </w:r>
      </w:hyperlink>
      <w:r w:rsidR="00D8631B" w:rsidRPr="00FA022D">
        <w:rPr>
          <w:rFonts w:cstheme="minorHAnsi"/>
        </w:rPr>
        <w:t>, which sets out schools’ responsibilities for pupils with SEN and disabilities</w:t>
      </w:r>
    </w:p>
    <w:p w:rsidR="00D8631B" w:rsidRPr="00FA022D" w:rsidRDefault="003C0847" w:rsidP="00D8631B">
      <w:pPr>
        <w:pStyle w:val="ListParagraph"/>
        <w:numPr>
          <w:ilvl w:val="0"/>
          <w:numId w:val="2"/>
        </w:numPr>
        <w:spacing w:before="120" w:after="120" w:line="240" w:lineRule="auto"/>
        <w:contextualSpacing w:val="0"/>
        <w:rPr>
          <w:rFonts w:cstheme="minorHAnsi"/>
        </w:rPr>
      </w:pPr>
      <w:hyperlink r:id="rId14" w:history="1">
        <w:r w:rsidR="00D8631B" w:rsidRPr="00FA022D">
          <w:rPr>
            <w:rStyle w:val="Hyperlink"/>
            <w:rFonts w:cstheme="minorHAnsi"/>
          </w:rPr>
          <w:t>The Special Educational Needs and Disability Regulations 2014</w:t>
        </w:r>
      </w:hyperlink>
      <w:r w:rsidR="00D8631B" w:rsidRPr="00FA022D">
        <w:rPr>
          <w:rFonts w:cstheme="minorHAnsi"/>
        </w:rPr>
        <w:t>, which set out schools’ responsibilities for education, health and care (EHC) plans, SEN</w:t>
      </w:r>
      <w:r w:rsidR="00D8631B">
        <w:rPr>
          <w:rFonts w:cstheme="minorHAnsi"/>
        </w:rPr>
        <w:t xml:space="preserve"> C</w:t>
      </w:r>
      <w:r w:rsidR="00D8631B" w:rsidRPr="00FA022D">
        <w:rPr>
          <w:rFonts w:cstheme="minorHAnsi"/>
        </w:rPr>
        <w:t xml:space="preserve">o-ordinators (SENCOs) and the SEN information report </w:t>
      </w:r>
    </w:p>
    <w:p w:rsidR="00D8631B" w:rsidRPr="00FA022D" w:rsidRDefault="00D8631B" w:rsidP="00D8631B">
      <w:pPr>
        <w:pStyle w:val="ListParagraph"/>
        <w:ind w:left="0"/>
        <w:rPr>
          <w:rFonts w:cstheme="minorHAnsi"/>
        </w:rPr>
      </w:pPr>
      <w:r w:rsidRPr="00FA022D">
        <w:rPr>
          <w:rFonts w:cstheme="minorHAnsi"/>
        </w:rPr>
        <w:t xml:space="preserve">This policy also complies with our funding agreement and articles of association, as well as all associated policies at school and Trust level. </w:t>
      </w:r>
    </w:p>
    <w:p w:rsidR="00D8631B" w:rsidRPr="00FA022D" w:rsidRDefault="00D8631B" w:rsidP="009259FA">
      <w:pPr>
        <w:pStyle w:val="Heading1"/>
      </w:pPr>
      <w:bookmarkStart w:id="3" w:name="_Toc492996805"/>
      <w:r w:rsidRPr="00FA022D">
        <w:t>3. Definitions</w:t>
      </w:r>
      <w:bookmarkEnd w:id="3"/>
    </w:p>
    <w:p w:rsidR="00D8631B" w:rsidRPr="00FA022D" w:rsidRDefault="00D8631B" w:rsidP="00D8631B">
      <w:pPr>
        <w:rPr>
          <w:rFonts w:cstheme="minorHAnsi"/>
        </w:rPr>
      </w:pPr>
      <w:r w:rsidRPr="00FA022D">
        <w:rPr>
          <w:rFonts w:cstheme="minorHAnsi"/>
        </w:rPr>
        <w:t xml:space="preserve">A pupil has SEN if they have a learning difficulty or </w:t>
      </w:r>
      <w:proofErr w:type="gramStart"/>
      <w:r w:rsidRPr="00FA022D">
        <w:rPr>
          <w:rFonts w:cstheme="minorHAnsi"/>
        </w:rPr>
        <w:t>disability which</w:t>
      </w:r>
      <w:proofErr w:type="gramEnd"/>
      <w:r w:rsidRPr="00FA022D">
        <w:rPr>
          <w:rFonts w:cstheme="minorHAnsi"/>
        </w:rPr>
        <w:t xml:space="preserve"> calls for special educational provision to be made for them. </w:t>
      </w:r>
    </w:p>
    <w:p w:rsidR="00D8631B" w:rsidRPr="00FA022D" w:rsidRDefault="00D8631B" w:rsidP="00D8631B">
      <w:pPr>
        <w:rPr>
          <w:rFonts w:cstheme="minorHAnsi"/>
        </w:rPr>
      </w:pPr>
      <w:r w:rsidRPr="00FA022D">
        <w:rPr>
          <w:rFonts w:cstheme="minorHAnsi"/>
        </w:rPr>
        <w:t>They have a learning difficulty or disability if they have:</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A significantly greater difficulty in learning than the majority of others of the same age, or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A disability which prevents or hinders them from making use of facilities of a kind generally provided for others of the same age in mainstream schools </w:t>
      </w:r>
    </w:p>
    <w:p w:rsidR="00D8631B" w:rsidRPr="00FA022D" w:rsidRDefault="00D8631B" w:rsidP="00D8631B">
      <w:pPr>
        <w:rPr>
          <w:rFonts w:cstheme="minorHAnsi"/>
        </w:rPr>
      </w:pPr>
      <w:r w:rsidRPr="00FA022D">
        <w:rPr>
          <w:rFonts w:cstheme="minorHAnsi"/>
        </w:rPr>
        <w:t xml:space="preserve">Special educational provision is educational or training provision that is additional to, or different from, that made generally for other children or young people of the same age by mainstream schools. </w:t>
      </w:r>
    </w:p>
    <w:p w:rsidR="00D8631B" w:rsidRPr="00FA022D" w:rsidRDefault="00D8631B" w:rsidP="009259FA">
      <w:pPr>
        <w:pStyle w:val="Heading1"/>
      </w:pPr>
      <w:bookmarkStart w:id="4" w:name="_Toc362853008"/>
      <w:bookmarkStart w:id="5" w:name="_Toc492996806"/>
      <w:r w:rsidRPr="00FA022D">
        <w:t>4. Roles and responsibilities</w:t>
      </w:r>
      <w:bookmarkEnd w:id="4"/>
      <w:bookmarkEnd w:id="5"/>
    </w:p>
    <w:p w:rsidR="00D8631B" w:rsidRPr="00FA022D" w:rsidRDefault="00D8631B" w:rsidP="00D8631B">
      <w:pPr>
        <w:rPr>
          <w:rFonts w:cstheme="minorHAnsi"/>
          <w:b/>
        </w:rPr>
      </w:pPr>
      <w:r w:rsidRPr="00FA022D">
        <w:rPr>
          <w:rFonts w:cstheme="minorHAnsi"/>
          <w:b/>
        </w:rPr>
        <w:t>4.1 The SENCO</w:t>
      </w:r>
    </w:p>
    <w:p w:rsidR="00D8631B" w:rsidRPr="00FA022D" w:rsidRDefault="00D8631B" w:rsidP="00D8631B">
      <w:pPr>
        <w:rPr>
          <w:rFonts w:cstheme="minorHAnsi"/>
        </w:rPr>
      </w:pPr>
      <w:r w:rsidRPr="00FA022D">
        <w:rPr>
          <w:rFonts w:cstheme="minorHAnsi"/>
        </w:rPr>
        <w:t>The SENCO is Mrs. Jennifer Garside</w:t>
      </w:r>
    </w:p>
    <w:p w:rsidR="00D8631B" w:rsidRPr="00FA022D" w:rsidRDefault="00D8631B" w:rsidP="00D8631B">
      <w:pPr>
        <w:rPr>
          <w:rFonts w:cstheme="minorHAnsi"/>
        </w:rPr>
      </w:pPr>
      <w:r w:rsidRPr="00FA022D">
        <w:rPr>
          <w:rFonts w:cstheme="minorHAnsi"/>
        </w:rPr>
        <w:t>They will: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Work with the Pri</w:t>
      </w:r>
      <w:r>
        <w:rPr>
          <w:rFonts w:cstheme="minorHAnsi"/>
        </w:rPr>
        <w:t>n</w:t>
      </w:r>
      <w:r w:rsidRPr="00FA022D">
        <w:rPr>
          <w:rFonts w:cstheme="minorHAnsi"/>
        </w:rPr>
        <w:t>cipal and SEN governor to determine the strategic development of the SEN policy and provision in the school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Have day-to-day responsibility for the operation of this SEN policy and the co-ordination of specific provision made to support individual pupils with SEN, including those who have EHC plans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Provide professional guidance to colleagues and work with staff, parents, and other agencies to ensure that pupils with SEN receive appropriate support and high quality teaching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Advise on the graduated approach to providing SEN support</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Advise on the deployment of the school’s delegated budget and other resources to meet pupils’ needs effectively</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Be the point of contact for external agencies, especially the local authority and its support services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Liaise with potential next providers of education to ensure pupils and their parents are informed about options and a smooth transition is planned</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Work with the Principal and governing board to ensure that the school meets its responsibilities under the Equality Act 2010 with regard to reasonable adjustments and access arrangements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Ensure the school keeps the records of all pupils with SEN up to date  </w:t>
      </w:r>
    </w:p>
    <w:p w:rsidR="00D8631B" w:rsidRPr="00FA022D" w:rsidRDefault="00D8631B" w:rsidP="00D8631B">
      <w:pPr>
        <w:rPr>
          <w:rFonts w:cstheme="minorHAnsi"/>
          <w:b/>
        </w:rPr>
      </w:pPr>
      <w:r w:rsidRPr="00FA022D">
        <w:rPr>
          <w:rFonts w:cstheme="minorHAnsi"/>
          <w:b/>
        </w:rPr>
        <w:t xml:space="preserve">4.2 The SEN </w:t>
      </w:r>
      <w:proofErr w:type="gramStart"/>
      <w:r w:rsidRPr="00FA022D">
        <w:rPr>
          <w:rFonts w:cstheme="minorHAnsi"/>
          <w:b/>
        </w:rPr>
        <w:t>governor</w:t>
      </w:r>
      <w:proofErr w:type="gramEnd"/>
    </w:p>
    <w:p w:rsidR="00D8631B" w:rsidRPr="00FA022D" w:rsidRDefault="00D8631B" w:rsidP="00D8631B">
      <w:pPr>
        <w:rPr>
          <w:rFonts w:cstheme="minorHAnsi"/>
        </w:rPr>
      </w:pPr>
      <w:r w:rsidRPr="00FA022D">
        <w:rPr>
          <w:rFonts w:cstheme="minorHAnsi"/>
        </w:rPr>
        <w:t xml:space="preserve">The SEN </w:t>
      </w:r>
      <w:proofErr w:type="gramStart"/>
      <w:r w:rsidRPr="00FA022D">
        <w:rPr>
          <w:rFonts w:cstheme="minorHAnsi"/>
        </w:rPr>
        <w:t>governor</w:t>
      </w:r>
      <w:proofErr w:type="gramEnd"/>
      <w:r w:rsidRPr="00FA022D">
        <w:rPr>
          <w:rFonts w:cstheme="minorHAnsi"/>
        </w:rPr>
        <w:t xml:space="preserve"> will: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Help to raise awareness of SEN issues at governing board meetings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Monitor the quality and effectiveness of SEN and disability provision within the school and update the governing board on this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 with the Principal and SENCO to determine the strategic development of the SEN policy and provision in the school </w:t>
      </w:r>
    </w:p>
    <w:p w:rsidR="00D8631B" w:rsidRPr="00FA022D" w:rsidRDefault="00D8631B" w:rsidP="00D8631B">
      <w:pPr>
        <w:rPr>
          <w:rFonts w:cstheme="minorHAnsi"/>
          <w:b/>
        </w:rPr>
      </w:pPr>
      <w:r w:rsidRPr="00FA022D">
        <w:rPr>
          <w:rFonts w:cstheme="minorHAnsi"/>
          <w:b/>
        </w:rPr>
        <w:t>4.3 The Principal</w:t>
      </w:r>
    </w:p>
    <w:p w:rsidR="00D8631B" w:rsidRPr="00FA022D" w:rsidRDefault="00D8631B" w:rsidP="00D8631B">
      <w:pPr>
        <w:rPr>
          <w:rFonts w:cstheme="minorHAnsi"/>
        </w:rPr>
      </w:pPr>
      <w:r w:rsidRPr="00FA022D">
        <w:rPr>
          <w:rFonts w:cstheme="minorHAnsi"/>
        </w:rPr>
        <w:t>The Principal will:</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 with the SENCO and SEN governor to determine the strategic development of the SEN policy and provision in the school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Have overall responsibility for the provision and progress of learners with SEN and/or a disability</w:t>
      </w:r>
    </w:p>
    <w:p w:rsidR="00D8631B" w:rsidRPr="00FA022D" w:rsidRDefault="00D8631B" w:rsidP="00D8631B">
      <w:pPr>
        <w:rPr>
          <w:rFonts w:cstheme="minorHAnsi"/>
          <w:b/>
        </w:rPr>
      </w:pPr>
      <w:r w:rsidRPr="00FA022D">
        <w:rPr>
          <w:rFonts w:cstheme="minorHAnsi"/>
          <w:b/>
        </w:rPr>
        <w:t>4.4 Class teachers</w:t>
      </w:r>
    </w:p>
    <w:p w:rsidR="00D8631B" w:rsidRPr="00FA022D" w:rsidRDefault="00D8631B" w:rsidP="00D8631B">
      <w:pPr>
        <w:rPr>
          <w:rFonts w:cstheme="minorHAnsi"/>
        </w:rPr>
      </w:pPr>
      <w:r w:rsidRPr="00FA022D">
        <w:rPr>
          <w:rFonts w:cstheme="minorHAnsi"/>
        </w:rPr>
        <w:t xml:space="preserve">Each class teacher is responsible </w:t>
      </w:r>
      <w:proofErr w:type="gramStart"/>
      <w:r w:rsidRPr="00FA022D">
        <w:rPr>
          <w:rFonts w:cstheme="minorHAnsi"/>
        </w:rPr>
        <w:t>for</w:t>
      </w:r>
      <w:proofErr w:type="gramEnd"/>
      <w:r w:rsidRPr="00FA022D">
        <w:rPr>
          <w:rFonts w:cstheme="minorHAnsi"/>
        </w:rPr>
        <w:t>:</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The progress and development of every pupil in their class</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Working closely with any teaching assistants or specialist staff to plan and assess the impact of support and interventions and how they can be linked to classroom teaching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Working with the SENCO to review each pupil’s progress and development and decide on any changes to provision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Ensuring they follow this SEN policy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Maintaining all relevant paperwork so that it is up-to-date and an accurate reflection of provision and current attainment.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Being the first ‘point of contact’ for Parents regarding their child’s education</w:t>
      </w:r>
      <w:bookmarkStart w:id="6" w:name="_Toc362853011"/>
      <w:bookmarkStart w:id="7" w:name="_Toc492996809"/>
    </w:p>
    <w:p w:rsidR="00D8631B" w:rsidRPr="00FA022D" w:rsidRDefault="00D8631B" w:rsidP="009259FA">
      <w:pPr>
        <w:pStyle w:val="Heading1"/>
      </w:pPr>
      <w:r w:rsidRPr="00FA022D">
        <w:t>7. Links with other policies and documents</w:t>
      </w:r>
      <w:bookmarkEnd w:id="6"/>
      <w:bookmarkEnd w:id="7"/>
    </w:p>
    <w:p w:rsidR="00D8631B" w:rsidRPr="00FA022D" w:rsidRDefault="00D8631B" w:rsidP="00D8631B">
      <w:pPr>
        <w:rPr>
          <w:rFonts w:cstheme="minorHAnsi"/>
        </w:rPr>
      </w:pPr>
      <w:r w:rsidRPr="00FA022D">
        <w:rPr>
          <w:rFonts w:cstheme="minorHAnsi"/>
        </w:rPr>
        <w:t xml:space="preserve">This policy, and our SEN Information Report, links to the following policies and documents: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 xml:space="preserve">Accessibility plan </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Teaching and Learning Statement</w:t>
      </w:r>
    </w:p>
    <w:p w:rsidR="00D8631B" w:rsidRPr="00FA022D" w:rsidRDefault="00D8631B" w:rsidP="00D8631B">
      <w:pPr>
        <w:pStyle w:val="ListParagraph"/>
        <w:numPr>
          <w:ilvl w:val="0"/>
          <w:numId w:val="2"/>
        </w:numPr>
        <w:spacing w:before="120" w:after="120" w:line="240" w:lineRule="auto"/>
        <w:contextualSpacing w:val="0"/>
        <w:rPr>
          <w:rFonts w:cstheme="minorHAnsi"/>
        </w:rPr>
      </w:pPr>
      <w:r w:rsidRPr="00FA022D">
        <w:rPr>
          <w:rFonts w:cstheme="minorHAnsi"/>
        </w:rPr>
        <w:t>Medic</w:t>
      </w:r>
      <w:r>
        <w:rPr>
          <w:rFonts w:cstheme="minorHAnsi"/>
        </w:rPr>
        <w:t>al</w:t>
      </w:r>
      <w:r w:rsidRPr="00FA022D">
        <w:rPr>
          <w:rFonts w:cstheme="minorHAnsi"/>
        </w:rPr>
        <w:t xml:space="preserve"> Policy</w:t>
      </w:r>
    </w:p>
    <w:p w:rsidR="00D8631B" w:rsidRDefault="00D8631B" w:rsidP="00D8631B">
      <w:pPr>
        <w:pStyle w:val="ListParagraph"/>
        <w:numPr>
          <w:ilvl w:val="0"/>
          <w:numId w:val="2"/>
        </w:numPr>
        <w:spacing w:before="120" w:after="120" w:line="240" w:lineRule="auto"/>
        <w:contextualSpacing w:val="0"/>
        <w:rPr>
          <w:rFonts w:cstheme="minorHAnsi"/>
        </w:rPr>
      </w:pPr>
      <w:r>
        <w:rPr>
          <w:rFonts w:cstheme="minorHAnsi"/>
        </w:rPr>
        <w:t>Dowson Admission Policy</w:t>
      </w:r>
    </w:p>
    <w:p w:rsidR="00D8631B" w:rsidRPr="00FA022D" w:rsidRDefault="00D8631B" w:rsidP="00D8631B">
      <w:pPr>
        <w:pStyle w:val="ListParagraph"/>
        <w:numPr>
          <w:ilvl w:val="0"/>
          <w:numId w:val="2"/>
        </w:numPr>
        <w:spacing w:before="120" w:after="120" w:line="240" w:lineRule="auto"/>
        <w:contextualSpacing w:val="0"/>
        <w:rPr>
          <w:rFonts w:cstheme="minorHAnsi"/>
        </w:rPr>
      </w:pPr>
      <w:r>
        <w:rPr>
          <w:rFonts w:cstheme="minorHAnsi"/>
        </w:rPr>
        <w:t>Behaviour &amp; Discipline Policy</w:t>
      </w:r>
    </w:p>
    <w:p w:rsidR="00A904BB" w:rsidRDefault="00A904BB">
      <w:pPr>
        <w:rPr>
          <w:rFonts w:ascii="Comic Sans MS" w:hAnsi="Comic Sans MS"/>
          <w:sz w:val="24"/>
          <w:szCs w:val="24"/>
          <w:u w:val="single"/>
        </w:rPr>
      </w:pPr>
    </w:p>
    <w:sectPr w:rsidR="00A904BB" w:rsidSect="00651EF6">
      <w:head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B6" w:rsidRDefault="00C81AB6" w:rsidP="00284103">
      <w:pPr>
        <w:spacing w:after="0" w:line="240" w:lineRule="auto"/>
      </w:pPr>
      <w:r>
        <w:separator/>
      </w:r>
    </w:p>
  </w:endnote>
  <w:endnote w:type="continuationSeparator" w:id="0">
    <w:p w:rsidR="00C81AB6" w:rsidRDefault="00C81AB6" w:rsidP="0028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B6" w:rsidRDefault="00C81AB6" w:rsidP="00284103">
      <w:pPr>
        <w:spacing w:after="0" w:line="240" w:lineRule="auto"/>
      </w:pPr>
      <w:r>
        <w:separator/>
      </w:r>
    </w:p>
  </w:footnote>
  <w:footnote w:type="continuationSeparator" w:id="0">
    <w:p w:rsidR="00C81AB6" w:rsidRDefault="00C81AB6" w:rsidP="00284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03" w:rsidRPr="00651EF6" w:rsidRDefault="00651EF6" w:rsidP="00651EF6">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-372852</wp:posOffset>
          </wp:positionV>
          <wp:extent cx="3340735" cy="920750"/>
          <wp:effectExtent l="0" t="0" r="0" b="0"/>
          <wp:wrapTight wrapText="bothSides">
            <wp:wrapPolygon edited="0">
              <wp:start x="0" y="0"/>
              <wp:lineTo x="0" y="21004"/>
              <wp:lineTo x="21432" y="21004"/>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3F6"/>
    <w:multiLevelType w:val="multilevel"/>
    <w:tmpl w:val="5E80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12897"/>
    <w:multiLevelType w:val="hybridMultilevel"/>
    <w:tmpl w:val="6AD628A6"/>
    <w:lvl w:ilvl="0" w:tplc="4D504B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A6017"/>
    <w:multiLevelType w:val="multilevel"/>
    <w:tmpl w:val="4E30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48"/>
    <w:rsid w:val="000336B0"/>
    <w:rsid w:val="000419EA"/>
    <w:rsid w:val="000545C7"/>
    <w:rsid w:val="00080609"/>
    <w:rsid w:val="00092D73"/>
    <w:rsid w:val="0009730D"/>
    <w:rsid w:val="000A5D4D"/>
    <w:rsid w:val="000B68D4"/>
    <w:rsid w:val="001006B5"/>
    <w:rsid w:val="00127ED5"/>
    <w:rsid w:val="00167FCD"/>
    <w:rsid w:val="00191699"/>
    <w:rsid w:val="00194695"/>
    <w:rsid w:val="001C4692"/>
    <w:rsid w:val="001E719D"/>
    <w:rsid w:val="002254D5"/>
    <w:rsid w:val="002330B4"/>
    <w:rsid w:val="00284103"/>
    <w:rsid w:val="00284DA7"/>
    <w:rsid w:val="00295E6B"/>
    <w:rsid w:val="002A08E2"/>
    <w:rsid w:val="002E0221"/>
    <w:rsid w:val="003032E1"/>
    <w:rsid w:val="00315E8F"/>
    <w:rsid w:val="003542A3"/>
    <w:rsid w:val="003C0847"/>
    <w:rsid w:val="00462C48"/>
    <w:rsid w:val="00486761"/>
    <w:rsid w:val="00490B3E"/>
    <w:rsid w:val="004921CB"/>
    <w:rsid w:val="004D375C"/>
    <w:rsid w:val="004D5A8D"/>
    <w:rsid w:val="0054398E"/>
    <w:rsid w:val="005C2C9A"/>
    <w:rsid w:val="005F2E01"/>
    <w:rsid w:val="00607129"/>
    <w:rsid w:val="006127A7"/>
    <w:rsid w:val="0064652A"/>
    <w:rsid w:val="00651EF6"/>
    <w:rsid w:val="00660897"/>
    <w:rsid w:val="006B6AAB"/>
    <w:rsid w:val="006C53D2"/>
    <w:rsid w:val="006F64B1"/>
    <w:rsid w:val="0071616A"/>
    <w:rsid w:val="0074593E"/>
    <w:rsid w:val="00763686"/>
    <w:rsid w:val="0076598F"/>
    <w:rsid w:val="007B4478"/>
    <w:rsid w:val="007C2AC3"/>
    <w:rsid w:val="007C6CAD"/>
    <w:rsid w:val="0082354C"/>
    <w:rsid w:val="00831840"/>
    <w:rsid w:val="00887629"/>
    <w:rsid w:val="008B0F71"/>
    <w:rsid w:val="008D0CEB"/>
    <w:rsid w:val="008D1C52"/>
    <w:rsid w:val="008F2253"/>
    <w:rsid w:val="009259FA"/>
    <w:rsid w:val="009C70C5"/>
    <w:rsid w:val="00A3500B"/>
    <w:rsid w:val="00A36985"/>
    <w:rsid w:val="00A904BB"/>
    <w:rsid w:val="00AE2A2A"/>
    <w:rsid w:val="00B328E5"/>
    <w:rsid w:val="00B43403"/>
    <w:rsid w:val="00B44019"/>
    <w:rsid w:val="00B91A6A"/>
    <w:rsid w:val="00B95F1C"/>
    <w:rsid w:val="00BB3A7F"/>
    <w:rsid w:val="00BD2A63"/>
    <w:rsid w:val="00BE37A5"/>
    <w:rsid w:val="00C26E69"/>
    <w:rsid w:val="00C74E2E"/>
    <w:rsid w:val="00C81AB6"/>
    <w:rsid w:val="00C904DA"/>
    <w:rsid w:val="00D14D3F"/>
    <w:rsid w:val="00D64C73"/>
    <w:rsid w:val="00D7388A"/>
    <w:rsid w:val="00D8631B"/>
    <w:rsid w:val="00DF45D3"/>
    <w:rsid w:val="00DF47E2"/>
    <w:rsid w:val="00E23FF7"/>
    <w:rsid w:val="00ED60F7"/>
    <w:rsid w:val="00F17199"/>
    <w:rsid w:val="00F30A76"/>
    <w:rsid w:val="00FA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252768B"/>
  <w15:docId w15:val="{BDF55EF5-7BC8-4545-9C65-875005A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259FA"/>
    <w:pPr>
      <w:keepNext/>
      <w:keepLines/>
      <w:spacing w:before="480" w:after="120" w:line="240" w:lineRule="auto"/>
      <w:outlineLvl w:val="0"/>
    </w:pPr>
    <w:rPr>
      <w:rFonts w:eastAsia="MS Gothic" w:cstheme="minorHAnsi"/>
      <w:b/>
      <w:bCs/>
      <w:u w:val="singl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09"/>
    <w:pPr>
      <w:ind w:left="720"/>
      <w:contextualSpacing/>
    </w:pPr>
  </w:style>
  <w:style w:type="character" w:styleId="Hyperlink">
    <w:name w:val="Hyperlink"/>
    <w:basedOn w:val="DefaultParagraphFont"/>
    <w:uiPriority w:val="99"/>
    <w:unhideWhenUsed/>
    <w:rsid w:val="004D375C"/>
    <w:rPr>
      <w:color w:val="0000FF" w:themeColor="hyperlink"/>
      <w:u w:val="single"/>
    </w:rPr>
  </w:style>
  <w:style w:type="paragraph" w:styleId="Header">
    <w:name w:val="header"/>
    <w:basedOn w:val="Normal"/>
    <w:link w:val="HeaderChar"/>
    <w:uiPriority w:val="99"/>
    <w:unhideWhenUsed/>
    <w:rsid w:val="00284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103"/>
  </w:style>
  <w:style w:type="paragraph" w:styleId="Footer">
    <w:name w:val="footer"/>
    <w:basedOn w:val="Normal"/>
    <w:link w:val="FooterChar"/>
    <w:uiPriority w:val="99"/>
    <w:unhideWhenUsed/>
    <w:rsid w:val="00284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103"/>
  </w:style>
  <w:style w:type="paragraph" w:styleId="BalloonText">
    <w:name w:val="Balloon Text"/>
    <w:basedOn w:val="Normal"/>
    <w:link w:val="BalloonTextChar"/>
    <w:uiPriority w:val="99"/>
    <w:semiHidden/>
    <w:unhideWhenUsed/>
    <w:rsid w:val="0028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03"/>
    <w:rPr>
      <w:rFonts w:ascii="Tahoma" w:hAnsi="Tahoma" w:cs="Tahoma"/>
      <w:sz w:val="16"/>
      <w:szCs w:val="16"/>
    </w:rPr>
  </w:style>
  <w:style w:type="paragraph" w:styleId="NoSpacing">
    <w:name w:val="No Spacing"/>
    <w:link w:val="NoSpacingChar"/>
    <w:uiPriority w:val="1"/>
    <w:qFormat/>
    <w:rsid w:val="00651E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EF6"/>
    <w:rPr>
      <w:rFonts w:eastAsiaTheme="minorEastAsia"/>
      <w:lang w:val="en-US"/>
    </w:rPr>
  </w:style>
  <w:style w:type="character" w:customStyle="1" w:styleId="Heading1Char">
    <w:name w:val="Heading 1 Char"/>
    <w:basedOn w:val="DefaultParagraphFont"/>
    <w:link w:val="Heading1"/>
    <w:uiPriority w:val="9"/>
    <w:rsid w:val="009259FA"/>
    <w:rPr>
      <w:rFonts w:eastAsia="MS Gothic" w:cstheme="minorHAnsi"/>
      <w:b/>
      <w:bCs/>
      <w:u w:val="single"/>
      <w:lang w:val="en-US"/>
    </w:rPr>
  </w:style>
  <w:style w:type="paragraph" w:customStyle="1" w:styleId="Caption1">
    <w:name w:val="Caption 1"/>
    <w:basedOn w:val="Normal"/>
    <w:qFormat/>
    <w:rsid w:val="00D8631B"/>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84800">
      <w:bodyDiv w:val="1"/>
      <w:marLeft w:val="0"/>
      <w:marRight w:val="0"/>
      <w:marTop w:val="0"/>
      <w:marBottom w:val="0"/>
      <w:divBdr>
        <w:top w:val="none" w:sz="0" w:space="0" w:color="auto"/>
        <w:left w:val="none" w:sz="0" w:space="0" w:color="auto"/>
        <w:bottom w:val="none" w:sz="0" w:space="0" w:color="auto"/>
        <w:right w:val="none" w:sz="0" w:space="0" w:color="auto"/>
      </w:divBdr>
    </w:div>
    <w:div w:id="19267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4/6/part/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gov.uk/uksi/2014/1530/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8976C0-4C46-4584-8F33-0F56B2D8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Special educational needs  Policy</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dc:title>
  <dc:subject>Amended April 2020 due to partial closure in response to the outbreak of COVID-19</dc:subject>
  <dc:creator>Jenny Garside</dc:creator>
  <cp:keywords/>
  <dc:description/>
  <cp:lastModifiedBy>Garside, J</cp:lastModifiedBy>
  <cp:revision>12</cp:revision>
  <dcterms:created xsi:type="dcterms:W3CDTF">2019-01-10T13:17:00Z</dcterms:created>
  <dcterms:modified xsi:type="dcterms:W3CDTF">2020-05-06T13:25:00Z</dcterms:modified>
</cp:coreProperties>
</file>