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</w:t>
            </w:r>
            <w:r w:rsidR="00D774C0">
              <w:rPr>
                <w:sz w:val="18"/>
                <w:szCs w:val="18"/>
              </w:rPr>
              <w:t>rld History Core Subject: Year 5</w:t>
            </w:r>
          </w:p>
        </w:tc>
      </w:tr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3C6941">
        <w:tc>
          <w:tcPr>
            <w:tcW w:w="13948" w:type="dxa"/>
            <w:gridSpan w:val="3"/>
            <w:shd w:val="clear" w:color="auto" w:fill="FFFFFF" w:themeFill="background1"/>
          </w:tcPr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Events beyond living memory that are significant nationally or globally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53180B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D774C0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 War Britain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D45A3C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Childhood E</w:t>
            </w:r>
            <w:r w:rsidR="00D774C0">
              <w:rPr>
                <w:sz w:val="18"/>
                <w:szCs w:val="18"/>
              </w:rPr>
              <w:t>xperiences</w:t>
            </w:r>
            <w:r>
              <w:rPr>
                <w:sz w:val="18"/>
                <w:szCs w:val="18"/>
              </w:rPr>
              <w:t xml:space="preserve">  (Improvements in education, housing and healthcare –protection in law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D774C0" w:rsidRDefault="00D774C0" w:rsidP="009101EA">
            <w:pPr>
              <w:rPr>
                <w:sz w:val="18"/>
                <w:szCs w:val="18"/>
              </w:rPr>
            </w:pPr>
            <w:r w:rsidRPr="00D774C0">
              <w:rPr>
                <w:sz w:val="18"/>
                <w:szCs w:val="18"/>
              </w:rPr>
              <w:t xml:space="preserve">How did life change for children </w:t>
            </w:r>
            <w:proofErr w:type="gramStart"/>
            <w:r w:rsidRPr="00D774C0">
              <w:rPr>
                <w:sz w:val="18"/>
                <w:szCs w:val="18"/>
              </w:rPr>
              <w:t>as a result</w:t>
            </w:r>
            <w:proofErr w:type="gramEnd"/>
            <w:r w:rsidRPr="00D774C0">
              <w:rPr>
                <w:sz w:val="18"/>
                <w:szCs w:val="18"/>
              </w:rPr>
              <w:t xml:space="preserve"> of World War 2</w:t>
            </w:r>
            <w:r w:rsidR="003052A7">
              <w:rPr>
                <w:sz w:val="18"/>
                <w:szCs w:val="18"/>
              </w:rPr>
              <w:t>?</w:t>
            </w:r>
          </w:p>
        </w:tc>
      </w:tr>
      <w:tr w:rsidR="00743FD1" w:rsidTr="007C109C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743FD1" w:rsidRPr="006C2472" w:rsidRDefault="00782573" w:rsidP="00743FD1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DA79F2">
              <w:rPr>
                <w:sz w:val="18"/>
                <w:szCs w:val="18"/>
              </w:rPr>
              <w:t xml:space="preserve">Childhood         </w:t>
            </w:r>
            <w:r w:rsidR="0071790F">
              <w:rPr>
                <w:sz w:val="18"/>
                <w:szCs w:val="18"/>
              </w:rPr>
              <w:t>Children’s Rights</w:t>
            </w:r>
            <w:r w:rsidR="00DA79F2">
              <w:rPr>
                <w:sz w:val="18"/>
                <w:szCs w:val="18"/>
              </w:rPr>
              <w:t xml:space="preserve">            Health                    Housing  </w:t>
            </w:r>
            <w:r w:rsidR="0071790F">
              <w:rPr>
                <w:sz w:val="18"/>
                <w:szCs w:val="18"/>
              </w:rPr>
              <w:t xml:space="preserve"> </w:t>
            </w:r>
            <w:r w:rsidR="00DA79F2">
              <w:rPr>
                <w:sz w:val="18"/>
                <w:szCs w:val="18"/>
              </w:rPr>
              <w:t xml:space="preserve">    </w:t>
            </w:r>
            <w:r w:rsidR="0071790F">
              <w:rPr>
                <w:sz w:val="18"/>
                <w:szCs w:val="18"/>
              </w:rPr>
              <w:t>Education</w:t>
            </w:r>
            <w:r w:rsidR="00DA79F2">
              <w:rPr>
                <w:sz w:val="18"/>
                <w:szCs w:val="18"/>
              </w:rPr>
              <w:t xml:space="preserve">               War </w:t>
            </w:r>
          </w:p>
          <w:p w:rsidR="00743FD1" w:rsidRPr="00A93378" w:rsidRDefault="00743FD1" w:rsidP="00231600">
            <w:pPr>
              <w:rPr>
                <w:sz w:val="18"/>
                <w:szCs w:val="18"/>
              </w:rPr>
            </w:pPr>
          </w:p>
        </w:tc>
      </w:tr>
      <w:tr w:rsidR="0053180B" w:rsidTr="007C109C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434AE8" w:rsidRDefault="00770C2A" w:rsidP="005B13C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Know</w:t>
            </w:r>
            <w:r w:rsidR="00BA3486">
              <w:rPr>
                <w:b/>
                <w:sz w:val="18"/>
                <w:szCs w:val="18"/>
              </w:rPr>
              <w:t xml:space="preserve"> </w:t>
            </w:r>
            <w:r w:rsidR="00BA3486" w:rsidRPr="00E50F50">
              <w:rPr>
                <w:sz w:val="18"/>
                <w:szCs w:val="18"/>
              </w:rPr>
              <w:t>key facts about</w:t>
            </w:r>
            <w:r w:rsidRPr="00434AE8">
              <w:rPr>
                <w:b/>
                <w:sz w:val="18"/>
                <w:szCs w:val="18"/>
              </w:rPr>
              <w:t xml:space="preserve"> </w:t>
            </w:r>
            <w:r w:rsidRPr="00434AE8">
              <w:rPr>
                <w:sz w:val="18"/>
                <w:szCs w:val="18"/>
              </w:rPr>
              <w:t>significant events and people on the chronological time line in the context of the local area</w:t>
            </w:r>
            <w:r w:rsidR="009101EA">
              <w:rPr>
                <w:sz w:val="18"/>
                <w:szCs w:val="18"/>
              </w:rPr>
              <w:t xml:space="preserve">, United Kingdom </w:t>
            </w:r>
            <w:r w:rsidR="00BA3486">
              <w:rPr>
                <w:sz w:val="18"/>
                <w:szCs w:val="18"/>
              </w:rPr>
              <w:t>and wider world</w:t>
            </w:r>
          </w:p>
          <w:p w:rsidR="00770C2A" w:rsidRPr="0061625F" w:rsidRDefault="00770C2A" w:rsidP="00434AE8">
            <w:pPr>
              <w:rPr>
                <w:b/>
                <w:sz w:val="18"/>
                <w:szCs w:val="18"/>
              </w:rPr>
            </w:pPr>
          </w:p>
          <w:p w:rsidR="00BA3486" w:rsidRDefault="00770C2A" w:rsidP="003A56CE">
            <w:pPr>
              <w:rPr>
                <w:rFonts w:cstheme="minorHAnsi"/>
                <w:b/>
                <w:sz w:val="18"/>
                <w:szCs w:val="18"/>
              </w:rPr>
            </w:pPr>
            <w:r w:rsidRPr="0061625F">
              <w:rPr>
                <w:b/>
                <w:sz w:val="18"/>
                <w:szCs w:val="18"/>
              </w:rPr>
              <w:t>Specific</w:t>
            </w:r>
            <w:r w:rsidR="00BA3486" w:rsidRPr="0061625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92FD0">
              <w:rPr>
                <w:rFonts w:cstheme="minorHAnsi"/>
                <w:b/>
                <w:sz w:val="18"/>
                <w:szCs w:val="18"/>
              </w:rPr>
              <w:t xml:space="preserve">War Time </w:t>
            </w:r>
            <w:r w:rsidR="00A75466">
              <w:rPr>
                <w:rFonts w:cstheme="minorHAnsi"/>
                <w:b/>
                <w:sz w:val="18"/>
                <w:szCs w:val="18"/>
              </w:rPr>
              <w:t xml:space="preserve">Chronology </w:t>
            </w:r>
          </w:p>
          <w:p w:rsidR="00A75466" w:rsidRPr="00DA79F2" w:rsidRDefault="00A75466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the dates Britain became involved in the conflict and why</w:t>
            </w:r>
          </w:p>
          <w:p w:rsidR="00317B0B" w:rsidRPr="00DA79F2" w:rsidRDefault="00317B0B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cities were a target for bombing</w:t>
            </w:r>
          </w:p>
          <w:p w:rsidR="00A75466" w:rsidRPr="00DA79F2" w:rsidRDefault="00A75466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children were evacuated </w:t>
            </w:r>
            <w:r w:rsidR="00317B0B" w:rsidRPr="00DA79F2">
              <w:rPr>
                <w:rFonts w:cstheme="minorHAnsi"/>
                <w:sz w:val="18"/>
                <w:szCs w:val="18"/>
              </w:rPr>
              <w:t>for safety and w</w:t>
            </w:r>
            <w:r w:rsidRPr="00DA79F2">
              <w:rPr>
                <w:rFonts w:cstheme="minorHAnsi"/>
                <w:sz w:val="18"/>
                <w:szCs w:val="18"/>
              </w:rPr>
              <w:t>ere alienated from their families</w:t>
            </w:r>
          </w:p>
          <w:p w:rsidR="00A75466" w:rsidRPr="00DA79F2" w:rsidRDefault="00A75466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many children lost their homes</w:t>
            </w:r>
            <w:r w:rsidR="00871264" w:rsidRPr="00DA79F2">
              <w:rPr>
                <w:rFonts w:cstheme="minorHAnsi"/>
                <w:sz w:val="18"/>
                <w:szCs w:val="18"/>
              </w:rPr>
              <w:t xml:space="preserve"> and families</w:t>
            </w:r>
            <w:r w:rsidRPr="00DA79F2">
              <w:rPr>
                <w:rFonts w:cstheme="minorHAnsi"/>
                <w:sz w:val="18"/>
                <w:szCs w:val="18"/>
              </w:rPr>
              <w:t xml:space="preserve"> due to</w:t>
            </w:r>
            <w:r w:rsidR="00317B0B" w:rsidRPr="00DA79F2">
              <w:rPr>
                <w:rFonts w:cstheme="minorHAnsi"/>
                <w:sz w:val="18"/>
                <w:szCs w:val="18"/>
              </w:rPr>
              <w:t xml:space="preserve"> the</w:t>
            </w:r>
            <w:r w:rsidRPr="00DA79F2">
              <w:rPr>
                <w:rFonts w:cstheme="minorHAnsi"/>
                <w:sz w:val="18"/>
                <w:szCs w:val="18"/>
              </w:rPr>
              <w:t xml:space="preserve"> bombings</w:t>
            </w:r>
            <w:r w:rsidR="00871264" w:rsidRPr="00DA79F2">
              <w:rPr>
                <w:rFonts w:cstheme="minorHAnsi"/>
                <w:sz w:val="18"/>
                <w:szCs w:val="18"/>
              </w:rPr>
              <w:t xml:space="preserve"> </w:t>
            </w:r>
            <w:r w:rsidR="00317B0B" w:rsidRPr="00DA79F2">
              <w:rPr>
                <w:rFonts w:cstheme="minorHAnsi"/>
                <w:sz w:val="18"/>
                <w:szCs w:val="18"/>
              </w:rPr>
              <w:t>of cities</w:t>
            </w:r>
          </w:p>
          <w:p w:rsidR="00871264" w:rsidRPr="00DA79F2" w:rsidRDefault="00871264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many children lost parents due to bombing</w:t>
            </w:r>
            <w:r w:rsidR="00492FD0" w:rsidRPr="00DA79F2">
              <w:rPr>
                <w:rFonts w:cstheme="minorHAnsi"/>
                <w:sz w:val="18"/>
                <w:szCs w:val="18"/>
              </w:rPr>
              <w:t xml:space="preserve"> and participation in the military services</w:t>
            </w:r>
          </w:p>
          <w:p w:rsidR="00492FD0" w:rsidRPr="00DA79F2" w:rsidRDefault="00871264" w:rsidP="00492FD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many children had their education disrupted due to evacuation and displacement</w:t>
            </w:r>
          </w:p>
          <w:p w:rsidR="00492FD0" w:rsidRPr="00DA79F2" w:rsidRDefault="00492FD0" w:rsidP="00492FD0">
            <w:pPr>
              <w:rPr>
                <w:rFonts w:cstheme="minorHAnsi"/>
                <w:sz w:val="18"/>
                <w:szCs w:val="18"/>
              </w:rPr>
            </w:pPr>
          </w:p>
          <w:p w:rsidR="00492FD0" w:rsidRPr="00DA79F2" w:rsidRDefault="00492FD0" w:rsidP="00492FD0">
            <w:pPr>
              <w:rPr>
                <w:rFonts w:cstheme="minorHAnsi"/>
                <w:b/>
                <w:sz w:val="18"/>
                <w:szCs w:val="18"/>
              </w:rPr>
            </w:pPr>
            <w:r w:rsidRPr="00DA79F2">
              <w:rPr>
                <w:rFonts w:cstheme="minorHAnsi"/>
                <w:b/>
                <w:sz w:val="18"/>
                <w:szCs w:val="18"/>
              </w:rPr>
              <w:t>Specific Post War Themes</w:t>
            </w:r>
          </w:p>
          <w:p w:rsidR="00492FD0" w:rsidRPr="000D45A8" w:rsidRDefault="00A6442B" w:rsidP="008E7D1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18"/>
                <w:szCs w:val="18"/>
              </w:rPr>
            </w:pPr>
            <w:r w:rsidRPr="00A6442B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</w:rPr>
              <w:t>Know</w:t>
            </w:r>
            <w:r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‘</w:t>
            </w:r>
            <w:r w:rsidR="00492FD0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The United Nations Convention on the Rights of the Child</w:t>
            </w:r>
            <w:r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’</w:t>
            </w:r>
            <w:r w:rsidR="00492FD0" w:rsidRPr="00DA79F2">
              <w:rPr>
                <w:rStyle w:val="Strong"/>
                <w:rFonts w:cstheme="minorHAnsi"/>
                <w:color w:val="111111"/>
                <w:sz w:val="18"/>
                <w:szCs w:val="18"/>
              </w:rPr>
              <w:t xml:space="preserve"> (UNCRC)</w:t>
            </w:r>
            <w:r w:rsidR="00492FD0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is an international human rights treaty that recognises and protects the human rights of children. It </w:t>
            </w:r>
            <w:proofErr w:type="gramStart"/>
            <w:r w:rsidR="00492FD0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was unanimously adopted</w:t>
            </w:r>
            <w:proofErr w:type="gramEnd"/>
            <w:r w:rsidR="00492FD0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by the UN General Assembly in 1989 and is the most widely ratified international human rights instrument.</w:t>
            </w:r>
            <w:r w:rsidR="000D45A8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="000D45A8" w:rsidRPr="000D45A8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</w:rPr>
              <w:t>(Article 42 UNCRC)</w:t>
            </w:r>
          </w:p>
          <w:p w:rsidR="00871264" w:rsidRPr="00DA79F2" w:rsidRDefault="00871264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6442B">
              <w:rPr>
                <w:rFonts w:cstheme="minorHAnsi"/>
                <w:b/>
                <w:sz w:val="18"/>
                <w:szCs w:val="18"/>
              </w:rPr>
              <w:t>Know</w:t>
            </w:r>
            <w:r w:rsidRPr="00DA79F2">
              <w:rPr>
                <w:rFonts w:cstheme="minorHAnsi"/>
                <w:sz w:val="18"/>
                <w:szCs w:val="18"/>
              </w:rPr>
              <w:t xml:space="preserve"> </w:t>
            </w:r>
            <w:r w:rsidR="000D45A8" w:rsidRPr="00DA79F2">
              <w:rPr>
                <w:rFonts w:cstheme="minorHAnsi"/>
                <w:sz w:val="18"/>
                <w:szCs w:val="18"/>
              </w:rPr>
              <w:t>post-war</w:t>
            </w:r>
            <w:r w:rsidRPr="00DA79F2">
              <w:rPr>
                <w:rFonts w:cstheme="minorHAnsi"/>
                <w:sz w:val="18"/>
                <w:szCs w:val="18"/>
              </w:rPr>
              <w:t xml:space="preserve"> Britain </w:t>
            </w:r>
            <w:r w:rsidR="00C47A44" w:rsidRPr="00DA79F2">
              <w:rPr>
                <w:rStyle w:val="Strong"/>
                <w:rFonts w:cstheme="minorHAnsi"/>
                <w:color w:val="111111"/>
                <w:sz w:val="18"/>
                <w:szCs w:val="18"/>
              </w:rPr>
              <w:t>Prefabs</w:t>
            </w:r>
            <w:r w:rsidR="00C47A44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(prefabricated homes) were a major part of the delivery plan to address the United Kingdom's post–Second World War housing shortage. They were envisaged by </w:t>
            </w:r>
            <w:proofErr w:type="gramStart"/>
            <w:r w:rsidR="00C47A44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war-time</w:t>
            </w:r>
            <w:proofErr w:type="gramEnd"/>
            <w:r w:rsidR="00C47A44"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prime minister Winston Churchill in March 1944, and legally outlined in the Housing (Temporary Accommodation) Act 1944.</w:t>
            </w:r>
            <w:r w:rsidR="000E260C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(Article 27 UNCRC)</w:t>
            </w:r>
          </w:p>
          <w:p w:rsidR="00317B0B" w:rsidRPr="00DA79F2" w:rsidRDefault="00317B0B" w:rsidP="00C47A4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K</w:t>
            </w:r>
            <w:r w:rsidRPr="00A6442B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</w:rPr>
              <w:t>now</w:t>
            </w:r>
            <w:r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the education system was overhauled in </w:t>
            </w:r>
            <w:proofErr w:type="spellStart"/>
            <w:r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postwar</w:t>
            </w:r>
            <w:proofErr w:type="spellEnd"/>
            <w:r w:rsidRPr="00DA79F2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Britain to remove inequalities in education</w:t>
            </w:r>
            <w:r w:rsidR="000D45A8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(</w:t>
            </w:r>
            <w:r w:rsidR="000D45A8" w:rsidRPr="000D45A8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</w:rPr>
              <w:t>Article 28</w:t>
            </w:r>
            <w:r w:rsidR="000D45A8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</w:rPr>
              <w:t xml:space="preserve"> UNCRC</w:t>
            </w:r>
            <w:r w:rsidR="000D45A8" w:rsidRPr="000D45A8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</w:rPr>
              <w:t>)</w:t>
            </w:r>
          </w:p>
          <w:p w:rsidR="00A75466" w:rsidRPr="00DA79F2" w:rsidRDefault="000D45A8" w:rsidP="00317B0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lastRenderedPageBreak/>
              <w:t>Know i</w:t>
            </w:r>
            <w:r w:rsidR="00317B0B" w:rsidRPr="00DA79F2">
              <w:rPr>
                <w:rFonts w:cstheme="minorHAnsi"/>
                <w:color w:val="231F20"/>
                <w:sz w:val="18"/>
                <w:szCs w:val="18"/>
              </w:rPr>
              <w:t xml:space="preserve">n 1942, a civil servant named William Beveridge produced a report, </w:t>
            </w:r>
            <w:r w:rsidR="00317B0B" w:rsidRPr="00DA79F2">
              <w:rPr>
                <w:rStyle w:val="Strong"/>
                <w:rFonts w:cstheme="minorHAnsi"/>
                <w:color w:val="231F20"/>
                <w:sz w:val="18"/>
                <w:szCs w:val="18"/>
              </w:rPr>
              <w:t>the Beveridge Report</w:t>
            </w:r>
            <w:r w:rsidR="00317B0B" w:rsidRPr="00DA79F2">
              <w:rPr>
                <w:rFonts w:cstheme="minorHAnsi"/>
                <w:color w:val="231F20"/>
                <w:sz w:val="18"/>
                <w:szCs w:val="18"/>
              </w:rPr>
              <w:t>, which identified five evil giants - want, disease, ignorance, squalor and idleness. In identifying disease as a barrier to progress, he proposed a free national health service</w:t>
            </w:r>
            <w:r w:rsidR="00172E35">
              <w:rPr>
                <w:rFonts w:cstheme="minorHAnsi"/>
                <w:color w:val="231F20"/>
                <w:sz w:val="18"/>
                <w:szCs w:val="18"/>
              </w:rPr>
              <w:t>.</w:t>
            </w:r>
            <w:r>
              <w:rPr>
                <w:rFonts w:cstheme="minorHAnsi"/>
                <w:color w:val="231F20"/>
                <w:sz w:val="18"/>
                <w:szCs w:val="18"/>
              </w:rPr>
              <w:t xml:space="preserve"> </w:t>
            </w:r>
            <w:r w:rsidRPr="000D45A8">
              <w:rPr>
                <w:rFonts w:cstheme="minorHAnsi"/>
                <w:b/>
                <w:color w:val="231F20"/>
                <w:sz w:val="18"/>
                <w:szCs w:val="18"/>
              </w:rPr>
              <w:t>(Article 24 UNCRC)</w:t>
            </w: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A00BA5" w:rsidRDefault="00A00BA5" w:rsidP="00770C2A">
            <w:pPr>
              <w:rPr>
                <w:sz w:val="18"/>
                <w:szCs w:val="18"/>
              </w:rPr>
            </w:pPr>
          </w:p>
          <w:p w:rsidR="00770C2A" w:rsidRPr="00770C2A" w:rsidRDefault="00770C2A" w:rsidP="00770C2A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</w:tcPr>
          <w:p w:rsidR="00CA3E69" w:rsidRPr="00363F6D" w:rsidRDefault="00CA3E69" w:rsidP="00CA3E69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lastRenderedPageBreak/>
              <w:t>Generic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regularly address and sometimes devise historically valid questions about change, cause, similarity and difference, and significance. 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select and organise key historical information when researching a question in a historical period.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sz w:val="18"/>
                <w:szCs w:val="18"/>
              </w:rPr>
              <w:t xml:space="preserve">They should understand how our knowledge of the past </w:t>
            </w:r>
            <w:proofErr w:type="gramStart"/>
            <w:r w:rsidRPr="00B76E34">
              <w:rPr>
                <w:sz w:val="18"/>
                <w:szCs w:val="18"/>
              </w:rPr>
              <w:t>is constructed</w:t>
            </w:r>
            <w:proofErr w:type="gramEnd"/>
            <w:r w:rsidRPr="00B76E34">
              <w:rPr>
                <w:sz w:val="18"/>
                <w:szCs w:val="18"/>
              </w:rPr>
              <w:t xml:space="preserve"> from a range of sources. </w:t>
            </w:r>
          </w:p>
          <w:p w:rsidR="00007CF7" w:rsidRPr="0062582A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62582A">
              <w:rPr>
                <w:sz w:val="18"/>
                <w:szCs w:val="18"/>
              </w:rPr>
              <w:t xml:space="preserve">They should construct informed responses that involve thoughtful selection and organisation of relevant historical information. 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  <w:r w:rsidRPr="00A40C88">
              <w:rPr>
                <w:b/>
                <w:sz w:val="18"/>
                <w:szCs w:val="18"/>
              </w:rPr>
              <w:t xml:space="preserve"> 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B353D">
              <w:rPr>
                <w:sz w:val="18"/>
                <w:szCs w:val="18"/>
              </w:rPr>
              <w:t xml:space="preserve">Pupils should continue to develop a chronologically secure knowledge and understanding of British, local and world history, establishing clear narratives within and across the </w:t>
            </w:r>
            <w:proofErr w:type="gramStart"/>
            <w:r w:rsidRPr="00BB353D">
              <w:rPr>
                <w:sz w:val="18"/>
                <w:szCs w:val="18"/>
              </w:rPr>
              <w:t>periods</w:t>
            </w:r>
            <w:proofErr w:type="gramEnd"/>
            <w:r w:rsidRPr="00BB353D">
              <w:rPr>
                <w:sz w:val="18"/>
                <w:szCs w:val="18"/>
              </w:rPr>
              <w:t xml:space="preserve"> they study. </w:t>
            </w:r>
          </w:p>
          <w:p w:rsidR="00007CF7" w:rsidRPr="00007CF7" w:rsidRDefault="00007CF7" w:rsidP="00C2355C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07CF7">
              <w:rPr>
                <w:sz w:val="18"/>
                <w:szCs w:val="18"/>
              </w:rPr>
              <w:t xml:space="preserve">They should note connections, contrasts and trends over time and develop the appropriate use of historical terms. </w:t>
            </w:r>
          </w:p>
          <w:p w:rsidR="00CA3E69" w:rsidRDefault="00CA3E69" w:rsidP="00CA3E69">
            <w:pPr>
              <w:pStyle w:val="Default"/>
              <w:rPr>
                <w:sz w:val="18"/>
                <w:szCs w:val="18"/>
              </w:rPr>
            </w:pPr>
          </w:p>
          <w:p w:rsidR="001163DF" w:rsidRDefault="001163DF" w:rsidP="00CA3E69">
            <w:pPr>
              <w:pStyle w:val="Default"/>
              <w:rPr>
                <w:sz w:val="18"/>
                <w:szCs w:val="18"/>
              </w:rPr>
            </w:pPr>
          </w:p>
          <w:p w:rsidR="001163DF" w:rsidRDefault="001163DF" w:rsidP="00CA3E69">
            <w:pPr>
              <w:pStyle w:val="Default"/>
              <w:rPr>
                <w:sz w:val="18"/>
                <w:szCs w:val="18"/>
              </w:rPr>
            </w:pPr>
          </w:p>
          <w:p w:rsidR="001163DF" w:rsidRDefault="001163DF" w:rsidP="00CA3E69">
            <w:pPr>
              <w:pStyle w:val="Default"/>
              <w:rPr>
                <w:sz w:val="18"/>
                <w:szCs w:val="18"/>
              </w:rPr>
            </w:pPr>
          </w:p>
          <w:p w:rsidR="001163DF" w:rsidRDefault="001163DF" w:rsidP="00CA3E69">
            <w:pPr>
              <w:pStyle w:val="Default"/>
              <w:rPr>
                <w:sz w:val="18"/>
                <w:szCs w:val="18"/>
              </w:rPr>
            </w:pPr>
          </w:p>
          <w:p w:rsidR="00CA3E69" w:rsidRDefault="00CA3E69" w:rsidP="00CA3E69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lastRenderedPageBreak/>
              <w:t>Specific</w:t>
            </w:r>
          </w:p>
          <w:p w:rsidR="00CA3E69" w:rsidRPr="00A27BED" w:rsidRDefault="00CA3E69" w:rsidP="00D774C0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3E1B4C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place </w:t>
            </w:r>
            <w:r w:rsidR="00D774C0">
              <w:rPr>
                <w:sz w:val="18"/>
                <w:szCs w:val="18"/>
              </w:rPr>
              <w:t>pre-war, world war 2 and post war Britain on the historical time line</w:t>
            </w:r>
          </w:p>
          <w:p w:rsidR="00CA3E69" w:rsidRDefault="00CA3E69" w:rsidP="0075363C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3E1B4C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</w:t>
            </w:r>
            <w:r w:rsidR="00DF566E">
              <w:rPr>
                <w:sz w:val="18"/>
                <w:szCs w:val="18"/>
              </w:rPr>
              <w:t xml:space="preserve">mation when researching </w:t>
            </w:r>
            <w:r w:rsidR="0075363C">
              <w:rPr>
                <w:sz w:val="18"/>
                <w:szCs w:val="18"/>
              </w:rPr>
              <w:t>historica</w:t>
            </w:r>
            <w:r w:rsidR="00D774C0">
              <w:rPr>
                <w:sz w:val="18"/>
                <w:szCs w:val="18"/>
              </w:rPr>
              <w:t>l questions about the period</w:t>
            </w:r>
          </w:p>
          <w:p w:rsidR="00770C2A" w:rsidRPr="00D774C0" w:rsidRDefault="00A27BED" w:rsidP="00770C2A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3E1B4C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establish a historical narrative about </w:t>
            </w:r>
            <w:r w:rsidR="00D774C0">
              <w:rPr>
                <w:sz w:val="18"/>
                <w:szCs w:val="18"/>
              </w:rPr>
              <w:t xml:space="preserve"> events and themes in the pre and post war periods and during the war years</w:t>
            </w:r>
          </w:p>
          <w:p w:rsidR="00770C2A" w:rsidRPr="000250CF" w:rsidRDefault="00770C2A" w:rsidP="00770C2A">
            <w:pPr>
              <w:pStyle w:val="Default"/>
              <w:rPr>
                <w:sz w:val="18"/>
                <w:szCs w:val="18"/>
              </w:rPr>
            </w:pPr>
          </w:p>
        </w:tc>
      </w:tr>
      <w:tr w:rsidR="00770C2A" w:rsidTr="007C109C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70C2A" w:rsidRDefault="00871264" w:rsidP="003A5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PSCHE (</w:t>
            </w:r>
            <w:r w:rsidR="00DA79F2">
              <w:rPr>
                <w:sz w:val="18"/>
                <w:szCs w:val="18"/>
              </w:rPr>
              <w:t xml:space="preserve">United Nations Convention of the </w:t>
            </w:r>
            <w:r>
              <w:rPr>
                <w:sz w:val="18"/>
                <w:szCs w:val="18"/>
              </w:rPr>
              <w:t xml:space="preserve">Rights </w:t>
            </w:r>
            <w:r w:rsidR="00DA79F2">
              <w:rPr>
                <w:sz w:val="18"/>
                <w:szCs w:val="18"/>
              </w:rPr>
              <w:t>of the Child</w:t>
            </w:r>
          </w:p>
          <w:p w:rsidR="00DA79F2" w:rsidRPr="00DA79F2" w:rsidRDefault="00DA79F2" w:rsidP="003A56CE">
            <w:pPr>
              <w:rPr>
                <w:b/>
                <w:sz w:val="18"/>
                <w:szCs w:val="18"/>
              </w:rPr>
            </w:pPr>
            <w:r w:rsidRPr="00DA79F2">
              <w:rPr>
                <w:b/>
                <w:sz w:val="18"/>
                <w:szCs w:val="18"/>
              </w:rPr>
              <w:t>N.B Children do not negotiate their rights for responsibilities. They are inalienable rights as opposed to a social contract</w:t>
            </w:r>
          </w:p>
          <w:p w:rsidR="0075363C" w:rsidRDefault="0075363C" w:rsidP="003A56CE">
            <w:pPr>
              <w:rPr>
                <w:sz w:val="18"/>
                <w:szCs w:val="18"/>
              </w:rPr>
            </w:pPr>
          </w:p>
        </w:tc>
      </w:tr>
      <w:tr w:rsidR="003E70D6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Default="005F288C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Historical </w:t>
            </w:r>
            <w:r w:rsidR="003E70D6" w:rsidRPr="0053180B">
              <w:rPr>
                <w:sz w:val="18"/>
                <w:szCs w:val="18"/>
              </w:rPr>
              <w:t>Vocabulary</w:t>
            </w:r>
            <w:r w:rsidR="00EC7DBA">
              <w:rPr>
                <w:sz w:val="18"/>
                <w:szCs w:val="18"/>
              </w:rPr>
              <w:t xml:space="preserve"> (Non exhaustive)</w:t>
            </w:r>
          </w:p>
        </w:tc>
      </w:tr>
      <w:tr w:rsidR="0075363C" w:rsidTr="0075363C">
        <w:tc>
          <w:tcPr>
            <w:tcW w:w="13948" w:type="dxa"/>
            <w:gridSpan w:val="3"/>
            <w:shd w:val="clear" w:color="auto" w:fill="auto"/>
          </w:tcPr>
          <w:p w:rsidR="0075363C" w:rsidRPr="00A41BE4" w:rsidRDefault="001163DF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War, blitz,   (Holocaust –displaced children-United Nations Conventions of the Rights of the Chold)</w:t>
            </w:r>
            <w:bookmarkStart w:id="0" w:name="_GoBack"/>
            <w:bookmarkEnd w:id="0"/>
            <w:r w:rsidR="00A41BE4" w:rsidRPr="00A41BE4">
              <w:rPr>
                <w:sz w:val="18"/>
                <w:szCs w:val="18"/>
              </w:rPr>
              <w:t xml:space="preserve"> Jewish, Allies, Axis ,Chronological ,Timeline, Artefacts, Invade, Prejudice, Nazi, Primary sources, Secondary sources, Blitzkrieg, Education, Housing, Health Care, </w:t>
            </w:r>
            <w:r w:rsidR="003F19D5">
              <w:rPr>
                <w:sz w:val="18"/>
                <w:szCs w:val="18"/>
              </w:rPr>
              <w:t>United Nations Convention of the Rights of the Child, Education Acts, Housing Acts, National Health Service</w:t>
            </w:r>
            <w:r w:rsidR="00075B0C">
              <w:rPr>
                <w:sz w:val="18"/>
                <w:szCs w:val="18"/>
              </w:rPr>
              <w:t xml:space="preserve">, </w:t>
            </w:r>
            <w:r w:rsidR="00172E35">
              <w:rPr>
                <w:sz w:val="18"/>
                <w:szCs w:val="18"/>
              </w:rPr>
              <w:t xml:space="preserve">William Beverage,  </w:t>
            </w:r>
            <w:r w:rsidR="00075B0C">
              <w:rPr>
                <w:sz w:val="18"/>
                <w:szCs w:val="18"/>
              </w:rPr>
              <w:t xml:space="preserve">British Values. Democracy, Rule of Law, Respect, Tolerance, </w:t>
            </w:r>
            <w:r w:rsidR="00172E35" w:rsidRPr="00DA79F2">
              <w:rPr>
                <w:rFonts w:cstheme="minorHAnsi"/>
                <w:color w:val="231F20"/>
                <w:sz w:val="18"/>
                <w:szCs w:val="18"/>
              </w:rPr>
              <w:t>five evil giants - want, disease, ignorance, squalor and idleness. In identifying disease</w:t>
            </w:r>
          </w:p>
        </w:tc>
      </w:tr>
      <w:tr w:rsidR="00A93378" w:rsidTr="007C109C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834711" w:rsidRDefault="00834711" w:rsidP="005E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834711" w:rsidRDefault="00834711" w:rsidP="005E1A75">
            <w:pPr>
              <w:rPr>
                <w:sz w:val="18"/>
                <w:szCs w:val="18"/>
              </w:rPr>
            </w:pPr>
          </w:p>
          <w:p w:rsidR="0075363C" w:rsidRDefault="00D54271" w:rsidP="005E1A75">
            <w:pPr>
              <w:rPr>
                <w:sz w:val="18"/>
                <w:szCs w:val="18"/>
              </w:rPr>
            </w:pPr>
            <w:r w:rsidRPr="005E1A75">
              <w:rPr>
                <w:sz w:val="18"/>
                <w:szCs w:val="18"/>
              </w:rPr>
              <w:t xml:space="preserve">Year 1 </w:t>
            </w:r>
          </w:p>
          <w:p w:rsidR="00D54271" w:rsidRPr="00834711" w:rsidRDefault="00D54271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834711">
              <w:rPr>
                <w:sz w:val="18"/>
                <w:szCs w:val="18"/>
              </w:rPr>
              <w:t>Battle of Hastings</w:t>
            </w:r>
            <w:r w:rsidR="00834711" w:rsidRPr="00834711">
              <w:rPr>
                <w:sz w:val="18"/>
                <w:szCs w:val="18"/>
              </w:rPr>
              <w:t xml:space="preserve"> (Invasion)</w:t>
            </w:r>
          </w:p>
          <w:p w:rsidR="009D42C2" w:rsidRDefault="007077D8" w:rsidP="005E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</w:t>
            </w:r>
          </w:p>
          <w:p w:rsidR="009D42C2" w:rsidRPr="009D42C2" w:rsidRDefault="009D42C2" w:rsidP="009D42C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D42C2">
              <w:rPr>
                <w:sz w:val="18"/>
                <w:szCs w:val="18"/>
              </w:rPr>
              <w:t>The Great Fire of London</w:t>
            </w:r>
          </w:p>
          <w:p w:rsidR="009D42C2" w:rsidRDefault="009D42C2" w:rsidP="005E1A75">
            <w:pPr>
              <w:rPr>
                <w:sz w:val="18"/>
                <w:szCs w:val="18"/>
              </w:rPr>
            </w:pPr>
          </w:p>
          <w:p w:rsidR="0075363C" w:rsidRDefault="0075363C" w:rsidP="005E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3 </w:t>
            </w:r>
          </w:p>
          <w:p w:rsidR="0075363C" w:rsidRPr="00834711" w:rsidRDefault="0075363C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834711">
              <w:rPr>
                <w:sz w:val="18"/>
                <w:szCs w:val="18"/>
              </w:rPr>
              <w:t xml:space="preserve">The Vikings </w:t>
            </w:r>
            <w:r w:rsidR="00834711" w:rsidRPr="00834711">
              <w:rPr>
                <w:sz w:val="18"/>
                <w:szCs w:val="18"/>
              </w:rPr>
              <w:t>(Invasion)</w:t>
            </w:r>
          </w:p>
          <w:p w:rsidR="00D54271" w:rsidRDefault="00834711" w:rsidP="00CF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</w:t>
            </w:r>
          </w:p>
          <w:p w:rsidR="00834711" w:rsidRPr="00834711" w:rsidRDefault="00586F12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Tudors</w:t>
            </w:r>
          </w:p>
        </w:tc>
        <w:tc>
          <w:tcPr>
            <w:tcW w:w="5811" w:type="dxa"/>
            <w:shd w:val="clear" w:color="auto" w:fill="FFFFFF" w:themeFill="background1"/>
          </w:tcPr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Ask historically valid questions.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 xml:space="preserve">Develop critical thinking </w:t>
            </w:r>
            <w:r w:rsidR="00FA56EC" w:rsidRPr="00A6442B">
              <w:rPr>
                <w:sz w:val="18"/>
                <w:szCs w:val="18"/>
              </w:rPr>
              <w:t>– question the historical narrat</w:t>
            </w:r>
            <w:r w:rsidR="001163DF">
              <w:rPr>
                <w:sz w:val="18"/>
                <w:szCs w:val="18"/>
              </w:rPr>
              <w:t>ives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 xml:space="preserve">Identify historical themes 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Evaluate primary sources as historical evidence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 xml:space="preserve">Construct an </w:t>
            </w:r>
            <w:r w:rsidRPr="00A6442B">
              <w:rPr>
                <w:b/>
                <w:sz w:val="18"/>
                <w:szCs w:val="18"/>
              </w:rPr>
              <w:t xml:space="preserve">objective </w:t>
            </w:r>
            <w:r w:rsidRPr="00A6442B">
              <w:rPr>
                <w:sz w:val="18"/>
                <w:szCs w:val="18"/>
              </w:rPr>
              <w:t>historical narratives draw from a range of evidence</w:t>
            </w: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D54271" w:rsidRPr="00D54271" w:rsidRDefault="00D54271" w:rsidP="00D5427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6 Ancient Greece</w:t>
            </w:r>
            <w:r w:rsidR="00834711">
              <w:rPr>
                <w:sz w:val="18"/>
                <w:szCs w:val="18"/>
              </w:rPr>
              <w:t xml:space="preserve"> (Democracy)</w:t>
            </w:r>
          </w:p>
        </w:tc>
      </w:tr>
      <w:tr w:rsidR="00D54271" w:rsidTr="007C109C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1B1A11" w:rsidRDefault="001B1A11" w:rsidP="001B1A11">
            <w:pPr>
              <w:rPr>
                <w:sz w:val="18"/>
                <w:szCs w:val="18"/>
              </w:rPr>
            </w:pPr>
            <w:r w:rsidRPr="001005FA">
              <w:rPr>
                <w:sz w:val="18"/>
                <w:szCs w:val="18"/>
              </w:rPr>
              <w:t>Begin to organise, group and present findings in</w:t>
            </w:r>
            <w:r>
              <w:rPr>
                <w:sz w:val="18"/>
                <w:szCs w:val="18"/>
              </w:rPr>
              <w:t xml:space="preserve"> short paragraphs with headings in order to structure responses to historical questions. This includes</w:t>
            </w:r>
          </w:p>
          <w:p w:rsidR="002F654A" w:rsidRPr="000B1C5D" w:rsidRDefault="002F654A" w:rsidP="002F65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B1C5D">
              <w:rPr>
                <w:sz w:val="18"/>
                <w:szCs w:val="18"/>
              </w:rPr>
              <w:t>Independently plan, organise, group and present findings in short paragraphs with increasing precision. Focus on using historical vocabulary and terms.</w:t>
            </w:r>
          </w:p>
          <w:p w:rsidR="002F654A" w:rsidRPr="00CA3271" w:rsidRDefault="002F654A" w:rsidP="002F65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Independently organise historical material to write a non-chronological report using a wide range of evidence.</w:t>
            </w:r>
          </w:p>
          <w:p w:rsidR="002F654A" w:rsidRPr="00CA3271" w:rsidRDefault="002F654A" w:rsidP="002F65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lastRenderedPageBreak/>
              <w:t xml:space="preserve">Independently organise historical material to write detailed historical recounts about key events in history in chronological order. </w:t>
            </w:r>
          </w:p>
          <w:p w:rsidR="002F654A" w:rsidRPr="00CA3271" w:rsidRDefault="002F654A" w:rsidP="002F65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Write detailed biography about a key historical figure. Themed and/or chronologically using biographical conventions from a wide range of sources.</w:t>
            </w:r>
          </w:p>
          <w:p w:rsidR="002F654A" w:rsidRPr="00CA3271" w:rsidRDefault="002F654A" w:rsidP="002F65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Write detailed historical report identifying continuity and change over time about a given historical theme drawn from a range of evidence.</w:t>
            </w:r>
          </w:p>
          <w:p w:rsidR="00D54271" w:rsidRPr="00A93378" w:rsidRDefault="002F654A" w:rsidP="002F65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Write persuasive arguments based upon a wide range of historical evidence.</w:t>
            </w: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7C109C"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7C109C" w:rsidRPr="00A93378" w:rsidRDefault="00834711" w:rsidP="007C109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Museums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34448D">
    <w:pPr>
      <w:pStyle w:val="Footer"/>
    </w:pPr>
    <w:r>
      <w:t>Year 5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 w:rsidR="00D774C0">
      <w:t xml:space="preserve"> History Curriculum Year </w:t>
    </w:r>
    <w:proofErr w:type="gramStart"/>
    <w:r w:rsidR="00D774C0">
      <w:t>5</w:t>
    </w:r>
    <w:r w:rsidR="00D45A3C">
      <w:t xml:space="preserve">  Childhood</w:t>
    </w:r>
    <w:proofErr w:type="gramEnd"/>
    <w:r w:rsidR="00D45A3C">
      <w:t xml:space="preserve">  Experiences in Post-war Britain</w:t>
    </w:r>
  </w:p>
  <w:p w:rsidR="009E1366" w:rsidRDefault="009E1366" w:rsidP="00D774C0">
    <w:pPr>
      <w:pStyle w:val="Header"/>
      <w:tabs>
        <w:tab w:val="clear" w:pos="4513"/>
        <w:tab w:val="clear" w:pos="9026"/>
        <w:tab w:val="left" w:pos="82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E56"/>
    <w:multiLevelType w:val="hybridMultilevel"/>
    <w:tmpl w:val="10A2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FB6"/>
    <w:multiLevelType w:val="hybridMultilevel"/>
    <w:tmpl w:val="A2E2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705C"/>
    <w:multiLevelType w:val="hybridMultilevel"/>
    <w:tmpl w:val="6226D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B0A"/>
    <w:multiLevelType w:val="hybridMultilevel"/>
    <w:tmpl w:val="4960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53D"/>
    <w:multiLevelType w:val="hybridMultilevel"/>
    <w:tmpl w:val="0D586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0008"/>
    <w:multiLevelType w:val="hybridMultilevel"/>
    <w:tmpl w:val="F080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6CF3"/>
    <w:multiLevelType w:val="hybridMultilevel"/>
    <w:tmpl w:val="E710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6F3"/>
    <w:multiLevelType w:val="hybridMultilevel"/>
    <w:tmpl w:val="C79C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17EF6"/>
    <w:multiLevelType w:val="hybridMultilevel"/>
    <w:tmpl w:val="25D0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72C98"/>
    <w:multiLevelType w:val="hybridMultilevel"/>
    <w:tmpl w:val="EA3A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E3019"/>
    <w:multiLevelType w:val="hybridMultilevel"/>
    <w:tmpl w:val="4A68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A3CAB"/>
    <w:multiLevelType w:val="hybridMultilevel"/>
    <w:tmpl w:val="451C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6"/>
  </w:num>
  <w:num w:numId="5">
    <w:abstractNumId w:val="8"/>
  </w:num>
  <w:num w:numId="6">
    <w:abstractNumId w:val="19"/>
  </w:num>
  <w:num w:numId="7">
    <w:abstractNumId w:val="16"/>
  </w:num>
  <w:num w:numId="8">
    <w:abstractNumId w:val="13"/>
  </w:num>
  <w:num w:numId="9">
    <w:abstractNumId w:val="17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2"/>
  </w:num>
  <w:num w:numId="15">
    <w:abstractNumId w:val="3"/>
  </w:num>
  <w:num w:numId="16">
    <w:abstractNumId w:val="7"/>
  </w:num>
  <w:num w:numId="17">
    <w:abstractNumId w:val="10"/>
  </w:num>
  <w:num w:numId="18">
    <w:abstractNumId w:val="18"/>
  </w:num>
  <w:num w:numId="19">
    <w:abstractNumId w:val="15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7CF7"/>
    <w:rsid w:val="000250CF"/>
    <w:rsid w:val="00050E10"/>
    <w:rsid w:val="0006469C"/>
    <w:rsid w:val="00075B0C"/>
    <w:rsid w:val="00080FE8"/>
    <w:rsid w:val="0008610D"/>
    <w:rsid w:val="000A5098"/>
    <w:rsid w:val="000C15EE"/>
    <w:rsid w:val="000D45A8"/>
    <w:rsid w:val="000E0390"/>
    <w:rsid w:val="000E260C"/>
    <w:rsid w:val="000E3B9A"/>
    <w:rsid w:val="001163DF"/>
    <w:rsid w:val="00162974"/>
    <w:rsid w:val="00172E35"/>
    <w:rsid w:val="001759ED"/>
    <w:rsid w:val="001A631A"/>
    <w:rsid w:val="001B1A11"/>
    <w:rsid w:val="001C1564"/>
    <w:rsid w:val="001D3E2D"/>
    <w:rsid w:val="001D7F91"/>
    <w:rsid w:val="00230A38"/>
    <w:rsid w:val="00231600"/>
    <w:rsid w:val="002733D1"/>
    <w:rsid w:val="00281C32"/>
    <w:rsid w:val="002930DE"/>
    <w:rsid w:val="002A5AB3"/>
    <w:rsid w:val="002D7611"/>
    <w:rsid w:val="002F37E1"/>
    <w:rsid w:val="002F654A"/>
    <w:rsid w:val="0030188A"/>
    <w:rsid w:val="003052A7"/>
    <w:rsid w:val="00317B0B"/>
    <w:rsid w:val="0034448D"/>
    <w:rsid w:val="003473BC"/>
    <w:rsid w:val="0035044C"/>
    <w:rsid w:val="0036085B"/>
    <w:rsid w:val="00363F6D"/>
    <w:rsid w:val="0038672A"/>
    <w:rsid w:val="003A2549"/>
    <w:rsid w:val="003A55CE"/>
    <w:rsid w:val="003A56CE"/>
    <w:rsid w:val="003B0220"/>
    <w:rsid w:val="003B463D"/>
    <w:rsid w:val="003E1B4C"/>
    <w:rsid w:val="003E218D"/>
    <w:rsid w:val="003E70D6"/>
    <w:rsid w:val="003F19D5"/>
    <w:rsid w:val="00401A96"/>
    <w:rsid w:val="004078D0"/>
    <w:rsid w:val="00410629"/>
    <w:rsid w:val="00424D8A"/>
    <w:rsid w:val="00434AE8"/>
    <w:rsid w:val="00477284"/>
    <w:rsid w:val="00492FD0"/>
    <w:rsid w:val="00494A8A"/>
    <w:rsid w:val="004E55AA"/>
    <w:rsid w:val="00513AD0"/>
    <w:rsid w:val="00522D5F"/>
    <w:rsid w:val="005303AC"/>
    <w:rsid w:val="0053180B"/>
    <w:rsid w:val="00586F12"/>
    <w:rsid w:val="005A0EBA"/>
    <w:rsid w:val="005D5F26"/>
    <w:rsid w:val="005E1A75"/>
    <w:rsid w:val="005E40ED"/>
    <w:rsid w:val="005F288C"/>
    <w:rsid w:val="0061625F"/>
    <w:rsid w:val="00651753"/>
    <w:rsid w:val="0065407A"/>
    <w:rsid w:val="00677D29"/>
    <w:rsid w:val="00686536"/>
    <w:rsid w:val="00690A5C"/>
    <w:rsid w:val="006C0A31"/>
    <w:rsid w:val="00705DE4"/>
    <w:rsid w:val="007077D8"/>
    <w:rsid w:val="0071790F"/>
    <w:rsid w:val="00724691"/>
    <w:rsid w:val="00731932"/>
    <w:rsid w:val="00731FC0"/>
    <w:rsid w:val="00732C08"/>
    <w:rsid w:val="00743FD1"/>
    <w:rsid w:val="0075363C"/>
    <w:rsid w:val="00770C2A"/>
    <w:rsid w:val="007744C9"/>
    <w:rsid w:val="0077696E"/>
    <w:rsid w:val="00776B69"/>
    <w:rsid w:val="00777B62"/>
    <w:rsid w:val="00782573"/>
    <w:rsid w:val="00792C5A"/>
    <w:rsid w:val="007A517A"/>
    <w:rsid w:val="007C109C"/>
    <w:rsid w:val="007F299B"/>
    <w:rsid w:val="008268E8"/>
    <w:rsid w:val="00834711"/>
    <w:rsid w:val="00871264"/>
    <w:rsid w:val="008923C9"/>
    <w:rsid w:val="009101EA"/>
    <w:rsid w:val="009378DC"/>
    <w:rsid w:val="00945F9A"/>
    <w:rsid w:val="00947449"/>
    <w:rsid w:val="00977187"/>
    <w:rsid w:val="009C6FB5"/>
    <w:rsid w:val="009D42C2"/>
    <w:rsid w:val="009E1366"/>
    <w:rsid w:val="009E61DD"/>
    <w:rsid w:val="009F6378"/>
    <w:rsid w:val="00A00BA5"/>
    <w:rsid w:val="00A27BED"/>
    <w:rsid w:val="00A342B7"/>
    <w:rsid w:val="00A40C88"/>
    <w:rsid w:val="00A41BE4"/>
    <w:rsid w:val="00A509A3"/>
    <w:rsid w:val="00A6442B"/>
    <w:rsid w:val="00A75466"/>
    <w:rsid w:val="00A767CD"/>
    <w:rsid w:val="00A8422F"/>
    <w:rsid w:val="00A93378"/>
    <w:rsid w:val="00AA5446"/>
    <w:rsid w:val="00AC5462"/>
    <w:rsid w:val="00AD0618"/>
    <w:rsid w:val="00AD3A8B"/>
    <w:rsid w:val="00AD6DA5"/>
    <w:rsid w:val="00AF42D7"/>
    <w:rsid w:val="00B21419"/>
    <w:rsid w:val="00B339AB"/>
    <w:rsid w:val="00BA3486"/>
    <w:rsid w:val="00BC13CB"/>
    <w:rsid w:val="00BC6DAB"/>
    <w:rsid w:val="00BD0ED2"/>
    <w:rsid w:val="00C20FFA"/>
    <w:rsid w:val="00C31D49"/>
    <w:rsid w:val="00C47A44"/>
    <w:rsid w:val="00C62992"/>
    <w:rsid w:val="00C823BA"/>
    <w:rsid w:val="00CA3E69"/>
    <w:rsid w:val="00CD66A3"/>
    <w:rsid w:val="00CF04F3"/>
    <w:rsid w:val="00CF18A7"/>
    <w:rsid w:val="00CF244D"/>
    <w:rsid w:val="00CF6A7E"/>
    <w:rsid w:val="00D15E51"/>
    <w:rsid w:val="00D45A3C"/>
    <w:rsid w:val="00D54271"/>
    <w:rsid w:val="00D66E5E"/>
    <w:rsid w:val="00D774C0"/>
    <w:rsid w:val="00D80FD1"/>
    <w:rsid w:val="00D92814"/>
    <w:rsid w:val="00DA79F2"/>
    <w:rsid w:val="00DB4BF3"/>
    <w:rsid w:val="00DD16FA"/>
    <w:rsid w:val="00DD7726"/>
    <w:rsid w:val="00DE7E68"/>
    <w:rsid w:val="00DF566E"/>
    <w:rsid w:val="00E04A45"/>
    <w:rsid w:val="00E50F50"/>
    <w:rsid w:val="00E6186C"/>
    <w:rsid w:val="00E716C3"/>
    <w:rsid w:val="00EB7339"/>
    <w:rsid w:val="00EC7DBA"/>
    <w:rsid w:val="00ED1A08"/>
    <w:rsid w:val="00F11520"/>
    <w:rsid w:val="00F67154"/>
    <w:rsid w:val="00F854BC"/>
    <w:rsid w:val="00F96B49"/>
    <w:rsid w:val="00FA56EC"/>
    <w:rsid w:val="00FE12A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2533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5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60431-0C0A-401E-8F2A-992AA7B05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FB871-6E36-498F-A8C4-9E5D3042A44B}"/>
</file>

<file path=customXml/itemProps3.xml><?xml version="1.0" encoding="utf-8"?>
<ds:datastoreItem xmlns:ds="http://schemas.openxmlformats.org/officeDocument/2006/customXml" ds:itemID="{59B901F6-2A15-44F3-8F93-FCC3464C9E32}"/>
</file>

<file path=customXml/itemProps4.xml><?xml version="1.0" encoding="utf-8"?>
<ds:datastoreItem xmlns:ds="http://schemas.openxmlformats.org/officeDocument/2006/customXml" ds:itemID="{E8C94230-DFF6-400B-9FF0-C28DA8744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21</cp:revision>
  <cp:lastPrinted>2022-03-18T15:35:00Z</cp:lastPrinted>
  <dcterms:created xsi:type="dcterms:W3CDTF">2022-12-06T19:26:00Z</dcterms:created>
  <dcterms:modified xsi:type="dcterms:W3CDTF">2023-07-30T18:45:00Z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16322000</vt:r8>
  </property>
</Properties>
</file>