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0F49" w14:textId="651AF5B5" w:rsidR="00E920EA" w:rsidRDefault="00BA1BDB" w:rsidP="00CF5A1B">
      <w:pPr>
        <w:pStyle w:val="Heading1"/>
      </w:pPr>
      <w:r w:rsidRPr="0066256C">
        <w:t xml:space="preserve">Pupil </w:t>
      </w:r>
      <w:r w:rsidR="0066256C" w:rsidRPr="0066256C">
        <w:t>P</w:t>
      </w:r>
      <w:r w:rsidRPr="0066256C">
        <w:t xml:space="preserve">remium </w:t>
      </w:r>
      <w:r w:rsidR="00CF5A1B">
        <w:t>s</w:t>
      </w:r>
      <w:r w:rsidRPr="0066256C">
        <w:t xml:space="preserve">trategy </w:t>
      </w:r>
      <w:r w:rsidR="00CF5A1B">
        <w:t>s</w:t>
      </w:r>
      <w:r w:rsidRPr="0066256C">
        <w:t>tatement – Eccleston Primary School</w:t>
      </w:r>
      <w:bookmarkStart w:id="0" w:name="_heading=h.gjdgxs" w:colFirst="0" w:colLast="0"/>
      <w:bookmarkEnd w:id="0"/>
    </w:p>
    <w:p w14:paraId="0CC20979" w14:textId="56511557" w:rsidR="00E920EA" w:rsidRDefault="00BA1BDB">
      <w:pPr>
        <w:rPr>
          <w:b/>
        </w:rPr>
      </w:pPr>
      <w:r>
        <w:t xml:space="preserve">This statement details our school’s use </w:t>
      </w:r>
      <w:r w:rsidRPr="0066256C">
        <w:t xml:space="preserve">of </w:t>
      </w:r>
      <w:r w:rsidR="0066256C" w:rsidRPr="0066256C">
        <w:t>P</w:t>
      </w:r>
      <w:r w:rsidRPr="0066256C">
        <w:t xml:space="preserve">upil </w:t>
      </w:r>
      <w:r w:rsidR="0066256C" w:rsidRPr="0066256C">
        <w:t>P</w:t>
      </w:r>
      <w:r w:rsidRPr="0066256C">
        <w:t>remium funding to help improve the attainment of our disadvantaged pupils.</w:t>
      </w:r>
      <w:r>
        <w:t xml:space="preserve"> It outlines our pupil premium strategy, how we intend to spend the funding in this academic year and the outcomes for </w:t>
      </w:r>
      <w:r w:rsidR="0066256C">
        <w:t>all pupils who are in receipt of Pupil Premium funding</w:t>
      </w:r>
      <w:r>
        <w:t xml:space="preserve"> last academic year.</w:t>
      </w:r>
    </w:p>
    <w:p w14:paraId="0AF21BB6" w14:textId="77777777" w:rsidR="00E920EA" w:rsidRDefault="00000000">
      <w:pPr>
        <w:pStyle w:val="Heading2"/>
      </w:pPr>
      <w:r>
        <w:t>School overview</w:t>
      </w:r>
    </w:p>
    <w:tbl>
      <w:tblPr>
        <w:tblStyle w:val="a"/>
        <w:tblW w:w="14934" w:type="dxa"/>
        <w:tblLayout w:type="fixed"/>
        <w:tblLook w:val="0400" w:firstRow="0" w:lastRow="0" w:firstColumn="0" w:lastColumn="0" w:noHBand="0" w:noVBand="1"/>
      </w:tblPr>
      <w:tblGrid>
        <w:gridCol w:w="10261"/>
        <w:gridCol w:w="4673"/>
      </w:tblGrid>
      <w:tr w:rsidR="00E920EA" w14:paraId="671CCB37" w14:textId="77777777" w:rsidTr="00CF5A1B">
        <w:trPr>
          <w:trHeight w:val="397"/>
        </w:trPr>
        <w:tc>
          <w:tcPr>
            <w:tcW w:w="1026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51DC3CD" w14:textId="77777777" w:rsidR="00E920EA" w:rsidRDefault="00000000">
            <w:pPr>
              <w:pBdr>
                <w:top w:val="nil"/>
                <w:left w:val="nil"/>
                <w:bottom w:val="nil"/>
                <w:right w:val="nil"/>
                <w:between w:val="nil"/>
              </w:pBdr>
              <w:spacing w:before="60" w:after="60" w:line="240" w:lineRule="auto"/>
              <w:rPr>
                <w:b/>
              </w:rPr>
            </w:pPr>
            <w:r>
              <w:rPr>
                <w:b/>
              </w:rPr>
              <w:t>Detail</w:t>
            </w:r>
          </w:p>
        </w:tc>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1ED492A" w14:textId="77777777" w:rsidR="00E920EA" w:rsidRDefault="00000000">
            <w:pPr>
              <w:pBdr>
                <w:top w:val="nil"/>
                <w:left w:val="nil"/>
                <w:bottom w:val="nil"/>
                <w:right w:val="nil"/>
                <w:between w:val="nil"/>
              </w:pBdr>
              <w:spacing w:before="60" w:after="60" w:line="240" w:lineRule="auto"/>
              <w:rPr>
                <w:b/>
              </w:rPr>
            </w:pPr>
            <w:r>
              <w:rPr>
                <w:b/>
              </w:rPr>
              <w:t>Data</w:t>
            </w:r>
          </w:p>
        </w:tc>
      </w:tr>
      <w:tr w:rsidR="00E920EA" w14:paraId="4EFD8FB6" w14:textId="77777777" w:rsidTr="00CF5A1B">
        <w:trPr>
          <w:trHeight w:val="397"/>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D997" w14:textId="77777777" w:rsidR="00E920EA" w:rsidRDefault="00000000">
            <w:pPr>
              <w:pBdr>
                <w:top w:val="nil"/>
                <w:left w:val="nil"/>
                <w:bottom w:val="nil"/>
                <w:right w:val="nil"/>
                <w:between w:val="nil"/>
              </w:pBdr>
              <w:spacing w:before="60" w:after="60" w:line="240" w:lineRule="auto"/>
            </w:pPr>
            <w:r>
              <w:t>Number of pupils in school</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4632D" w14:textId="77777777" w:rsidR="00E920EA" w:rsidRDefault="00000000">
            <w:pPr>
              <w:pBdr>
                <w:top w:val="nil"/>
                <w:left w:val="nil"/>
                <w:bottom w:val="nil"/>
                <w:right w:val="nil"/>
                <w:between w:val="nil"/>
              </w:pBdr>
              <w:spacing w:before="60" w:after="60" w:line="240" w:lineRule="auto"/>
            </w:pPr>
            <w:r>
              <w:t>208</w:t>
            </w:r>
          </w:p>
        </w:tc>
      </w:tr>
      <w:tr w:rsidR="00E920EA" w14:paraId="54A4B8F5" w14:textId="77777777" w:rsidTr="00CF5A1B">
        <w:trPr>
          <w:trHeight w:val="408"/>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F1534" w14:textId="77777777" w:rsidR="00E920EA" w:rsidRDefault="00000000">
            <w:pPr>
              <w:pBdr>
                <w:top w:val="nil"/>
                <w:left w:val="nil"/>
                <w:bottom w:val="nil"/>
                <w:right w:val="nil"/>
                <w:between w:val="nil"/>
              </w:pBdr>
              <w:spacing w:before="60" w:after="60" w:line="240" w:lineRule="auto"/>
            </w:pPr>
            <w:r>
              <w:t>Proportion (%) of pupil premium eligible pupils</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D4ECC" w14:textId="77777777" w:rsidR="00E920EA" w:rsidRDefault="00000000">
            <w:pPr>
              <w:pBdr>
                <w:top w:val="nil"/>
                <w:left w:val="nil"/>
                <w:bottom w:val="nil"/>
                <w:right w:val="nil"/>
                <w:between w:val="nil"/>
              </w:pBdr>
              <w:spacing w:before="60" w:after="60" w:line="240" w:lineRule="auto"/>
            </w:pPr>
            <w:r>
              <w:t>9.43%</w:t>
            </w:r>
          </w:p>
        </w:tc>
      </w:tr>
      <w:tr w:rsidR="00E920EA" w14:paraId="686E4503" w14:textId="77777777" w:rsidTr="00CF5A1B">
        <w:trPr>
          <w:trHeight w:val="743"/>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6878" w14:textId="77777777" w:rsidR="00E920EA" w:rsidRDefault="00000000">
            <w:pPr>
              <w:pBdr>
                <w:top w:val="nil"/>
                <w:left w:val="nil"/>
                <w:bottom w:val="nil"/>
                <w:right w:val="nil"/>
                <w:between w:val="nil"/>
              </w:pBdr>
              <w:spacing w:before="60" w:after="60" w:line="240" w:lineRule="auto"/>
            </w:pPr>
            <w:r>
              <w:t xml:space="preserve">Academic year/years that our current pupil premium strategy plan covers </w:t>
            </w:r>
            <w:r>
              <w:rPr>
                <w:b/>
              </w:rPr>
              <w:t>(3-year plans are recommended – you must still publish an updated statement each academic year)</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C98CA" w14:textId="77777777" w:rsidR="00E920EA" w:rsidRDefault="00000000">
            <w:pPr>
              <w:pBdr>
                <w:top w:val="nil"/>
                <w:left w:val="nil"/>
                <w:bottom w:val="nil"/>
                <w:right w:val="nil"/>
                <w:between w:val="nil"/>
              </w:pBdr>
              <w:spacing w:before="60" w:after="60" w:line="240" w:lineRule="auto"/>
            </w:pPr>
            <w:r>
              <w:t>2025 - 2028</w:t>
            </w:r>
          </w:p>
        </w:tc>
      </w:tr>
      <w:tr w:rsidR="00E920EA" w14:paraId="03045672" w14:textId="77777777" w:rsidTr="00CF5A1B">
        <w:trPr>
          <w:trHeight w:val="397"/>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76CE" w14:textId="77777777" w:rsidR="00E920EA" w:rsidRDefault="00000000">
            <w:pPr>
              <w:pBdr>
                <w:top w:val="nil"/>
                <w:left w:val="nil"/>
                <w:bottom w:val="nil"/>
                <w:right w:val="nil"/>
                <w:between w:val="nil"/>
              </w:pBdr>
              <w:spacing w:before="60" w:after="60" w:line="240" w:lineRule="auto"/>
            </w:pPr>
            <w:r>
              <w:t>Date this statement was published</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C9A32" w14:textId="323E2A4F" w:rsidR="00E920EA" w:rsidRDefault="0066256C">
            <w:pPr>
              <w:pBdr>
                <w:top w:val="nil"/>
                <w:left w:val="nil"/>
                <w:bottom w:val="nil"/>
                <w:right w:val="nil"/>
                <w:between w:val="nil"/>
              </w:pBdr>
              <w:spacing w:before="60" w:after="60" w:line="240" w:lineRule="auto"/>
            </w:pPr>
            <w:r>
              <w:t>30.6.2025</w:t>
            </w:r>
          </w:p>
        </w:tc>
      </w:tr>
      <w:tr w:rsidR="00E920EA" w14:paraId="6D628E48" w14:textId="77777777" w:rsidTr="00CF5A1B">
        <w:trPr>
          <w:trHeight w:val="397"/>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50491" w14:textId="77777777" w:rsidR="00E920EA" w:rsidRDefault="00000000">
            <w:pPr>
              <w:pBdr>
                <w:top w:val="nil"/>
                <w:left w:val="nil"/>
                <w:bottom w:val="nil"/>
                <w:right w:val="nil"/>
                <w:between w:val="nil"/>
              </w:pBdr>
              <w:spacing w:before="60" w:after="60" w:line="240" w:lineRule="auto"/>
            </w:pPr>
            <w:r>
              <w:t>Date on which it will be reviewed</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D0E84" w14:textId="30C102A7" w:rsidR="00E920EA" w:rsidRDefault="0066256C">
            <w:pPr>
              <w:pBdr>
                <w:top w:val="nil"/>
                <w:left w:val="nil"/>
                <w:bottom w:val="nil"/>
                <w:right w:val="nil"/>
                <w:between w:val="nil"/>
              </w:pBdr>
              <w:spacing w:before="60" w:after="60" w:line="240" w:lineRule="auto"/>
            </w:pPr>
            <w:r>
              <w:t>30.6.2026</w:t>
            </w:r>
          </w:p>
        </w:tc>
      </w:tr>
      <w:tr w:rsidR="00E920EA" w14:paraId="75DCDA4E" w14:textId="77777777" w:rsidTr="00CF5A1B">
        <w:trPr>
          <w:trHeight w:val="397"/>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94010" w14:textId="77777777" w:rsidR="00E920EA" w:rsidRDefault="00000000">
            <w:pPr>
              <w:pBdr>
                <w:top w:val="nil"/>
                <w:left w:val="nil"/>
                <w:bottom w:val="nil"/>
                <w:right w:val="nil"/>
                <w:between w:val="nil"/>
              </w:pBdr>
              <w:spacing w:before="60" w:after="60" w:line="240" w:lineRule="auto"/>
            </w:pPr>
            <w:r>
              <w:t>Statement authorised by</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92D6" w14:textId="729C1D2B" w:rsidR="00E920EA" w:rsidRDefault="0066256C">
            <w:pPr>
              <w:pBdr>
                <w:top w:val="nil"/>
                <w:left w:val="nil"/>
                <w:bottom w:val="nil"/>
                <w:right w:val="nil"/>
                <w:between w:val="nil"/>
              </w:pBdr>
              <w:spacing w:before="60" w:after="60" w:line="240" w:lineRule="auto"/>
            </w:pPr>
            <w:r>
              <w:t>Craig Todd</w:t>
            </w:r>
          </w:p>
        </w:tc>
      </w:tr>
      <w:tr w:rsidR="00E920EA" w14:paraId="78AD2571" w14:textId="77777777" w:rsidTr="00CF5A1B">
        <w:trPr>
          <w:trHeight w:val="408"/>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FD5E0" w14:textId="77777777" w:rsidR="00E920EA" w:rsidRDefault="00000000">
            <w:pPr>
              <w:pBdr>
                <w:top w:val="nil"/>
                <w:left w:val="nil"/>
                <w:bottom w:val="nil"/>
                <w:right w:val="nil"/>
                <w:between w:val="nil"/>
              </w:pBdr>
              <w:spacing w:before="60" w:after="60" w:line="240" w:lineRule="auto"/>
            </w:pPr>
            <w:r>
              <w:t>Pupil premium lead</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CFCF" w14:textId="12869E9F" w:rsidR="00E920EA" w:rsidRDefault="0066256C">
            <w:pPr>
              <w:pBdr>
                <w:top w:val="nil"/>
                <w:left w:val="nil"/>
                <w:bottom w:val="nil"/>
                <w:right w:val="nil"/>
                <w:between w:val="nil"/>
              </w:pBdr>
              <w:spacing w:before="60" w:after="60" w:line="240" w:lineRule="auto"/>
            </w:pPr>
            <w:r>
              <w:t>George Brindle</w:t>
            </w:r>
          </w:p>
        </w:tc>
      </w:tr>
      <w:tr w:rsidR="00E920EA" w14:paraId="141C6A30" w14:textId="77777777" w:rsidTr="00CF5A1B">
        <w:trPr>
          <w:trHeight w:val="397"/>
        </w:trPr>
        <w:tc>
          <w:tcPr>
            <w:tcW w:w="10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59D0" w14:textId="77777777" w:rsidR="00E920EA" w:rsidRDefault="00000000">
            <w:pPr>
              <w:pBdr>
                <w:top w:val="nil"/>
                <w:left w:val="nil"/>
                <w:bottom w:val="nil"/>
                <w:right w:val="nil"/>
                <w:between w:val="nil"/>
              </w:pBdr>
              <w:spacing w:before="60" w:after="60" w:line="240" w:lineRule="auto"/>
            </w:pPr>
            <w:r>
              <w:t>Governor / Trustee lead</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C3A7C" w14:textId="77777777" w:rsidR="00E920EA" w:rsidRDefault="00000000">
            <w:pPr>
              <w:pBdr>
                <w:top w:val="nil"/>
                <w:left w:val="nil"/>
                <w:bottom w:val="nil"/>
                <w:right w:val="nil"/>
                <w:between w:val="nil"/>
              </w:pBdr>
              <w:spacing w:before="60" w:after="60" w:line="240" w:lineRule="auto"/>
            </w:pPr>
            <w:r>
              <w:t>Rachel Faris</w:t>
            </w:r>
          </w:p>
        </w:tc>
      </w:tr>
    </w:tbl>
    <w:p w14:paraId="21225D53" w14:textId="22C14023" w:rsidR="00E920EA" w:rsidRDefault="00000000">
      <w:pPr>
        <w:pStyle w:val="Heading2"/>
      </w:pPr>
      <w:r>
        <w:t>Funding overview</w:t>
      </w:r>
    </w:p>
    <w:tbl>
      <w:tblPr>
        <w:tblStyle w:val="a0"/>
        <w:tblW w:w="14554" w:type="dxa"/>
        <w:tblLayout w:type="fixed"/>
        <w:tblLook w:val="0400" w:firstRow="0" w:lastRow="0" w:firstColumn="0" w:lastColumn="0" w:noHBand="0" w:noVBand="1"/>
      </w:tblPr>
      <w:tblGrid>
        <w:gridCol w:w="9997"/>
        <w:gridCol w:w="4557"/>
      </w:tblGrid>
      <w:tr w:rsidR="00E920EA" w14:paraId="00F5F438" w14:textId="77777777" w:rsidTr="00CF5A1B">
        <w:trPr>
          <w:trHeight w:val="308"/>
        </w:trPr>
        <w:tc>
          <w:tcPr>
            <w:tcW w:w="999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3E63013C" w14:textId="77777777" w:rsidR="00E920EA" w:rsidRDefault="00000000">
            <w:pPr>
              <w:pBdr>
                <w:top w:val="nil"/>
                <w:left w:val="nil"/>
                <w:bottom w:val="nil"/>
                <w:right w:val="nil"/>
                <w:between w:val="nil"/>
              </w:pBdr>
              <w:spacing w:before="60" w:after="60" w:line="240" w:lineRule="auto"/>
            </w:pPr>
            <w:r>
              <w:rPr>
                <w:b/>
              </w:rPr>
              <w:t>Detail</w:t>
            </w:r>
          </w:p>
        </w:tc>
        <w:tc>
          <w:tcPr>
            <w:tcW w:w="455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77332A98" w14:textId="77777777" w:rsidR="00E920EA" w:rsidRDefault="00000000">
            <w:pPr>
              <w:pBdr>
                <w:top w:val="nil"/>
                <w:left w:val="nil"/>
                <w:bottom w:val="nil"/>
                <w:right w:val="nil"/>
                <w:between w:val="nil"/>
              </w:pBdr>
              <w:spacing w:before="60" w:after="60" w:line="240" w:lineRule="auto"/>
            </w:pPr>
            <w:r>
              <w:rPr>
                <w:b/>
              </w:rPr>
              <w:t>Amount</w:t>
            </w:r>
          </w:p>
        </w:tc>
      </w:tr>
      <w:tr w:rsidR="00E920EA" w14:paraId="40FF2CDE" w14:textId="77777777" w:rsidTr="00CF5A1B">
        <w:trPr>
          <w:trHeight w:val="308"/>
        </w:trPr>
        <w:tc>
          <w:tcPr>
            <w:tcW w:w="9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6CA81" w14:textId="77777777" w:rsidR="00E920EA" w:rsidRDefault="00000000">
            <w:pPr>
              <w:pBdr>
                <w:top w:val="nil"/>
                <w:left w:val="nil"/>
                <w:bottom w:val="nil"/>
                <w:right w:val="nil"/>
                <w:between w:val="nil"/>
              </w:pBdr>
              <w:spacing w:before="60" w:after="60" w:line="240" w:lineRule="auto"/>
            </w:pPr>
            <w:r>
              <w:t>Pupil premium funding allocation this academic year</w:t>
            </w:r>
          </w:p>
        </w:tc>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39F9C" w14:textId="77777777" w:rsidR="00E920EA" w:rsidRDefault="00000000">
            <w:pPr>
              <w:pBdr>
                <w:top w:val="nil"/>
                <w:left w:val="nil"/>
                <w:bottom w:val="nil"/>
                <w:right w:val="nil"/>
                <w:between w:val="nil"/>
              </w:pBdr>
              <w:spacing w:before="60" w:after="60" w:line="240" w:lineRule="auto"/>
            </w:pPr>
            <w:r>
              <w:t>£38,555.04</w:t>
            </w:r>
          </w:p>
        </w:tc>
      </w:tr>
      <w:tr w:rsidR="00E920EA" w14:paraId="7ADBF132" w14:textId="77777777" w:rsidTr="00CF5A1B">
        <w:trPr>
          <w:trHeight w:val="308"/>
        </w:trPr>
        <w:tc>
          <w:tcPr>
            <w:tcW w:w="9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90A9B" w14:textId="77777777" w:rsidR="00E920EA" w:rsidRDefault="00000000">
            <w:pPr>
              <w:pBdr>
                <w:top w:val="nil"/>
                <w:left w:val="nil"/>
                <w:bottom w:val="nil"/>
                <w:right w:val="nil"/>
                <w:between w:val="nil"/>
              </w:pBdr>
              <w:spacing w:before="60" w:after="120" w:line="240" w:lineRule="auto"/>
            </w:pPr>
            <w:r>
              <w:t xml:space="preserve">Pupil premium funding carried forward from previous years </w:t>
            </w:r>
            <w:r>
              <w:rPr>
                <w:i/>
              </w:rPr>
              <w:t>(enter £0 if not applicable)</w:t>
            </w:r>
          </w:p>
        </w:tc>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89A81" w14:textId="6627A1D6" w:rsidR="00E920EA" w:rsidRDefault="006B7373">
            <w:pPr>
              <w:pBdr>
                <w:top w:val="nil"/>
                <w:left w:val="nil"/>
                <w:bottom w:val="nil"/>
                <w:right w:val="nil"/>
                <w:between w:val="nil"/>
              </w:pBdr>
              <w:spacing w:before="60" w:after="60" w:line="240" w:lineRule="auto"/>
            </w:pPr>
            <w:r>
              <w:t>£0</w:t>
            </w:r>
          </w:p>
        </w:tc>
      </w:tr>
      <w:tr w:rsidR="00E920EA" w14:paraId="655E0DB5" w14:textId="77777777" w:rsidTr="00CF5A1B">
        <w:trPr>
          <w:trHeight w:val="1107"/>
        </w:trPr>
        <w:tc>
          <w:tcPr>
            <w:tcW w:w="9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0FD0E" w14:textId="77777777" w:rsidR="00E920EA" w:rsidRDefault="00000000">
            <w:pPr>
              <w:pBdr>
                <w:top w:val="nil"/>
                <w:left w:val="nil"/>
                <w:bottom w:val="nil"/>
                <w:right w:val="nil"/>
                <w:between w:val="nil"/>
              </w:pBdr>
              <w:spacing w:before="60" w:after="120" w:line="240" w:lineRule="auto"/>
              <w:rPr>
                <w:b/>
              </w:rPr>
            </w:pPr>
            <w:r>
              <w:rPr>
                <w:b/>
              </w:rPr>
              <w:lastRenderedPageBreak/>
              <w:t>Total budget for this academic year</w:t>
            </w:r>
          </w:p>
          <w:p w14:paraId="20B8DF86" w14:textId="77777777" w:rsidR="00E920EA" w:rsidRDefault="00000000">
            <w:pPr>
              <w:pBdr>
                <w:top w:val="nil"/>
                <w:left w:val="nil"/>
                <w:bottom w:val="nil"/>
                <w:right w:val="nil"/>
                <w:between w:val="nil"/>
              </w:pBdr>
              <w:spacing w:before="60" w:after="60" w:line="240" w:lineRule="auto"/>
              <w:rPr>
                <w:i/>
              </w:rPr>
            </w:pPr>
            <w:r>
              <w:rPr>
                <w:i/>
              </w:rPr>
              <w:t>If your school is an academy in a trust that pools this funding, state the amount available to your school this academic year</w:t>
            </w:r>
          </w:p>
        </w:tc>
        <w:tc>
          <w:tcPr>
            <w:tcW w:w="4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3DE8F" w14:textId="77777777" w:rsidR="00E920EA" w:rsidRDefault="00000000">
            <w:pPr>
              <w:pBdr>
                <w:top w:val="nil"/>
                <w:left w:val="nil"/>
                <w:bottom w:val="nil"/>
                <w:right w:val="nil"/>
                <w:between w:val="nil"/>
              </w:pBdr>
              <w:spacing w:before="60" w:after="60" w:line="240" w:lineRule="auto"/>
            </w:pPr>
            <w:r>
              <w:t>£38,555.04</w:t>
            </w:r>
          </w:p>
        </w:tc>
      </w:tr>
    </w:tbl>
    <w:p w14:paraId="6440B909" w14:textId="7D56D56A" w:rsidR="00E920EA" w:rsidRDefault="00000000">
      <w:pPr>
        <w:pStyle w:val="Heading1"/>
      </w:pPr>
      <w:r>
        <w:lastRenderedPageBreak/>
        <w:t xml:space="preserve">Part A: Pupil </w:t>
      </w:r>
      <w:r w:rsidR="0066256C">
        <w:t>P</w:t>
      </w:r>
      <w:r>
        <w:t>remium strategy plan</w:t>
      </w:r>
    </w:p>
    <w:p w14:paraId="220777C5" w14:textId="2401D892" w:rsidR="00E920EA" w:rsidRDefault="006B7373">
      <w:pPr>
        <w:pStyle w:val="Heading2"/>
      </w:pPr>
      <w:bookmarkStart w:id="1" w:name="_heading=h.30j0zll" w:colFirst="0" w:colLast="0"/>
      <w:bookmarkEnd w:id="1"/>
      <w:r>
        <w:t>Statement of intent</w:t>
      </w:r>
    </w:p>
    <w:tbl>
      <w:tblPr>
        <w:tblStyle w:val="a1"/>
        <w:tblW w:w="14454" w:type="dxa"/>
        <w:tblLayout w:type="fixed"/>
        <w:tblLook w:val="0400" w:firstRow="0" w:lastRow="0" w:firstColumn="0" w:lastColumn="0" w:noHBand="0" w:noVBand="1"/>
      </w:tblPr>
      <w:tblGrid>
        <w:gridCol w:w="14454"/>
      </w:tblGrid>
      <w:tr w:rsidR="00E920EA" w14:paraId="457F09E9" w14:textId="77777777" w:rsidTr="00CF5A1B">
        <w:trPr>
          <w:trHeight w:val="6818"/>
        </w:trPr>
        <w:tc>
          <w:tcPr>
            <w:tcW w:w="14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26A02" w14:textId="66BD65A5" w:rsidR="006B7373" w:rsidRDefault="006B7373" w:rsidP="0066256C">
            <w:pPr>
              <w:spacing w:before="120"/>
              <w:rPr>
                <w:color w:val="000000"/>
              </w:rPr>
            </w:pPr>
            <w:r w:rsidRPr="0066256C">
              <w:rPr>
                <w:color w:val="000000"/>
              </w:rPr>
              <w:t>At Eccleston Primary School, our intention is that all pupils, irrespective of their background or the challenges they face, make good progress and achieve high attainment across all subject areas</w:t>
            </w:r>
            <w:r w:rsidR="0066256C" w:rsidRPr="0066256C">
              <w:rPr>
                <w:color w:val="000000"/>
              </w:rPr>
              <w:t>, given their starting points and abilities</w:t>
            </w:r>
            <w:r w:rsidRPr="0066256C">
              <w:rPr>
                <w:color w:val="000000"/>
              </w:rPr>
              <w:t>. The focus of our pupil premium strategy is to support</w:t>
            </w:r>
            <w:r w:rsidR="0066256C" w:rsidRPr="0066256C">
              <w:rPr>
                <w:color w:val="000000"/>
              </w:rPr>
              <w:t xml:space="preserve"> our</w:t>
            </w:r>
            <w:r w:rsidRPr="0066256C">
              <w:rPr>
                <w:color w:val="000000"/>
              </w:rPr>
              <w:t xml:space="preserve"> pupils to achieve that goal, including progress for all levels of attainers. The activity we have outlined in this statement is also intended to support the needs of </w:t>
            </w:r>
            <w:proofErr w:type="gramStart"/>
            <w:r w:rsidRPr="0066256C">
              <w:rPr>
                <w:color w:val="000000"/>
              </w:rPr>
              <w:t>all of</w:t>
            </w:r>
            <w:proofErr w:type="gramEnd"/>
            <w:r w:rsidRPr="0066256C">
              <w:rPr>
                <w:color w:val="000000"/>
              </w:rPr>
              <w:t xml:space="preserve"> our children, regardless of whether the</w:t>
            </w:r>
            <w:r w:rsidR="0066256C" w:rsidRPr="0066256C">
              <w:rPr>
                <w:color w:val="000000"/>
              </w:rPr>
              <w:t>re are barriers or not, whilst closing any gaps that may exist.</w:t>
            </w:r>
          </w:p>
          <w:p w14:paraId="1A099E87" w14:textId="77777777" w:rsidR="00E920EA" w:rsidRDefault="00000000">
            <w:pPr>
              <w:rPr>
                <w:color w:val="000000"/>
              </w:rPr>
            </w:pPr>
            <w:r>
              <w:rPr>
                <w:color w:val="000000"/>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w:t>
            </w:r>
            <w:r w:rsidR="006B7373" w:rsidRPr="00BA1BDB">
              <w:rPr>
                <w:b/>
                <w:noProof/>
                <w:sz w:val="28"/>
                <w:szCs w:val="28"/>
                <w:highlight w:val="yellow"/>
              </w:rPr>
              <w:t xml:space="preserve"> </w:t>
            </w:r>
          </w:p>
          <w:p w14:paraId="7E1365AC" w14:textId="77777777" w:rsidR="00E920EA" w:rsidRDefault="00000000">
            <w:pPr>
              <w:rPr>
                <w:color w:val="000000"/>
              </w:rPr>
            </w:pPr>
            <w:r>
              <w:rPr>
                <w:color w:val="000000"/>
              </w:rPr>
              <w:t>Our strategy will continue to consider where additional support is required for pupils whose education and wellbeing need supportive interventions.</w:t>
            </w:r>
          </w:p>
          <w:p w14:paraId="4930865F" w14:textId="77777777" w:rsidR="00E920EA" w:rsidRDefault="00000000">
            <w:pPr>
              <w:spacing w:after="120"/>
              <w:rPr>
                <w:color w:val="000000"/>
              </w:rPr>
            </w:pPr>
            <w:r>
              <w:rPr>
                <w:color w:val="000000"/>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659FD356" w14:textId="77777777" w:rsidR="00E920EA" w:rsidRDefault="00000000">
            <w:pPr>
              <w:numPr>
                <w:ilvl w:val="0"/>
                <w:numId w:val="1"/>
              </w:numPr>
              <w:spacing w:after="0"/>
            </w:pPr>
            <w:r>
              <w:rPr>
                <w:color w:val="000000"/>
              </w:rPr>
              <w:t>ensure disadvantaged pupils are challenged in the work that they’re set with high expectations underpinning everything we do.</w:t>
            </w:r>
          </w:p>
          <w:p w14:paraId="3F7B6881" w14:textId="77777777" w:rsidR="00E920EA" w:rsidRDefault="00000000">
            <w:pPr>
              <w:numPr>
                <w:ilvl w:val="0"/>
                <w:numId w:val="1"/>
              </w:numPr>
              <w:spacing w:after="0"/>
              <w:ind w:left="714" w:hanging="357"/>
            </w:pPr>
            <w:r>
              <w:rPr>
                <w:color w:val="000000"/>
              </w:rPr>
              <w:t>act early to intervene at the point need is identified and use our assessments to support follow-up actions.</w:t>
            </w:r>
          </w:p>
          <w:p w14:paraId="7C64E3AB" w14:textId="77777777" w:rsidR="00E920EA" w:rsidRDefault="00000000">
            <w:pPr>
              <w:numPr>
                <w:ilvl w:val="0"/>
                <w:numId w:val="1"/>
              </w:numPr>
              <w:spacing w:after="0"/>
              <w:ind w:left="714" w:hanging="357"/>
            </w:pPr>
            <w:r>
              <w:rPr>
                <w:color w:val="000000"/>
              </w:rPr>
              <w:t>adopt a whole school approach in which all staff take responsibility for disadvantaged pupils’ outcomes and raise expectations of what they can achieve discussed at various key points throughout the academic year, including Pupil Progress Meetings.</w:t>
            </w:r>
            <w:r w:rsidR="006B7373" w:rsidRPr="00BA1BDB">
              <w:rPr>
                <w:b/>
                <w:noProof/>
                <w:sz w:val="28"/>
                <w:szCs w:val="28"/>
                <w:highlight w:val="yellow"/>
              </w:rPr>
              <w:t xml:space="preserve"> </w:t>
            </w:r>
          </w:p>
        </w:tc>
      </w:tr>
    </w:tbl>
    <w:p w14:paraId="35AC13F9" w14:textId="0AF14A07" w:rsidR="00E920EA" w:rsidRDefault="006B7373">
      <w:pPr>
        <w:pStyle w:val="Heading2"/>
        <w:spacing w:before="600"/>
      </w:pPr>
      <w:r>
        <w:lastRenderedPageBreak/>
        <w:t>Challenges</w:t>
      </w:r>
    </w:p>
    <w:p w14:paraId="2587199D" w14:textId="65B1B546" w:rsidR="00E920EA" w:rsidRDefault="006B7373">
      <w:r>
        <w:t>This details the key challenges to achievement that we have identified among our disadvantaged pupils.</w:t>
      </w:r>
    </w:p>
    <w:tbl>
      <w:tblPr>
        <w:tblStyle w:val="a2"/>
        <w:tblW w:w="14596" w:type="dxa"/>
        <w:tblLayout w:type="fixed"/>
        <w:tblLook w:val="0400" w:firstRow="0" w:lastRow="0" w:firstColumn="0" w:lastColumn="0" w:noHBand="0" w:noVBand="1"/>
      </w:tblPr>
      <w:tblGrid>
        <w:gridCol w:w="1477"/>
        <w:gridCol w:w="13119"/>
      </w:tblGrid>
      <w:tr w:rsidR="00E920EA" w14:paraId="570EB897" w14:textId="77777777" w:rsidTr="00CF5A1B">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AEE73ED" w14:textId="77777777" w:rsidR="00E920EA" w:rsidRDefault="00000000">
            <w:pPr>
              <w:pBdr>
                <w:top w:val="nil"/>
                <w:left w:val="nil"/>
                <w:bottom w:val="nil"/>
                <w:right w:val="nil"/>
                <w:between w:val="nil"/>
              </w:pBdr>
              <w:spacing w:before="60" w:after="60" w:line="240" w:lineRule="auto"/>
              <w:rPr>
                <w:b/>
              </w:rPr>
            </w:pPr>
            <w:r>
              <w:rPr>
                <w:b/>
              </w:rPr>
              <w:t>Challenge number</w:t>
            </w:r>
          </w:p>
        </w:tc>
        <w:tc>
          <w:tcPr>
            <w:tcW w:w="1311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8E22769" w14:textId="77777777" w:rsidR="00E920EA" w:rsidRDefault="00000000">
            <w:pPr>
              <w:pBdr>
                <w:top w:val="nil"/>
                <w:left w:val="nil"/>
                <w:bottom w:val="nil"/>
                <w:right w:val="nil"/>
                <w:between w:val="nil"/>
              </w:pBdr>
              <w:spacing w:before="60" w:after="60" w:line="240" w:lineRule="auto"/>
              <w:rPr>
                <w:b/>
              </w:rPr>
            </w:pPr>
            <w:r>
              <w:rPr>
                <w:b/>
              </w:rPr>
              <w:t xml:space="preserve">Detail of challenge </w:t>
            </w:r>
          </w:p>
        </w:tc>
      </w:tr>
      <w:tr w:rsidR="00E920EA" w14:paraId="7A29E6F9" w14:textId="77777777" w:rsidTr="00CF5A1B">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C63B3" w14:textId="77777777" w:rsidR="00E920EA" w:rsidRDefault="00000000">
            <w:pPr>
              <w:pBdr>
                <w:top w:val="nil"/>
                <w:left w:val="nil"/>
                <w:bottom w:val="nil"/>
                <w:right w:val="nil"/>
                <w:between w:val="nil"/>
              </w:pBdr>
              <w:spacing w:before="60" w:after="60" w:line="240" w:lineRule="auto"/>
              <w:rPr>
                <w:sz w:val="22"/>
                <w:szCs w:val="22"/>
              </w:rPr>
            </w:pPr>
            <w:r>
              <w:rPr>
                <w:sz w:val="22"/>
                <w:szCs w:val="22"/>
              </w:rPr>
              <w:t>1</w:t>
            </w:r>
          </w:p>
        </w:tc>
        <w:tc>
          <w:tcPr>
            <w:tcW w:w="1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CAFB" w14:textId="4CF53B8C" w:rsidR="00E920EA" w:rsidRDefault="00000000">
            <w:pPr>
              <w:pBdr>
                <w:top w:val="nil"/>
                <w:left w:val="nil"/>
                <w:bottom w:val="nil"/>
                <w:right w:val="nil"/>
                <w:between w:val="nil"/>
              </w:pBdr>
              <w:spacing w:before="60" w:after="60" w:line="240" w:lineRule="auto"/>
              <w:rPr>
                <w:sz w:val="22"/>
                <w:szCs w:val="22"/>
              </w:rPr>
            </w:pPr>
            <w:r>
              <w:rPr>
                <w:sz w:val="22"/>
                <w:szCs w:val="22"/>
              </w:rPr>
              <w:t>Our attainment data, taken from assessments and teacher judgment, shows that around 50% of our disadvantaged pupils are ‘Working Towards’ the expected standard in writing. In the academic year 2024/25, we introduced a new approach to writing, making it led by high quality texts and focussing on improving the children’s stamina and grammatical understanding</w:t>
            </w:r>
            <w:r w:rsidR="0066256C">
              <w:rPr>
                <w:sz w:val="22"/>
                <w:szCs w:val="22"/>
              </w:rPr>
              <w:t>, as these have been identified as barriers to their success</w:t>
            </w:r>
            <w:r>
              <w:rPr>
                <w:sz w:val="22"/>
                <w:szCs w:val="22"/>
              </w:rPr>
              <w:t xml:space="preserve">. This has qualitatively improved the children’s </w:t>
            </w:r>
            <w:proofErr w:type="gramStart"/>
            <w:r>
              <w:rPr>
                <w:sz w:val="22"/>
                <w:szCs w:val="22"/>
              </w:rPr>
              <w:t>writing,</w:t>
            </w:r>
            <w:proofErr w:type="gramEnd"/>
            <w:r>
              <w:rPr>
                <w:sz w:val="22"/>
                <w:szCs w:val="22"/>
              </w:rPr>
              <w:t xml:space="preserve"> however the content remains below the expected standard for some of our children.</w:t>
            </w:r>
          </w:p>
          <w:p w14:paraId="7E8CC9E2" w14:textId="77777777" w:rsidR="00E920EA" w:rsidRDefault="00000000">
            <w:pPr>
              <w:pBdr>
                <w:top w:val="nil"/>
                <w:left w:val="nil"/>
                <w:bottom w:val="nil"/>
                <w:right w:val="nil"/>
                <w:between w:val="nil"/>
              </w:pBdr>
              <w:spacing w:before="60" w:after="60" w:line="240" w:lineRule="auto"/>
              <w:rPr>
                <w:sz w:val="22"/>
                <w:szCs w:val="22"/>
              </w:rPr>
            </w:pPr>
            <w:r>
              <w:rPr>
                <w:sz w:val="22"/>
                <w:szCs w:val="22"/>
              </w:rPr>
              <w:t>This will feed into the number of children achieving WTS across core subjects and our desire to convert more children from WTS to EXS in reading and maths too. Our previous data has been strong, however, with more specific enhancements in appraisal, marginal gains can be made with intentional improvements to practice.</w:t>
            </w:r>
          </w:p>
        </w:tc>
      </w:tr>
      <w:tr w:rsidR="00E920EA" w14:paraId="4ACAE659" w14:textId="77777777" w:rsidTr="00CF5A1B">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D2AC" w14:textId="2C7A118B" w:rsidR="00E920EA" w:rsidRDefault="006B7373">
            <w:pPr>
              <w:pBdr>
                <w:top w:val="nil"/>
                <w:left w:val="nil"/>
                <w:bottom w:val="nil"/>
                <w:right w:val="nil"/>
                <w:between w:val="nil"/>
              </w:pBdr>
              <w:spacing w:before="60" w:after="60" w:line="240" w:lineRule="auto"/>
              <w:rPr>
                <w:sz w:val="22"/>
                <w:szCs w:val="22"/>
              </w:rPr>
            </w:pPr>
            <w:r>
              <w:rPr>
                <w:sz w:val="22"/>
                <w:szCs w:val="22"/>
              </w:rPr>
              <w:t>2</w:t>
            </w:r>
          </w:p>
        </w:tc>
        <w:tc>
          <w:tcPr>
            <w:tcW w:w="1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DFD5" w14:textId="77777777" w:rsidR="00E920EA" w:rsidRDefault="00000000">
            <w:pPr>
              <w:spacing w:before="60" w:after="120" w:line="240" w:lineRule="auto"/>
              <w:rPr>
                <w:color w:val="000000"/>
                <w:sz w:val="22"/>
                <w:szCs w:val="22"/>
              </w:rPr>
            </w:pPr>
            <w:r>
              <w:rPr>
                <w:color w:val="000000"/>
                <w:sz w:val="22"/>
                <w:szCs w:val="22"/>
              </w:rPr>
              <w:t>Our attendance data last year indicates that attendance among disadvantaged pupils has been between 1 - 1.5% lower than for non-disadvantaged pupils.</w:t>
            </w:r>
          </w:p>
          <w:p w14:paraId="157BD5EF" w14:textId="7391691A" w:rsidR="00E920EA" w:rsidRDefault="00000000">
            <w:pPr>
              <w:spacing w:before="60" w:after="120" w:line="240" w:lineRule="auto"/>
              <w:rPr>
                <w:sz w:val="22"/>
                <w:szCs w:val="22"/>
              </w:rPr>
            </w:pPr>
            <w:r>
              <w:rPr>
                <w:color w:val="000000"/>
                <w:sz w:val="22"/>
                <w:szCs w:val="22"/>
              </w:rPr>
              <w:t xml:space="preserve">17.3% of disadvantaged pupils have been ‘persistently absent’ compared to 5.5% of their peers during that period. </w:t>
            </w:r>
            <w:r w:rsidR="001406E5">
              <w:rPr>
                <w:color w:val="000000"/>
                <w:sz w:val="22"/>
                <w:szCs w:val="22"/>
              </w:rPr>
              <w:t xml:space="preserve">There have been some signs of low level </w:t>
            </w:r>
            <w:proofErr w:type="gramStart"/>
            <w:r w:rsidR="001406E5">
              <w:rPr>
                <w:color w:val="000000"/>
                <w:sz w:val="22"/>
                <w:szCs w:val="22"/>
              </w:rPr>
              <w:t>EBSA</w:t>
            </w:r>
            <w:proofErr w:type="gramEnd"/>
            <w:r w:rsidR="001406E5">
              <w:rPr>
                <w:color w:val="000000"/>
                <w:sz w:val="22"/>
                <w:szCs w:val="22"/>
              </w:rPr>
              <w:t xml:space="preserve"> and we are supporting </w:t>
            </w:r>
            <w:proofErr w:type="gramStart"/>
            <w:r w:rsidR="001406E5">
              <w:rPr>
                <w:color w:val="000000"/>
                <w:sz w:val="22"/>
                <w:szCs w:val="22"/>
              </w:rPr>
              <w:t>a number of</w:t>
            </w:r>
            <w:proofErr w:type="gramEnd"/>
            <w:r w:rsidR="001406E5">
              <w:rPr>
                <w:color w:val="000000"/>
                <w:sz w:val="22"/>
                <w:szCs w:val="22"/>
              </w:rPr>
              <w:t xml:space="preserve"> families in this regard. </w:t>
            </w:r>
            <w:r>
              <w:rPr>
                <w:color w:val="000000"/>
                <w:sz w:val="22"/>
                <w:szCs w:val="22"/>
              </w:rPr>
              <w:t>Our assessments and observations indicate that absenteeism is negatively impacting disadvantaged pupils’ progress.</w:t>
            </w:r>
          </w:p>
        </w:tc>
      </w:tr>
      <w:tr w:rsidR="00E920EA" w14:paraId="372744E1" w14:textId="77777777" w:rsidTr="00CF5A1B">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CAD5" w14:textId="77777777" w:rsidR="00E920EA" w:rsidRDefault="00000000">
            <w:pPr>
              <w:pBdr>
                <w:top w:val="nil"/>
                <w:left w:val="nil"/>
                <w:bottom w:val="nil"/>
                <w:right w:val="nil"/>
                <w:between w:val="nil"/>
              </w:pBdr>
              <w:spacing w:before="60" w:after="60" w:line="240" w:lineRule="auto"/>
              <w:rPr>
                <w:sz w:val="22"/>
                <w:szCs w:val="22"/>
              </w:rPr>
            </w:pPr>
            <w:r>
              <w:rPr>
                <w:sz w:val="22"/>
                <w:szCs w:val="22"/>
              </w:rPr>
              <w:t>3</w:t>
            </w:r>
          </w:p>
        </w:tc>
        <w:tc>
          <w:tcPr>
            <w:tcW w:w="1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39CC" w14:textId="77777777" w:rsidR="00E920EA" w:rsidRDefault="00000000">
            <w:pPr>
              <w:spacing w:before="60" w:line="240" w:lineRule="auto"/>
              <w:rPr>
                <w:color w:val="000000"/>
                <w:sz w:val="22"/>
                <w:szCs w:val="22"/>
              </w:rPr>
            </w:pPr>
            <w:r>
              <w:rPr>
                <w:color w:val="000000"/>
                <w:sz w:val="22"/>
                <w:szCs w:val="22"/>
              </w:rPr>
              <w:t>Our assessments (including wellbeing survey), observations and discussions with pupils and families have identified social and emotional issues for many pupils, notably due to perceived bullying and a lack of enrichment opportunities. These challenges particularly affect disadvantaged pupils, including their attainment.</w:t>
            </w:r>
          </w:p>
          <w:p w14:paraId="17EB40F2" w14:textId="31DF7AFD" w:rsidR="00E920EA" w:rsidRDefault="00000000">
            <w:pPr>
              <w:spacing w:before="60" w:after="120" w:line="240" w:lineRule="auto"/>
              <w:rPr>
                <w:sz w:val="20"/>
                <w:szCs w:val="20"/>
              </w:rPr>
            </w:pPr>
            <w:r>
              <w:rPr>
                <w:color w:val="000000"/>
                <w:sz w:val="22"/>
                <w:szCs w:val="22"/>
              </w:rPr>
              <w:t>Teacher referrals for support with our partner Compass Bloom remain relatively high. Around 25 children received support in the academic year 2024/25, (8 of whom are disadvantaged) currently require additional support with social and emotional needs, receiving small group interventions or tailored 1:1 support. This is to support our children’s regulation in preparation for learning and giving them the metacognitive skills</w:t>
            </w:r>
            <w:r w:rsidR="001406E5">
              <w:rPr>
                <w:color w:val="000000"/>
                <w:sz w:val="22"/>
                <w:szCs w:val="22"/>
              </w:rPr>
              <w:t xml:space="preserve"> across the board </w:t>
            </w:r>
            <w:r>
              <w:rPr>
                <w:color w:val="000000"/>
                <w:sz w:val="22"/>
                <w:szCs w:val="22"/>
              </w:rPr>
              <w:t>to help themselves and when to ask for help.</w:t>
            </w:r>
          </w:p>
        </w:tc>
      </w:tr>
    </w:tbl>
    <w:p w14:paraId="788A31B8" w14:textId="657E0AE0" w:rsidR="00E920EA" w:rsidRDefault="00176BC9">
      <w:pPr>
        <w:pStyle w:val="Heading2"/>
        <w:spacing w:before="600"/>
      </w:pPr>
      <w:r>
        <w:lastRenderedPageBreak/>
        <w:t xml:space="preserve">Intended outcomes </w:t>
      </w:r>
    </w:p>
    <w:p w14:paraId="68A252B5" w14:textId="324773EB" w:rsidR="00E920EA" w:rsidRDefault="00176BC9">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14596" w:type="dxa"/>
        <w:tblLayout w:type="fixed"/>
        <w:tblLook w:val="0400" w:firstRow="0" w:lastRow="0" w:firstColumn="0" w:lastColumn="0" w:noHBand="0" w:noVBand="1"/>
      </w:tblPr>
      <w:tblGrid>
        <w:gridCol w:w="2547"/>
        <w:gridCol w:w="12049"/>
      </w:tblGrid>
      <w:tr w:rsidR="00E920EA" w14:paraId="197D21A3" w14:textId="77777777" w:rsidTr="00CF5A1B">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64BD521" w14:textId="77777777" w:rsidR="00E920EA" w:rsidRDefault="00000000">
            <w:pPr>
              <w:pBdr>
                <w:top w:val="nil"/>
                <w:left w:val="nil"/>
                <w:bottom w:val="nil"/>
                <w:right w:val="nil"/>
                <w:between w:val="nil"/>
              </w:pBdr>
              <w:spacing w:before="60" w:after="60" w:line="240" w:lineRule="auto"/>
              <w:rPr>
                <w:b/>
              </w:rPr>
            </w:pPr>
            <w:r>
              <w:rPr>
                <w:b/>
              </w:rPr>
              <w:t>Intended outcome</w:t>
            </w:r>
          </w:p>
        </w:tc>
        <w:tc>
          <w:tcPr>
            <w:tcW w:w="1204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63C11A2" w14:textId="0CEE6FE6" w:rsidR="00E920EA" w:rsidRDefault="00176BC9">
            <w:pPr>
              <w:pBdr>
                <w:top w:val="nil"/>
                <w:left w:val="nil"/>
                <w:bottom w:val="nil"/>
                <w:right w:val="nil"/>
                <w:between w:val="nil"/>
              </w:pBdr>
              <w:spacing w:before="60" w:after="60" w:line="240" w:lineRule="auto"/>
              <w:rPr>
                <w:b/>
              </w:rPr>
            </w:pPr>
            <w:r>
              <w:rPr>
                <w:b/>
              </w:rPr>
              <w:t>Success criteria</w:t>
            </w:r>
          </w:p>
        </w:tc>
      </w:tr>
      <w:tr w:rsidR="00E920EA" w14:paraId="5DE38E9A" w14:textId="77777777" w:rsidTr="00CF5A1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1D03" w14:textId="409E4261" w:rsidR="00E920EA" w:rsidRDefault="00000000">
            <w:pPr>
              <w:pBdr>
                <w:top w:val="nil"/>
                <w:left w:val="nil"/>
                <w:bottom w:val="nil"/>
                <w:right w:val="nil"/>
                <w:between w:val="nil"/>
              </w:pBdr>
              <w:spacing w:before="60" w:after="60" w:line="240" w:lineRule="auto"/>
              <w:rPr>
                <w:sz w:val="22"/>
                <w:szCs w:val="22"/>
              </w:rPr>
            </w:pPr>
            <w:r>
              <w:rPr>
                <w:sz w:val="22"/>
                <w:szCs w:val="22"/>
              </w:rPr>
              <w:t>Improved writing outcomes amongst disadvantaged pupils</w:t>
            </w:r>
            <w:r w:rsidR="001406E5">
              <w:rPr>
                <w:sz w:val="22"/>
                <w:szCs w:val="22"/>
              </w:rPr>
              <w:t xml:space="preserve"> (1)</w:t>
            </w:r>
          </w:p>
          <w:p w14:paraId="7DE60222" w14:textId="77777777" w:rsidR="00176BC9" w:rsidRDefault="00176BC9">
            <w:pPr>
              <w:pBdr>
                <w:top w:val="nil"/>
                <w:left w:val="nil"/>
                <w:bottom w:val="nil"/>
                <w:right w:val="nil"/>
                <w:between w:val="nil"/>
              </w:pBdr>
              <w:spacing w:before="60" w:after="60" w:line="240" w:lineRule="auto"/>
              <w:rPr>
                <w:sz w:val="22"/>
                <w:szCs w:val="22"/>
              </w:rPr>
            </w:pPr>
          </w:p>
          <w:p w14:paraId="7BECD0E7" w14:textId="77777777" w:rsidR="00176BC9" w:rsidRDefault="00176BC9">
            <w:pPr>
              <w:pBdr>
                <w:top w:val="nil"/>
                <w:left w:val="nil"/>
                <w:bottom w:val="nil"/>
                <w:right w:val="nil"/>
                <w:between w:val="nil"/>
              </w:pBdr>
              <w:spacing w:before="60" w:after="60" w:line="240" w:lineRule="auto"/>
              <w:rPr>
                <w:sz w:val="22"/>
                <w:szCs w:val="22"/>
              </w:rPr>
            </w:pPr>
          </w:p>
        </w:tc>
        <w:tc>
          <w:tcPr>
            <w:tcW w:w="1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7262E" w14:textId="77777777" w:rsidR="00E920EA" w:rsidRDefault="00000000">
            <w:pPr>
              <w:spacing w:before="60" w:after="120" w:line="240" w:lineRule="auto"/>
              <w:rPr>
                <w:color w:val="000000"/>
                <w:sz w:val="22"/>
                <w:szCs w:val="22"/>
              </w:rPr>
            </w:pPr>
            <w:r>
              <w:rPr>
                <w:color w:val="000000"/>
                <w:sz w:val="22"/>
                <w:szCs w:val="22"/>
              </w:rPr>
              <w:t>16/20 (80%) of our Pupil Premium children are achieving expected standard in writing, increasing this and demonstrating progress amongst our children. This must consider the children with SEND and are Pupil Premium who have barriers to cognition and learning (4/20 children 20%).</w:t>
            </w:r>
          </w:p>
          <w:p w14:paraId="5E207AB7" w14:textId="77777777" w:rsidR="00E920EA" w:rsidRDefault="00E920EA">
            <w:pPr>
              <w:spacing w:before="60" w:after="120" w:line="240" w:lineRule="auto"/>
              <w:rPr>
                <w:color w:val="000000"/>
                <w:sz w:val="22"/>
                <w:szCs w:val="22"/>
              </w:rPr>
            </w:pPr>
          </w:p>
          <w:p w14:paraId="20D891EB" w14:textId="77777777" w:rsidR="00E920EA" w:rsidRDefault="00000000">
            <w:pPr>
              <w:spacing w:before="60" w:after="120" w:line="240" w:lineRule="auto"/>
              <w:rPr>
                <w:color w:val="000000"/>
                <w:sz w:val="22"/>
                <w:szCs w:val="22"/>
              </w:rPr>
            </w:pPr>
            <w:r>
              <w:rPr>
                <w:color w:val="000000"/>
                <w:sz w:val="22"/>
                <w:szCs w:val="22"/>
              </w:rPr>
              <w:t>KS2 writing outcomes in 2026/27 show that more than 70% of disadvantaged pupils met the expected standard.</w:t>
            </w:r>
          </w:p>
          <w:p w14:paraId="55B327C1" w14:textId="211AEF90" w:rsidR="001406E5" w:rsidRDefault="001406E5">
            <w:pPr>
              <w:spacing w:before="60" w:after="120" w:line="240" w:lineRule="auto"/>
              <w:rPr>
                <w:color w:val="000000"/>
                <w:sz w:val="22"/>
                <w:szCs w:val="22"/>
              </w:rPr>
            </w:pPr>
            <w:r>
              <w:rPr>
                <w:color w:val="000000"/>
                <w:sz w:val="22"/>
                <w:szCs w:val="22"/>
              </w:rPr>
              <w:t>December 2025 update:</w:t>
            </w:r>
          </w:p>
          <w:p w14:paraId="428B841D" w14:textId="5AA8C2E1" w:rsidR="001406E5" w:rsidRDefault="001406E5">
            <w:pPr>
              <w:spacing w:before="60" w:after="120" w:line="240" w:lineRule="auto"/>
              <w:rPr>
                <w:color w:val="000000"/>
                <w:sz w:val="22"/>
                <w:szCs w:val="22"/>
              </w:rPr>
            </w:pPr>
            <w:r>
              <w:rPr>
                <w:color w:val="000000"/>
                <w:sz w:val="22"/>
                <w:szCs w:val="22"/>
              </w:rPr>
              <w:t>April 2026 update:</w:t>
            </w:r>
          </w:p>
          <w:p w14:paraId="1F10ADAD" w14:textId="2FD85EAA" w:rsidR="001406E5" w:rsidRDefault="001406E5">
            <w:pPr>
              <w:spacing w:before="60" w:after="120" w:line="240" w:lineRule="auto"/>
              <w:rPr>
                <w:color w:val="000000"/>
                <w:sz w:val="22"/>
                <w:szCs w:val="22"/>
              </w:rPr>
            </w:pPr>
            <w:r>
              <w:rPr>
                <w:color w:val="000000"/>
                <w:sz w:val="22"/>
                <w:szCs w:val="22"/>
              </w:rPr>
              <w:t>July 2026 update:</w:t>
            </w:r>
          </w:p>
        </w:tc>
      </w:tr>
      <w:tr w:rsidR="00E920EA" w14:paraId="1F31BE1D" w14:textId="77777777" w:rsidTr="00CF5A1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9218" w14:textId="219D1713" w:rsidR="00E920EA" w:rsidRDefault="00000000">
            <w:pPr>
              <w:spacing w:before="60" w:after="60" w:line="240" w:lineRule="auto"/>
              <w:rPr>
                <w:sz w:val="22"/>
                <w:szCs w:val="22"/>
              </w:rPr>
            </w:pPr>
            <w:r>
              <w:rPr>
                <w:color w:val="000000"/>
                <w:sz w:val="22"/>
                <w:szCs w:val="22"/>
              </w:rPr>
              <w:t>To achieve and sustain improved attendance for all pupils, particularly our disadvantaged pupils.</w:t>
            </w:r>
            <w:r w:rsidR="001406E5">
              <w:rPr>
                <w:color w:val="000000"/>
                <w:sz w:val="22"/>
                <w:szCs w:val="22"/>
              </w:rPr>
              <w:t xml:space="preserve"> (2)</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8EFD" w14:textId="77777777" w:rsidR="00E920EA" w:rsidRDefault="00000000">
            <w:pPr>
              <w:spacing w:before="60" w:after="60" w:line="240" w:lineRule="auto"/>
              <w:rPr>
                <w:color w:val="000000"/>
                <w:sz w:val="22"/>
                <w:szCs w:val="22"/>
              </w:rPr>
            </w:pPr>
            <w:r>
              <w:rPr>
                <w:color w:val="000000"/>
                <w:sz w:val="22"/>
                <w:szCs w:val="22"/>
              </w:rPr>
              <w:t>Sustained high attendance by 2026/27 demonstrated by:</w:t>
            </w:r>
          </w:p>
          <w:p w14:paraId="6E796BE1" w14:textId="77777777" w:rsidR="00E920EA" w:rsidRDefault="00000000">
            <w:pPr>
              <w:numPr>
                <w:ilvl w:val="0"/>
                <w:numId w:val="2"/>
              </w:numPr>
              <w:spacing w:before="60" w:after="0" w:line="240" w:lineRule="auto"/>
              <w:ind w:left="714" w:hanging="357"/>
              <w:rPr>
                <w:color w:val="000000"/>
                <w:sz w:val="22"/>
                <w:szCs w:val="22"/>
              </w:rPr>
            </w:pPr>
            <w:r>
              <w:rPr>
                <w:color w:val="000000"/>
                <w:sz w:val="22"/>
                <w:szCs w:val="22"/>
              </w:rPr>
              <w:t>the overall unauthorised absence rate for all pupils being no more than 4%, and the attendance gap between disadvantaged pupils and their non-disadvantaged peers being reduced by 0.5%.</w:t>
            </w:r>
          </w:p>
          <w:p w14:paraId="2B6E3B0D" w14:textId="77777777" w:rsidR="00E920EA" w:rsidRDefault="00000000">
            <w:pPr>
              <w:numPr>
                <w:ilvl w:val="0"/>
                <w:numId w:val="2"/>
              </w:numPr>
              <w:spacing w:after="120" w:line="240" w:lineRule="auto"/>
              <w:ind w:left="714" w:hanging="357"/>
              <w:rPr>
                <w:color w:val="000000"/>
                <w:sz w:val="22"/>
                <w:szCs w:val="22"/>
              </w:rPr>
            </w:pPr>
            <w:r>
              <w:rPr>
                <w:color w:val="000000"/>
                <w:sz w:val="22"/>
                <w:szCs w:val="22"/>
              </w:rPr>
              <w:t>the percentage of all pupils who are persistently absent being below 8% and the figure among disadvantaged pupils being no more than 2.5% lower than their peers.</w:t>
            </w:r>
          </w:p>
          <w:p w14:paraId="3EDC2A1B" w14:textId="77777777" w:rsidR="001406E5" w:rsidRDefault="001406E5" w:rsidP="001406E5">
            <w:pPr>
              <w:spacing w:before="60" w:after="120" w:line="240" w:lineRule="auto"/>
              <w:rPr>
                <w:color w:val="000000"/>
                <w:sz w:val="22"/>
                <w:szCs w:val="22"/>
              </w:rPr>
            </w:pPr>
            <w:r>
              <w:rPr>
                <w:color w:val="000000"/>
                <w:sz w:val="22"/>
                <w:szCs w:val="22"/>
              </w:rPr>
              <w:t>December 2025 update:</w:t>
            </w:r>
          </w:p>
          <w:p w14:paraId="1F48131F" w14:textId="77777777" w:rsidR="001406E5" w:rsidRDefault="001406E5" w:rsidP="001406E5">
            <w:pPr>
              <w:spacing w:before="60" w:after="120" w:line="240" w:lineRule="auto"/>
              <w:rPr>
                <w:color w:val="000000"/>
                <w:sz w:val="22"/>
                <w:szCs w:val="22"/>
              </w:rPr>
            </w:pPr>
            <w:r>
              <w:rPr>
                <w:color w:val="000000"/>
                <w:sz w:val="22"/>
                <w:szCs w:val="22"/>
              </w:rPr>
              <w:t>April 2026 update:</w:t>
            </w:r>
          </w:p>
          <w:p w14:paraId="432C8D33" w14:textId="2B12406A" w:rsidR="001406E5" w:rsidRDefault="001406E5" w:rsidP="001406E5">
            <w:pPr>
              <w:spacing w:after="120" w:line="240" w:lineRule="auto"/>
              <w:rPr>
                <w:color w:val="000000"/>
                <w:sz w:val="22"/>
                <w:szCs w:val="22"/>
              </w:rPr>
            </w:pPr>
            <w:r>
              <w:rPr>
                <w:color w:val="000000"/>
                <w:sz w:val="22"/>
                <w:szCs w:val="22"/>
              </w:rPr>
              <w:t>July 2026 update:</w:t>
            </w:r>
          </w:p>
        </w:tc>
      </w:tr>
      <w:tr w:rsidR="00E920EA" w14:paraId="41EB2F49" w14:textId="77777777" w:rsidTr="00CF5A1B">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7172E" w14:textId="6A2E4A8A" w:rsidR="00E920EA" w:rsidRDefault="00000000">
            <w:pPr>
              <w:spacing w:before="60" w:line="240" w:lineRule="auto"/>
              <w:rPr>
                <w:color w:val="000000"/>
                <w:sz w:val="22"/>
                <w:szCs w:val="22"/>
              </w:rPr>
            </w:pPr>
            <w:r>
              <w:rPr>
                <w:color w:val="000000"/>
                <w:sz w:val="22"/>
                <w:szCs w:val="22"/>
              </w:rPr>
              <w:t>To achieve and sustain improved wellbeing for all pupils in our school, particularly our disadvantaged pupils.</w:t>
            </w:r>
            <w:r w:rsidR="001406E5">
              <w:rPr>
                <w:color w:val="000000"/>
                <w:sz w:val="22"/>
                <w:szCs w:val="22"/>
              </w:rPr>
              <w:t xml:space="preserve"> (3)</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125D6" w14:textId="77777777" w:rsidR="00E920EA" w:rsidRDefault="00000000">
            <w:pPr>
              <w:spacing w:before="60" w:after="60" w:line="240" w:lineRule="auto"/>
              <w:rPr>
                <w:color w:val="000000"/>
                <w:sz w:val="22"/>
                <w:szCs w:val="22"/>
              </w:rPr>
            </w:pPr>
            <w:r>
              <w:rPr>
                <w:color w:val="000000"/>
                <w:sz w:val="22"/>
                <w:szCs w:val="22"/>
              </w:rPr>
              <w:t>Sustained high levels of wellbeing by 2026/27 demonstrated by:</w:t>
            </w:r>
          </w:p>
          <w:p w14:paraId="7CB572AF" w14:textId="77777777" w:rsidR="00E920EA" w:rsidRDefault="00000000">
            <w:pPr>
              <w:numPr>
                <w:ilvl w:val="0"/>
                <w:numId w:val="3"/>
              </w:numPr>
              <w:spacing w:before="60" w:after="0" w:line="240" w:lineRule="auto"/>
              <w:ind w:left="714" w:hanging="357"/>
              <w:rPr>
                <w:color w:val="000000"/>
                <w:sz w:val="22"/>
                <w:szCs w:val="22"/>
              </w:rPr>
            </w:pPr>
            <w:r>
              <w:rPr>
                <w:color w:val="000000"/>
                <w:sz w:val="22"/>
                <w:szCs w:val="22"/>
              </w:rPr>
              <w:t>qualitative data from student voice, student and parent surveys and teacher observations</w:t>
            </w:r>
          </w:p>
          <w:p w14:paraId="57FD8BCC" w14:textId="77777777" w:rsidR="00E920EA" w:rsidRDefault="00000000">
            <w:pPr>
              <w:numPr>
                <w:ilvl w:val="0"/>
                <w:numId w:val="3"/>
              </w:numPr>
              <w:spacing w:after="0" w:line="240" w:lineRule="auto"/>
              <w:rPr>
                <w:color w:val="000000"/>
                <w:sz w:val="22"/>
                <w:szCs w:val="22"/>
              </w:rPr>
            </w:pPr>
            <w:r>
              <w:rPr>
                <w:color w:val="000000"/>
                <w:sz w:val="22"/>
                <w:szCs w:val="22"/>
              </w:rPr>
              <w:t>a significant reduction in perceived bullying and children having a firm understanding of this.</w:t>
            </w:r>
          </w:p>
          <w:p w14:paraId="34E9046D" w14:textId="77777777" w:rsidR="00E920EA" w:rsidRDefault="00000000">
            <w:pPr>
              <w:numPr>
                <w:ilvl w:val="0"/>
                <w:numId w:val="3"/>
              </w:numPr>
              <w:spacing w:after="120" w:line="240" w:lineRule="auto"/>
              <w:ind w:left="714" w:hanging="357"/>
              <w:rPr>
                <w:color w:val="000000"/>
                <w:sz w:val="22"/>
                <w:szCs w:val="22"/>
              </w:rPr>
            </w:pPr>
            <w:r>
              <w:rPr>
                <w:color w:val="000000"/>
                <w:sz w:val="22"/>
                <w:szCs w:val="22"/>
              </w:rPr>
              <w:t xml:space="preserve">a significant increase in participation in enrichment activities, particularly among disadvantaged pupils tracked through Arbor.  </w:t>
            </w:r>
          </w:p>
          <w:p w14:paraId="6A5B91FA" w14:textId="77777777" w:rsidR="00E920EA" w:rsidRDefault="00000000">
            <w:pPr>
              <w:numPr>
                <w:ilvl w:val="0"/>
                <w:numId w:val="3"/>
              </w:numPr>
              <w:spacing w:after="120" w:line="240" w:lineRule="auto"/>
              <w:ind w:left="714" w:hanging="357"/>
              <w:rPr>
                <w:color w:val="000000"/>
                <w:sz w:val="22"/>
                <w:szCs w:val="22"/>
              </w:rPr>
            </w:pPr>
            <w:r>
              <w:rPr>
                <w:color w:val="000000"/>
                <w:sz w:val="22"/>
                <w:szCs w:val="22"/>
              </w:rPr>
              <w:t>ensure that children are proud of their achievements, such as representing school in competitions and at events.</w:t>
            </w:r>
          </w:p>
          <w:p w14:paraId="3FB3DA49" w14:textId="77777777" w:rsidR="00E920EA" w:rsidRDefault="00000000">
            <w:pPr>
              <w:numPr>
                <w:ilvl w:val="0"/>
                <w:numId w:val="3"/>
              </w:numPr>
              <w:spacing w:after="120" w:line="240" w:lineRule="auto"/>
              <w:ind w:left="714" w:hanging="357"/>
              <w:rPr>
                <w:color w:val="000000"/>
                <w:sz w:val="22"/>
                <w:szCs w:val="22"/>
              </w:rPr>
            </w:pPr>
            <w:r>
              <w:rPr>
                <w:color w:val="000000"/>
                <w:sz w:val="22"/>
                <w:szCs w:val="22"/>
              </w:rPr>
              <w:lastRenderedPageBreak/>
              <w:t>encourage more children to participate in extracurricular opportunities and track this effectively.</w:t>
            </w:r>
          </w:p>
          <w:p w14:paraId="71C9F443" w14:textId="77777777" w:rsidR="001406E5" w:rsidRDefault="001406E5" w:rsidP="001406E5">
            <w:pPr>
              <w:spacing w:before="60" w:after="120" w:line="240" w:lineRule="auto"/>
              <w:rPr>
                <w:color w:val="000000"/>
                <w:sz w:val="22"/>
                <w:szCs w:val="22"/>
              </w:rPr>
            </w:pPr>
            <w:r>
              <w:rPr>
                <w:color w:val="000000"/>
                <w:sz w:val="22"/>
                <w:szCs w:val="22"/>
              </w:rPr>
              <w:t>December 2025 update:</w:t>
            </w:r>
          </w:p>
          <w:p w14:paraId="6BACB50F" w14:textId="77777777" w:rsidR="001406E5" w:rsidRDefault="001406E5" w:rsidP="001406E5">
            <w:pPr>
              <w:spacing w:before="60" w:after="120" w:line="240" w:lineRule="auto"/>
              <w:rPr>
                <w:color w:val="000000"/>
                <w:sz w:val="22"/>
                <w:szCs w:val="22"/>
              </w:rPr>
            </w:pPr>
            <w:r>
              <w:rPr>
                <w:color w:val="000000"/>
                <w:sz w:val="22"/>
                <w:szCs w:val="22"/>
              </w:rPr>
              <w:t>April 2026 update:</w:t>
            </w:r>
          </w:p>
          <w:p w14:paraId="55FC0F7E" w14:textId="5BAAF111" w:rsidR="001406E5" w:rsidRDefault="001406E5" w:rsidP="001406E5">
            <w:pPr>
              <w:spacing w:after="120" w:line="240" w:lineRule="auto"/>
              <w:rPr>
                <w:color w:val="000000"/>
                <w:sz w:val="22"/>
                <w:szCs w:val="22"/>
              </w:rPr>
            </w:pPr>
            <w:r>
              <w:rPr>
                <w:color w:val="000000"/>
                <w:sz w:val="22"/>
                <w:szCs w:val="22"/>
              </w:rPr>
              <w:t>July 2026 update:</w:t>
            </w:r>
          </w:p>
        </w:tc>
      </w:tr>
      <w:tr w:rsidR="001406E5" w14:paraId="5B32AE70" w14:textId="77777777" w:rsidTr="00CF5A1B">
        <w:tc>
          <w:tcPr>
            <w:tcW w:w="14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553F" w14:textId="228C4CA1" w:rsidR="001406E5" w:rsidRPr="001406E5" w:rsidRDefault="001406E5" w:rsidP="001406E5">
            <w:pPr>
              <w:pStyle w:val="Heading3"/>
              <w:rPr>
                <w:sz w:val="22"/>
                <w:szCs w:val="22"/>
              </w:rPr>
            </w:pPr>
            <w:r w:rsidRPr="001406E5">
              <w:rPr>
                <w:sz w:val="22"/>
                <w:szCs w:val="22"/>
              </w:rPr>
              <w:lastRenderedPageBreak/>
              <w:t>Intention for 2026 – 2028: Teaching</w:t>
            </w:r>
          </w:p>
          <w:p w14:paraId="5AF69C8F" w14:textId="7FCF3C30" w:rsidR="001406E5" w:rsidRPr="001406E5" w:rsidRDefault="001406E5" w:rsidP="001406E5">
            <w:pPr>
              <w:rPr>
                <w:color w:val="000000"/>
                <w:sz w:val="22"/>
                <w:szCs w:val="22"/>
              </w:rPr>
            </w:pPr>
            <w:r w:rsidRPr="001406E5">
              <w:rPr>
                <w:color w:val="000000"/>
                <w:sz w:val="22"/>
                <w:szCs w:val="22"/>
              </w:rPr>
              <w:t xml:space="preserve">During this </w:t>
            </w:r>
            <w:proofErr w:type="gramStart"/>
            <w:r w:rsidRPr="001406E5">
              <w:rPr>
                <w:color w:val="000000"/>
                <w:sz w:val="22"/>
                <w:szCs w:val="22"/>
              </w:rPr>
              <w:t>period</w:t>
            </w:r>
            <w:proofErr w:type="gramEnd"/>
            <w:r w:rsidRPr="001406E5">
              <w:rPr>
                <w:color w:val="000000"/>
                <w:sz w:val="22"/>
                <w:szCs w:val="22"/>
              </w:rPr>
              <w:t xml:space="preserve"> we will:</w:t>
            </w:r>
          </w:p>
          <w:p w14:paraId="0F589C05" w14:textId="73584728" w:rsidR="001406E5" w:rsidRPr="001406E5" w:rsidRDefault="001406E5" w:rsidP="001406E5">
            <w:pPr>
              <w:pStyle w:val="ListParagraph"/>
              <w:numPr>
                <w:ilvl w:val="0"/>
                <w:numId w:val="13"/>
              </w:numPr>
              <w:rPr>
                <w:sz w:val="22"/>
                <w:szCs w:val="22"/>
              </w:rPr>
            </w:pPr>
            <w:r w:rsidRPr="001406E5">
              <w:rPr>
                <w:sz w:val="22"/>
                <w:szCs w:val="22"/>
              </w:rPr>
              <w:t>Continue to ensure that Quality First Teaching remains a priority</w:t>
            </w:r>
          </w:p>
          <w:p w14:paraId="79A335D9" w14:textId="3B6940D6" w:rsidR="001406E5" w:rsidRPr="001406E5" w:rsidRDefault="001406E5" w:rsidP="001406E5">
            <w:pPr>
              <w:pStyle w:val="ListParagraph"/>
              <w:numPr>
                <w:ilvl w:val="0"/>
                <w:numId w:val="13"/>
              </w:numPr>
              <w:rPr>
                <w:sz w:val="22"/>
                <w:szCs w:val="22"/>
              </w:rPr>
            </w:pPr>
            <w:r w:rsidRPr="001406E5">
              <w:rPr>
                <w:sz w:val="22"/>
                <w:szCs w:val="22"/>
              </w:rPr>
              <w:t>Continue to support families in improving attendance</w:t>
            </w:r>
          </w:p>
          <w:p w14:paraId="3FCC3B25" w14:textId="77777777" w:rsidR="001406E5" w:rsidRDefault="001406E5" w:rsidP="001406E5">
            <w:pPr>
              <w:pStyle w:val="ListParagraph"/>
              <w:numPr>
                <w:ilvl w:val="0"/>
                <w:numId w:val="13"/>
              </w:numPr>
              <w:rPr>
                <w:sz w:val="22"/>
                <w:szCs w:val="22"/>
              </w:rPr>
            </w:pPr>
            <w:r w:rsidRPr="001406E5">
              <w:rPr>
                <w:sz w:val="22"/>
                <w:szCs w:val="22"/>
              </w:rPr>
              <w:t>Assess the impact of metacognitive techniques and how they are supportive children’s wellbeing.</w:t>
            </w:r>
          </w:p>
          <w:p w14:paraId="75305B7D" w14:textId="0E81A7CA" w:rsidR="001406E5" w:rsidRPr="001406E5" w:rsidRDefault="001406E5" w:rsidP="001406E5">
            <w:pPr>
              <w:rPr>
                <w:i/>
                <w:iCs/>
                <w:sz w:val="22"/>
                <w:szCs w:val="22"/>
              </w:rPr>
            </w:pPr>
            <w:r w:rsidRPr="001406E5">
              <w:rPr>
                <w:i/>
                <w:iCs/>
                <w:sz w:val="22"/>
                <w:szCs w:val="22"/>
              </w:rPr>
              <w:t>These intentions will only be taken forward if data supports the actions and approaches chosen and funding continues to be available. Otherwise, revisions will be made to this section by July 2026 at the latest.</w:t>
            </w:r>
          </w:p>
        </w:tc>
      </w:tr>
    </w:tbl>
    <w:p w14:paraId="7681ED8A" w14:textId="77777777" w:rsidR="00E920EA" w:rsidRDefault="00E920EA"/>
    <w:p w14:paraId="18D2F520" w14:textId="77777777" w:rsidR="005439A0" w:rsidRDefault="005439A0"/>
    <w:p w14:paraId="14D40890" w14:textId="77777777" w:rsidR="005439A0" w:rsidRDefault="005439A0"/>
    <w:p w14:paraId="6B6294D8" w14:textId="77777777" w:rsidR="005439A0" w:rsidRDefault="005439A0"/>
    <w:p w14:paraId="36A25BE0" w14:textId="77777777" w:rsidR="005439A0" w:rsidRDefault="005439A0"/>
    <w:p w14:paraId="051AD190" w14:textId="77777777" w:rsidR="005439A0" w:rsidRDefault="005439A0"/>
    <w:p w14:paraId="4BAC0DBC" w14:textId="77777777" w:rsidR="005439A0" w:rsidRDefault="005439A0"/>
    <w:p w14:paraId="41459EA4" w14:textId="77777777" w:rsidR="00E920EA" w:rsidRDefault="00000000">
      <w:pPr>
        <w:pStyle w:val="Heading2"/>
      </w:pPr>
      <w:r>
        <w:lastRenderedPageBreak/>
        <w:t>Activity in this academic year</w:t>
      </w:r>
    </w:p>
    <w:p w14:paraId="26E3DA03" w14:textId="77777777" w:rsidR="00E920EA" w:rsidRDefault="00000000">
      <w:pPr>
        <w:spacing w:after="480"/>
      </w:pPr>
      <w:r>
        <w:t xml:space="preserve">This details how we intend to spend our pupil premium funding </w:t>
      </w:r>
      <w:r>
        <w:rPr>
          <w:b/>
        </w:rPr>
        <w:t>this academic year</w:t>
      </w:r>
      <w:r>
        <w:t xml:space="preserve"> to address the challenges listed above.</w:t>
      </w:r>
    </w:p>
    <w:p w14:paraId="0E2F762A" w14:textId="77777777" w:rsidR="00E920EA" w:rsidRDefault="00000000">
      <w:pPr>
        <w:pStyle w:val="Heading3"/>
      </w:pPr>
      <w:r>
        <w:t>Teaching (for example, CPD, recruitment and retention)</w:t>
      </w:r>
    </w:p>
    <w:p w14:paraId="4DD4F143" w14:textId="1044E311" w:rsidR="00E920EA" w:rsidRDefault="00176BC9">
      <w:r>
        <w:t>Budgeted cost: £ 20,555.04</w:t>
      </w:r>
    </w:p>
    <w:tbl>
      <w:tblPr>
        <w:tblStyle w:val="a4"/>
        <w:tblW w:w="14879" w:type="dxa"/>
        <w:tblLayout w:type="fixed"/>
        <w:tblLook w:val="0400" w:firstRow="0" w:lastRow="0" w:firstColumn="0" w:lastColumn="0" w:noHBand="0" w:noVBand="1"/>
      </w:tblPr>
      <w:tblGrid>
        <w:gridCol w:w="4248"/>
        <w:gridCol w:w="9072"/>
        <w:gridCol w:w="1559"/>
      </w:tblGrid>
      <w:tr w:rsidR="00E920EA" w14:paraId="7D958B3B" w14:textId="77777777" w:rsidTr="00CF5A1B">
        <w:tc>
          <w:tcPr>
            <w:tcW w:w="424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D388688" w14:textId="77777777" w:rsidR="00E920EA" w:rsidRDefault="00000000">
            <w:pPr>
              <w:pBdr>
                <w:top w:val="nil"/>
                <w:left w:val="nil"/>
                <w:bottom w:val="nil"/>
                <w:right w:val="nil"/>
                <w:between w:val="nil"/>
              </w:pBdr>
              <w:spacing w:before="60" w:after="60" w:line="240" w:lineRule="auto"/>
              <w:rPr>
                <w:b/>
              </w:rPr>
            </w:pPr>
            <w:r>
              <w:rPr>
                <w:b/>
              </w:rPr>
              <w:t>Activity</w:t>
            </w:r>
          </w:p>
        </w:tc>
        <w:tc>
          <w:tcPr>
            <w:tcW w:w="90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C8DFE86" w14:textId="1F0EAAC1" w:rsidR="00E920EA" w:rsidRDefault="00176BC9">
            <w:pPr>
              <w:pBdr>
                <w:top w:val="nil"/>
                <w:left w:val="nil"/>
                <w:bottom w:val="nil"/>
                <w:right w:val="nil"/>
                <w:between w:val="nil"/>
              </w:pBdr>
              <w:spacing w:before="60" w:after="60" w:line="240" w:lineRule="auto"/>
              <w:rPr>
                <w:b/>
              </w:rPr>
            </w:pPr>
            <w:r>
              <w:rPr>
                <w:b/>
              </w:rP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E6A42E7" w14:textId="77777777" w:rsidR="00E920EA" w:rsidRDefault="00000000">
            <w:pPr>
              <w:pBdr>
                <w:top w:val="nil"/>
                <w:left w:val="nil"/>
                <w:bottom w:val="nil"/>
                <w:right w:val="nil"/>
                <w:between w:val="nil"/>
              </w:pBdr>
              <w:spacing w:before="60" w:after="60" w:line="240" w:lineRule="auto"/>
              <w:rPr>
                <w:b/>
              </w:rPr>
            </w:pPr>
            <w:r>
              <w:rPr>
                <w:b/>
              </w:rPr>
              <w:t>Challenge number(s) addressed</w:t>
            </w:r>
          </w:p>
        </w:tc>
      </w:tr>
      <w:tr w:rsidR="00E920EA" w14:paraId="333AE49B" w14:textId="77777777" w:rsidTr="00CF5A1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4540" w14:textId="77777777" w:rsidR="00E920EA" w:rsidRDefault="00000000">
            <w:pPr>
              <w:pBdr>
                <w:top w:val="nil"/>
                <w:left w:val="nil"/>
                <w:bottom w:val="nil"/>
                <w:right w:val="nil"/>
                <w:between w:val="nil"/>
              </w:pBdr>
              <w:spacing w:before="60" w:after="60" w:line="240" w:lineRule="auto"/>
              <w:rPr>
                <w:sz w:val="22"/>
                <w:szCs w:val="22"/>
              </w:rPr>
            </w:pPr>
            <w:r>
              <w:rPr>
                <w:sz w:val="22"/>
                <w:szCs w:val="22"/>
              </w:rPr>
              <w:t>Member of SHARES cluster to share best value for CPD. Planned CPD cycle for the year for teachers and teaching assistants.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C9AF7" w14:textId="77777777" w:rsidR="00E920EA" w:rsidRDefault="00E920EA">
            <w:pPr>
              <w:pBdr>
                <w:top w:val="nil"/>
                <w:left w:val="nil"/>
                <w:bottom w:val="nil"/>
                <w:right w:val="nil"/>
                <w:between w:val="nil"/>
              </w:pBdr>
              <w:spacing w:before="60" w:after="60" w:line="240" w:lineRule="auto"/>
              <w:rPr>
                <w:sz w:val="22"/>
                <w:szCs w:val="22"/>
              </w:rPr>
            </w:pPr>
            <w:hyperlink r:id="rId8">
              <w:r>
                <w:rPr>
                  <w:color w:val="1155CC"/>
                  <w:sz w:val="22"/>
                  <w:szCs w:val="22"/>
                  <w:u w:val="single"/>
                </w:rPr>
                <w:t>Effective Prof</w:t>
              </w:r>
              <w:r>
                <w:rPr>
                  <w:color w:val="1155CC"/>
                  <w:sz w:val="22"/>
                  <w:szCs w:val="22"/>
                  <w:u w:val="single"/>
                </w:rPr>
                <w:t>e</w:t>
              </w:r>
              <w:r>
                <w:rPr>
                  <w:color w:val="1155CC"/>
                  <w:sz w:val="22"/>
                  <w:szCs w:val="22"/>
                  <w:u w:val="single"/>
                </w:rPr>
                <w:t>ssional Development | EEF</w:t>
              </w:r>
            </w:hyperlink>
            <w:r w:rsidR="00000000">
              <w:rPr>
                <w:sz w:val="22"/>
                <w:szCs w:val="22"/>
              </w:rPr>
              <w:t xml:space="preserve"> </w:t>
            </w:r>
          </w:p>
          <w:p w14:paraId="3581D32B" w14:textId="77777777" w:rsidR="00E920EA" w:rsidRDefault="00000000">
            <w:pPr>
              <w:pBdr>
                <w:top w:val="nil"/>
                <w:left w:val="nil"/>
                <w:bottom w:val="nil"/>
                <w:right w:val="nil"/>
                <w:between w:val="nil"/>
              </w:pBdr>
              <w:spacing w:before="60" w:after="60" w:line="240" w:lineRule="auto"/>
              <w:rPr>
                <w:sz w:val="22"/>
                <w:szCs w:val="22"/>
              </w:rPr>
            </w:pPr>
            <w:r>
              <w:rPr>
                <w:sz w:val="22"/>
                <w:szCs w:val="22"/>
              </w:rPr>
              <w:t>Sharing the CPD with other professionals supports looking outside our school. Additionally, external trainers can support with motivating teachers and will consider cognitive load. Sharing with our local cluster supports taking context into consideration and use approaches that support our children.</w:t>
            </w:r>
          </w:p>
          <w:p w14:paraId="508EDF81" w14:textId="77777777" w:rsidR="00E920EA" w:rsidRDefault="00E920EA">
            <w:pPr>
              <w:pBdr>
                <w:top w:val="nil"/>
                <w:left w:val="nil"/>
                <w:bottom w:val="nil"/>
                <w:right w:val="nil"/>
                <w:between w:val="nil"/>
              </w:pBdr>
              <w:spacing w:before="60" w:after="60" w:line="240" w:lineRule="auto"/>
              <w:rPr>
                <w:sz w:val="22"/>
                <w:szCs w:val="22"/>
              </w:rPr>
            </w:pPr>
          </w:p>
          <w:p w14:paraId="14212B43" w14:textId="77777777" w:rsidR="00E920EA" w:rsidRDefault="00000000">
            <w:pPr>
              <w:pBdr>
                <w:top w:val="nil"/>
                <w:left w:val="nil"/>
                <w:bottom w:val="nil"/>
                <w:right w:val="nil"/>
                <w:between w:val="nil"/>
              </w:pBdr>
              <w:spacing w:before="60" w:after="60" w:line="240" w:lineRule="auto"/>
              <w:rPr>
                <w:sz w:val="22"/>
                <w:szCs w:val="22"/>
              </w:rPr>
            </w:pPr>
            <w:r>
              <w:rPr>
                <w:sz w:val="22"/>
                <w:szCs w:val="22"/>
              </w:rPr>
              <w:t>Supporting TA training through regular sessions delivered by Strive SEND, this will continue to upskill and support our most vulnerable children.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632F" w14:textId="77777777" w:rsidR="00E920EA" w:rsidRDefault="00000000">
            <w:pPr>
              <w:pBdr>
                <w:top w:val="nil"/>
                <w:left w:val="nil"/>
                <w:bottom w:val="nil"/>
                <w:right w:val="nil"/>
                <w:between w:val="nil"/>
              </w:pBdr>
              <w:spacing w:before="60" w:after="60" w:line="240" w:lineRule="auto"/>
              <w:rPr>
                <w:sz w:val="22"/>
                <w:szCs w:val="22"/>
              </w:rPr>
            </w:pPr>
            <w:r>
              <w:rPr>
                <w:sz w:val="22"/>
                <w:szCs w:val="22"/>
              </w:rPr>
              <w:t>1, 2, 3</w:t>
            </w:r>
          </w:p>
        </w:tc>
      </w:tr>
      <w:tr w:rsidR="00E920EA" w14:paraId="00860439" w14:textId="77777777" w:rsidTr="00CF5A1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E2AD" w14:textId="77777777" w:rsidR="00E920EA" w:rsidRDefault="00000000">
            <w:pPr>
              <w:spacing w:before="60" w:line="240" w:lineRule="auto"/>
              <w:rPr>
                <w:color w:val="000000"/>
                <w:sz w:val="22"/>
                <w:szCs w:val="22"/>
                <w:highlight w:val="white"/>
              </w:rPr>
            </w:pPr>
            <w:r>
              <w:rPr>
                <w:color w:val="000000"/>
                <w:sz w:val="22"/>
                <w:szCs w:val="22"/>
              </w:rPr>
              <w:t xml:space="preserve">Purchase of standardised diagnostic assessments. </w:t>
            </w:r>
          </w:p>
          <w:p w14:paraId="20E4F4EB" w14:textId="77777777" w:rsidR="00E920EA" w:rsidRDefault="00000000">
            <w:pPr>
              <w:spacing w:before="60" w:line="240" w:lineRule="auto"/>
              <w:rPr>
                <w:color w:val="000000"/>
                <w:sz w:val="22"/>
                <w:szCs w:val="22"/>
                <w:highlight w:val="white"/>
              </w:rPr>
            </w:pPr>
            <w:r>
              <w:rPr>
                <w:color w:val="000000"/>
                <w:sz w:val="22"/>
                <w:szCs w:val="22"/>
                <w:highlight w:val="white"/>
              </w:rPr>
              <w:t>Training for staff to ensure assessments are interpreted and administered correctly.</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AEC5" w14:textId="77777777" w:rsidR="00E920EA" w:rsidRDefault="00000000">
            <w:pPr>
              <w:spacing w:before="60" w:after="60" w:line="240" w:lineRule="auto"/>
              <w:rPr>
                <w:color w:val="000000"/>
                <w:sz w:val="22"/>
                <w:szCs w:val="22"/>
              </w:rPr>
            </w:pPr>
            <w:r>
              <w:rPr>
                <w:color w:val="000000"/>
                <w:sz w:val="22"/>
                <w:szCs w:val="22"/>
              </w:rPr>
              <w:t>When used effectively, diagnostic assessments can indicate areas for development for individual pupils, or across classes and year groups:</w:t>
            </w:r>
          </w:p>
          <w:p w14:paraId="0501756A" w14:textId="1F77FC40" w:rsidR="00E920EA" w:rsidRDefault="00E920EA">
            <w:pPr>
              <w:spacing w:before="60" w:after="60" w:line="240" w:lineRule="auto"/>
              <w:rPr>
                <w:color w:val="000000"/>
                <w:sz w:val="22"/>
                <w:szCs w:val="22"/>
              </w:rPr>
            </w:pPr>
            <w:hyperlink r:id="rId9">
              <w:r>
                <w:rPr>
                  <w:color w:val="0000FF"/>
                  <w:sz w:val="22"/>
                  <w:szCs w:val="22"/>
                  <w:u w:val="single"/>
                </w:rPr>
                <w:t>Diagnostic assessme</w:t>
              </w:r>
              <w:r>
                <w:rPr>
                  <w:color w:val="0000FF"/>
                  <w:sz w:val="22"/>
                  <w:szCs w:val="22"/>
                  <w:u w:val="single"/>
                </w:rPr>
                <w:t>n</w:t>
              </w:r>
              <w:r>
                <w:rPr>
                  <w:color w:val="0000FF"/>
                  <w:sz w:val="22"/>
                  <w:szCs w:val="22"/>
                  <w:u w:val="single"/>
                </w:rPr>
                <w:t>t | EEF</w:t>
              </w:r>
            </w:hyperlink>
            <w:r w:rsidR="00CF5A1B">
              <w:rPr>
                <w:color w:val="0070C0"/>
                <w:sz w:val="22"/>
                <w:szCs w:val="22"/>
                <w:u w:val="single"/>
              </w:rPr>
              <w:t xml:space="preserve"> (when used in small groups can be +4 months)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1FAD" w14:textId="77777777" w:rsidR="00E920EA" w:rsidRDefault="00000000">
            <w:pPr>
              <w:spacing w:before="60" w:after="60" w:line="240" w:lineRule="auto"/>
              <w:rPr>
                <w:color w:val="000000"/>
                <w:sz w:val="22"/>
                <w:szCs w:val="22"/>
              </w:rPr>
            </w:pPr>
            <w:r>
              <w:rPr>
                <w:color w:val="000000"/>
                <w:sz w:val="22"/>
                <w:szCs w:val="22"/>
              </w:rPr>
              <w:t>1, 2, 3</w:t>
            </w:r>
          </w:p>
        </w:tc>
      </w:tr>
      <w:tr w:rsidR="00E920EA" w14:paraId="20D794E7" w14:textId="77777777" w:rsidTr="00CF5A1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CA00D" w14:textId="77777777" w:rsidR="00E920EA" w:rsidRDefault="00000000">
            <w:pPr>
              <w:spacing w:before="60" w:after="0" w:line="240" w:lineRule="auto"/>
              <w:rPr>
                <w:color w:val="000000"/>
                <w:sz w:val="22"/>
                <w:szCs w:val="22"/>
              </w:rPr>
            </w:pPr>
            <w:r>
              <w:rPr>
                <w:color w:val="000000"/>
                <w:sz w:val="22"/>
                <w:szCs w:val="22"/>
              </w:rPr>
              <w:t>Improve the quality of social and emotional (SEL) learning through our PSHE approach.</w:t>
            </w:r>
          </w:p>
          <w:p w14:paraId="6C74E60B" w14:textId="77777777" w:rsidR="00E920EA" w:rsidRDefault="00E920EA">
            <w:pPr>
              <w:spacing w:after="0" w:line="240" w:lineRule="auto"/>
              <w:rPr>
                <w:color w:val="000000"/>
                <w:sz w:val="22"/>
                <w:szCs w:val="22"/>
              </w:rPr>
            </w:pPr>
          </w:p>
          <w:p w14:paraId="5BAA18BC" w14:textId="77777777" w:rsidR="00E920EA" w:rsidRDefault="00000000">
            <w:pPr>
              <w:spacing w:line="240" w:lineRule="auto"/>
              <w:rPr>
                <w:color w:val="000000"/>
                <w:sz w:val="22"/>
                <w:szCs w:val="22"/>
              </w:rPr>
            </w:pPr>
            <w:r>
              <w:rPr>
                <w:color w:val="000000"/>
                <w:sz w:val="22"/>
                <w:szCs w:val="22"/>
              </w:rPr>
              <w:t xml:space="preserve">SEL approaches will be embedded into routine educational practices and </w:t>
            </w:r>
            <w:r>
              <w:rPr>
                <w:color w:val="000000"/>
                <w:sz w:val="22"/>
                <w:szCs w:val="22"/>
              </w:rPr>
              <w:lastRenderedPageBreak/>
              <w:t>supported by professional development and training for staff through the behaviour curriculum.</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D9B6" w14:textId="77777777" w:rsidR="00E920EA" w:rsidRDefault="00000000">
            <w:pPr>
              <w:spacing w:before="60" w:after="60" w:line="240" w:lineRule="auto"/>
              <w:rPr>
                <w:color w:val="000000"/>
                <w:sz w:val="22"/>
                <w:szCs w:val="22"/>
              </w:rPr>
            </w:pPr>
            <w:r>
              <w:rPr>
                <w:color w:val="000000"/>
                <w:sz w:val="22"/>
                <w:szCs w:val="22"/>
              </w:rPr>
              <w:lastRenderedPageBreak/>
              <w:t>There is extensive evidence associating childhood social and emotional skills with improved outcomes at school and in later life (e.g., improved academic performance, attitudes, behaviour and relationships with peers):</w:t>
            </w:r>
          </w:p>
          <w:p w14:paraId="0843E6CC" w14:textId="04C2E91F" w:rsidR="00E920EA" w:rsidRDefault="00E920EA">
            <w:pPr>
              <w:spacing w:before="60" w:after="120" w:line="240" w:lineRule="auto"/>
              <w:rPr>
                <w:color w:val="0000FF"/>
                <w:sz w:val="22"/>
                <w:szCs w:val="22"/>
                <w:u w:val="single"/>
              </w:rPr>
            </w:pPr>
            <w:hyperlink r:id="rId10">
              <w:proofErr w:type="spellStart"/>
              <w:r>
                <w:rPr>
                  <w:color w:val="0000FF"/>
                  <w:sz w:val="22"/>
                  <w:szCs w:val="22"/>
                  <w:u w:val="single"/>
                </w:rPr>
                <w:t>Impro</w:t>
              </w:r>
              <w:r>
                <w:rPr>
                  <w:color w:val="0000FF"/>
                  <w:sz w:val="22"/>
                  <w:szCs w:val="22"/>
                  <w:u w:val="single"/>
                </w:rPr>
                <w:t>v</w:t>
              </w:r>
              <w:r>
                <w:rPr>
                  <w:color w:val="0000FF"/>
                  <w:sz w:val="22"/>
                  <w:szCs w:val="22"/>
                  <w:u w:val="single"/>
                </w:rPr>
                <w:t>ing_Social_and_Emotional</w:t>
              </w:r>
              <w:proofErr w:type="spellEnd"/>
              <w:r>
                <w:rPr>
                  <w:color w:val="0000FF"/>
                  <w:sz w:val="22"/>
                  <w:szCs w:val="22"/>
                  <w:u w:val="single"/>
                </w:rPr>
                <w:t>_ Learning</w:t>
              </w:r>
            </w:hyperlink>
            <w:r w:rsidR="00000000">
              <w:rPr>
                <w:color w:val="0000FF"/>
                <w:sz w:val="22"/>
                <w:szCs w:val="22"/>
                <w:u w:val="single"/>
              </w:rPr>
              <w:t xml:space="preserve"> in Primary Schools | EEF</w:t>
            </w:r>
            <w:r w:rsidR="00CF5A1B">
              <w:rPr>
                <w:color w:val="0000FF"/>
                <w:sz w:val="22"/>
                <w:szCs w:val="22"/>
                <w:u w:val="single"/>
              </w:rPr>
              <w:t xml:space="preserve"> (+4 months)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9E51F" w14:textId="77777777" w:rsidR="00E920EA" w:rsidRDefault="00000000">
            <w:pPr>
              <w:spacing w:before="60" w:after="60" w:line="240" w:lineRule="auto"/>
              <w:rPr>
                <w:color w:val="000000"/>
                <w:sz w:val="22"/>
                <w:szCs w:val="22"/>
              </w:rPr>
            </w:pPr>
            <w:r>
              <w:rPr>
                <w:color w:val="000000"/>
                <w:sz w:val="22"/>
                <w:szCs w:val="22"/>
              </w:rPr>
              <w:t>3</w:t>
            </w:r>
          </w:p>
        </w:tc>
      </w:tr>
      <w:tr w:rsidR="00E920EA" w14:paraId="422DD986" w14:textId="77777777" w:rsidTr="00CF5A1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3611" w14:textId="77777777" w:rsidR="00E920EA" w:rsidRDefault="00000000">
            <w:pPr>
              <w:spacing w:before="60" w:after="0" w:line="240" w:lineRule="auto"/>
              <w:rPr>
                <w:color w:val="000000"/>
                <w:sz w:val="22"/>
                <w:szCs w:val="22"/>
              </w:rPr>
            </w:pPr>
            <w:r>
              <w:rPr>
                <w:color w:val="000000"/>
                <w:sz w:val="22"/>
                <w:szCs w:val="22"/>
              </w:rPr>
              <w:t>Professional development for teachers around teaching and learning, programme mapped across the academic year.</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EDCFA" w14:textId="77777777" w:rsidR="00E920EA" w:rsidRDefault="00000000">
            <w:pPr>
              <w:spacing w:before="60" w:after="60" w:line="240" w:lineRule="auto"/>
              <w:rPr>
                <w:i/>
                <w:color w:val="000000"/>
                <w:sz w:val="22"/>
                <w:szCs w:val="22"/>
              </w:rPr>
            </w:pPr>
            <w:r>
              <w:rPr>
                <w:i/>
                <w:color w:val="000000"/>
                <w:sz w:val="22"/>
                <w:szCs w:val="22"/>
              </w:rPr>
              <w:t>1. When designing and selecting professional development, focus on the mechanisms</w:t>
            </w:r>
          </w:p>
          <w:p w14:paraId="2C304281" w14:textId="77777777" w:rsidR="00E920EA" w:rsidRDefault="00000000">
            <w:pPr>
              <w:spacing w:before="60" w:after="60" w:line="240" w:lineRule="auto"/>
              <w:rPr>
                <w:color w:val="000000"/>
                <w:sz w:val="22"/>
                <w:szCs w:val="22"/>
              </w:rPr>
            </w:pPr>
            <w:r>
              <w:rPr>
                <w:color w:val="000000"/>
                <w:sz w:val="22"/>
                <w:szCs w:val="22"/>
              </w:rPr>
              <w:t>To improve pupil outcomes, careful attention should be paid to how PD is designed. In particular, those who design and select PD should focus on mechanisms.</w:t>
            </w:r>
          </w:p>
          <w:p w14:paraId="527426FA" w14:textId="77777777" w:rsidR="00E920EA" w:rsidRDefault="00E920EA">
            <w:pPr>
              <w:spacing w:before="60" w:after="60" w:line="240" w:lineRule="auto"/>
              <w:rPr>
                <w:color w:val="000000"/>
                <w:sz w:val="22"/>
                <w:szCs w:val="22"/>
              </w:rPr>
            </w:pPr>
          </w:p>
          <w:p w14:paraId="4D083609" w14:textId="77777777" w:rsidR="00E920EA" w:rsidRDefault="00000000">
            <w:pPr>
              <w:spacing w:before="60" w:after="60" w:line="240" w:lineRule="auto"/>
              <w:rPr>
                <w:i/>
                <w:color w:val="000000"/>
                <w:sz w:val="22"/>
                <w:szCs w:val="22"/>
              </w:rPr>
            </w:pPr>
            <w:r>
              <w:rPr>
                <w:i/>
                <w:color w:val="000000"/>
                <w:sz w:val="22"/>
                <w:szCs w:val="22"/>
              </w:rPr>
              <w:t>2. Ensure that professional development effectively builds knowledge, motivates staff, develops teaching techniques, and embeds practice.</w:t>
            </w:r>
          </w:p>
          <w:p w14:paraId="4F0DE2B7" w14:textId="77777777" w:rsidR="00E920EA" w:rsidRDefault="00000000">
            <w:pPr>
              <w:spacing w:before="60" w:after="60" w:line="240" w:lineRule="auto"/>
              <w:rPr>
                <w:color w:val="000000"/>
                <w:sz w:val="22"/>
                <w:szCs w:val="22"/>
              </w:rPr>
            </w:pPr>
            <w:r>
              <w:rPr>
                <w:color w:val="000000"/>
                <w:sz w:val="22"/>
                <w:szCs w:val="22"/>
              </w:rPr>
              <w:t>C. Develop teaching techniques — Instruction — Social support — Modelling — Monitoring and feedback — Rehearsal</w:t>
            </w:r>
          </w:p>
          <w:p w14:paraId="62BF7273" w14:textId="77777777" w:rsidR="00E920EA" w:rsidRDefault="00E920EA">
            <w:pPr>
              <w:spacing w:before="60" w:after="60" w:line="240" w:lineRule="auto"/>
              <w:rPr>
                <w:color w:val="000000"/>
                <w:sz w:val="22"/>
                <w:szCs w:val="22"/>
              </w:rPr>
            </w:pPr>
          </w:p>
          <w:p w14:paraId="65969C29" w14:textId="77777777" w:rsidR="00E920EA" w:rsidRDefault="00E920EA">
            <w:pPr>
              <w:spacing w:before="60" w:after="60" w:line="240" w:lineRule="auto"/>
              <w:rPr>
                <w:color w:val="000000"/>
                <w:sz w:val="22"/>
                <w:szCs w:val="22"/>
              </w:rPr>
            </w:pPr>
            <w:hyperlink r:id="rId11">
              <w:r>
                <w:rPr>
                  <w:color w:val="1155CC"/>
                  <w:sz w:val="22"/>
                  <w:szCs w:val="22"/>
                  <w:u w:val="single"/>
                </w:rPr>
                <w:t>https://d2tic4wvo1iusb.cloudfront.net/production/eef-guidance-reports/effective-professional-development/EEF-Effective-PD-Recommendations-Poster.pdf?v=1742207615</w:t>
              </w:r>
            </w:hyperlink>
            <w:r w:rsidR="00000000">
              <w:rPr>
                <w:color w:val="000000"/>
                <w:sz w:val="22"/>
                <w:szCs w:val="22"/>
              </w:rPr>
              <w:t xml:space="preserve"> </w:t>
            </w:r>
          </w:p>
          <w:p w14:paraId="5DF1D0CC" w14:textId="77777777" w:rsidR="00E920EA" w:rsidRDefault="00E920EA">
            <w:pPr>
              <w:spacing w:before="60" w:after="60" w:line="240" w:lineRule="auto"/>
              <w:rPr>
                <w:color w:val="000000"/>
                <w:sz w:val="22"/>
                <w:szCs w:val="22"/>
              </w:rPr>
            </w:pPr>
          </w:p>
          <w:p w14:paraId="20E3FE46" w14:textId="77777777" w:rsidR="00E920EA" w:rsidRDefault="00000000">
            <w:pPr>
              <w:spacing w:before="60" w:after="60" w:line="240" w:lineRule="auto"/>
              <w:rPr>
                <w:color w:val="000000"/>
                <w:sz w:val="22"/>
                <w:szCs w:val="22"/>
              </w:rPr>
            </w:pPr>
            <w:r>
              <w:rPr>
                <w:color w:val="000000"/>
                <w:sz w:val="22"/>
                <w:szCs w:val="22"/>
              </w:rPr>
              <w:t>As an SLT, we will build in staff meeting time across the year, including some INSET time, to support staff development around formative assessment, modelling and instruction.</w:t>
            </w:r>
          </w:p>
          <w:p w14:paraId="659E86F0" w14:textId="77777777" w:rsidR="00E920EA" w:rsidRDefault="00E920EA">
            <w:pPr>
              <w:spacing w:before="60" w:after="60" w:line="240" w:lineRule="auto"/>
              <w:rPr>
                <w:color w:val="000000"/>
                <w:sz w:val="22"/>
                <w:szCs w:val="22"/>
              </w:rPr>
            </w:pPr>
          </w:p>
          <w:p w14:paraId="0DAB9848" w14:textId="77777777" w:rsidR="00E920EA" w:rsidRDefault="00000000">
            <w:pPr>
              <w:spacing w:before="60" w:after="60" w:line="240" w:lineRule="auto"/>
              <w:rPr>
                <w:color w:val="000000"/>
                <w:sz w:val="22"/>
                <w:szCs w:val="22"/>
              </w:rPr>
            </w:pPr>
            <w:r>
              <w:rPr>
                <w:color w:val="000000"/>
                <w:sz w:val="22"/>
                <w:szCs w:val="22"/>
              </w:rPr>
              <w:t xml:space="preserve">‘Walk </w:t>
            </w:r>
            <w:proofErr w:type="spellStart"/>
            <w:r>
              <w:rPr>
                <w:color w:val="000000"/>
                <w:sz w:val="22"/>
                <w:szCs w:val="22"/>
              </w:rPr>
              <w:t>thrus</w:t>
            </w:r>
            <w:proofErr w:type="spellEnd"/>
            <w:r>
              <w:rPr>
                <w:color w:val="000000"/>
                <w:sz w:val="22"/>
                <w:szCs w:val="22"/>
              </w:rPr>
              <w:t xml:space="preserve"> - Tom Sherrington’ will help support teachers develop specific strands of their pedagogy. This will be used following What’s Working Well Walks to enhance practice collaboratively.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DB5A3" w14:textId="77777777" w:rsidR="00E920EA" w:rsidRDefault="00000000">
            <w:pPr>
              <w:spacing w:before="60" w:after="60" w:line="240" w:lineRule="auto"/>
              <w:rPr>
                <w:color w:val="000000"/>
                <w:sz w:val="22"/>
                <w:szCs w:val="22"/>
              </w:rPr>
            </w:pPr>
            <w:r>
              <w:rPr>
                <w:color w:val="000000"/>
                <w:sz w:val="22"/>
                <w:szCs w:val="22"/>
              </w:rPr>
              <w:t>1, 2, 3</w:t>
            </w:r>
          </w:p>
        </w:tc>
      </w:tr>
    </w:tbl>
    <w:p w14:paraId="73FEC311" w14:textId="77777777" w:rsidR="00E920EA" w:rsidRDefault="00E920EA"/>
    <w:p w14:paraId="321F384D" w14:textId="77777777" w:rsidR="005439A0" w:rsidRDefault="005439A0"/>
    <w:p w14:paraId="40FC6794" w14:textId="77777777" w:rsidR="005439A0" w:rsidRDefault="005439A0"/>
    <w:p w14:paraId="61D76DB4" w14:textId="77777777" w:rsidR="005439A0" w:rsidRDefault="005439A0"/>
    <w:p w14:paraId="0F8E57C4" w14:textId="77777777" w:rsidR="00E920EA" w:rsidRDefault="00000000">
      <w:pPr>
        <w:pStyle w:val="Heading3"/>
      </w:pPr>
      <w:r>
        <w:lastRenderedPageBreak/>
        <w:t xml:space="preserve">Targeted academic support (for example, tutoring, one-to-one support, structured interventions) </w:t>
      </w:r>
    </w:p>
    <w:p w14:paraId="62C9C5F4" w14:textId="77777777" w:rsidR="00E920EA" w:rsidRDefault="00000000">
      <w:r>
        <w:t>Budgeted cost: £9, 000</w:t>
      </w:r>
    </w:p>
    <w:tbl>
      <w:tblPr>
        <w:tblStyle w:val="a5"/>
        <w:tblW w:w="14596" w:type="dxa"/>
        <w:tblLayout w:type="fixed"/>
        <w:tblLook w:val="0400" w:firstRow="0" w:lastRow="0" w:firstColumn="0" w:lastColumn="0" w:noHBand="0" w:noVBand="1"/>
      </w:tblPr>
      <w:tblGrid>
        <w:gridCol w:w="2688"/>
        <w:gridCol w:w="8931"/>
        <w:gridCol w:w="2977"/>
      </w:tblGrid>
      <w:tr w:rsidR="00E920EA" w14:paraId="2C2F8F2E" w14:textId="77777777" w:rsidTr="00CF5A1B">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1BC13FA" w14:textId="77777777" w:rsidR="00E920EA" w:rsidRDefault="00000000">
            <w:pPr>
              <w:pBdr>
                <w:top w:val="nil"/>
                <w:left w:val="nil"/>
                <w:bottom w:val="nil"/>
                <w:right w:val="nil"/>
                <w:between w:val="nil"/>
              </w:pBdr>
              <w:spacing w:before="60" w:after="60" w:line="240" w:lineRule="auto"/>
              <w:rPr>
                <w:b/>
              </w:rPr>
            </w:pPr>
            <w:r>
              <w:rPr>
                <w:b/>
              </w:rPr>
              <w:t>Activity</w:t>
            </w:r>
          </w:p>
        </w:tc>
        <w:tc>
          <w:tcPr>
            <w:tcW w:w="89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57576511" w14:textId="77777777" w:rsidR="00E920EA" w:rsidRDefault="00000000">
            <w:pPr>
              <w:pBdr>
                <w:top w:val="nil"/>
                <w:left w:val="nil"/>
                <w:bottom w:val="nil"/>
                <w:right w:val="nil"/>
                <w:between w:val="nil"/>
              </w:pBdr>
              <w:spacing w:before="60" w:after="60" w:line="240" w:lineRule="auto"/>
              <w:rPr>
                <w:b/>
              </w:rPr>
            </w:pPr>
            <w:r>
              <w:rPr>
                <w:b/>
              </w:rPr>
              <w:t>Evidence that supports this approach</w:t>
            </w:r>
          </w:p>
        </w:tc>
        <w:tc>
          <w:tcPr>
            <w:tcW w:w="29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ECD11C5" w14:textId="77777777" w:rsidR="00E920EA" w:rsidRDefault="00000000">
            <w:pPr>
              <w:pBdr>
                <w:top w:val="nil"/>
                <w:left w:val="nil"/>
                <w:bottom w:val="nil"/>
                <w:right w:val="nil"/>
                <w:between w:val="nil"/>
              </w:pBdr>
              <w:spacing w:before="60" w:after="60" w:line="240" w:lineRule="auto"/>
              <w:rPr>
                <w:b/>
              </w:rPr>
            </w:pPr>
            <w:r>
              <w:rPr>
                <w:b/>
              </w:rPr>
              <w:t>Challenge number(s) addressed</w:t>
            </w:r>
          </w:p>
        </w:tc>
      </w:tr>
      <w:tr w:rsidR="00E920EA" w14:paraId="4404C817" w14:textId="77777777" w:rsidTr="00CF5A1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EAB" w14:textId="77777777" w:rsidR="00E920EA" w:rsidRDefault="00000000">
            <w:pPr>
              <w:spacing w:before="60" w:after="120" w:line="240" w:lineRule="auto"/>
              <w:rPr>
                <w:color w:val="000000"/>
              </w:rPr>
            </w:pPr>
            <w:r>
              <w:rPr>
                <w:color w:val="000000"/>
              </w:rPr>
              <w:t xml:space="preserve">One to one and small group tuition for pupils in need of additional support, delivered in addition to, and linked with, normal lessons. </w:t>
            </w:r>
          </w:p>
          <w:p w14:paraId="5B97E07C" w14:textId="77777777" w:rsidR="00E920EA" w:rsidRDefault="00000000">
            <w:pPr>
              <w:spacing w:before="60" w:after="120" w:line="240" w:lineRule="auto"/>
              <w:rPr>
                <w:color w:val="000000"/>
              </w:rPr>
            </w:pPr>
            <w:r>
              <w:rPr>
                <w:color w:val="000000"/>
              </w:rPr>
              <w:t xml:space="preserve">Tutoring will be implemented with the help of DfE’s guide: </w:t>
            </w:r>
          </w:p>
          <w:p w14:paraId="6C8BD122" w14:textId="77777777" w:rsidR="00E920EA" w:rsidRDefault="00E920EA">
            <w:pPr>
              <w:spacing w:before="60" w:after="120" w:line="240" w:lineRule="auto"/>
              <w:rPr>
                <w:color w:val="000000"/>
              </w:rPr>
            </w:pPr>
            <w:hyperlink r:id="rId12">
              <w:r>
                <w:rPr>
                  <w:color w:val="0000FF"/>
                  <w:u w:val="single"/>
                </w:rPr>
                <w:t>Tutoring: guidance for education settings</w:t>
              </w:r>
            </w:hyperlink>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E842" w14:textId="77777777" w:rsidR="00E920EA" w:rsidRDefault="00000000">
            <w:pPr>
              <w:spacing w:before="60" w:after="60" w:line="240" w:lineRule="auto"/>
              <w:rPr>
                <w:color w:val="000000"/>
              </w:rPr>
            </w:pPr>
            <w:r>
              <w:rPr>
                <w:color w:val="000000"/>
              </w:rPr>
              <w:t xml:space="preserve">Tuition targeted at specific needs and knowledge gaps can be an effective method to support low attaining pupils or those falling behind: </w:t>
            </w:r>
          </w:p>
          <w:p w14:paraId="7DF4FCD2" w14:textId="23868B81" w:rsidR="00E920EA" w:rsidRDefault="00E920EA">
            <w:pPr>
              <w:spacing w:before="60" w:after="120" w:line="240" w:lineRule="auto"/>
              <w:rPr>
                <w:color w:val="0000FF"/>
                <w:u w:val="single"/>
              </w:rPr>
            </w:pPr>
            <w:hyperlink r:id="rId13">
              <w:r>
                <w:rPr>
                  <w:color w:val="0000FF"/>
                  <w:u w:val="single"/>
                </w:rPr>
                <w:t>One to one tuition | Teaching and Learning Toolkit | EEF</w:t>
              </w:r>
            </w:hyperlink>
            <w:r w:rsidR="00CF5A1B">
              <w:t xml:space="preserve"> (+5 months)</w:t>
            </w:r>
          </w:p>
          <w:p w14:paraId="3A94041E" w14:textId="134810AD" w:rsidR="00E920EA" w:rsidRDefault="00E920EA">
            <w:pPr>
              <w:spacing w:before="60" w:after="120" w:line="240" w:lineRule="auto"/>
              <w:rPr>
                <w:color w:val="0000FF"/>
                <w:u w:val="single"/>
              </w:rPr>
            </w:pPr>
            <w:hyperlink r:id="rId14">
              <w:r>
                <w:rPr>
                  <w:color w:val="0000FF"/>
                  <w:u w:val="single"/>
                </w:rPr>
                <w:t>Small group tuition | Teaching and Learning Toolkit | EEF</w:t>
              </w:r>
            </w:hyperlink>
            <w:r w:rsidR="00CF5A1B">
              <w:t xml:space="preserve"> (+4 months)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C83E" w14:textId="77777777" w:rsidR="00E920EA" w:rsidRDefault="00000000">
            <w:pPr>
              <w:spacing w:before="60" w:after="60" w:line="240" w:lineRule="auto"/>
              <w:rPr>
                <w:color w:val="000000"/>
              </w:rPr>
            </w:pPr>
            <w:r>
              <w:rPr>
                <w:color w:val="000000"/>
              </w:rPr>
              <w:t xml:space="preserve">1, 2, 3 </w:t>
            </w:r>
          </w:p>
        </w:tc>
      </w:tr>
      <w:tr w:rsidR="00E920EA" w14:paraId="0EC89D98" w14:textId="77777777" w:rsidTr="00CF5A1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04D5" w14:textId="77777777" w:rsidR="00E920EA" w:rsidRDefault="00000000">
            <w:pPr>
              <w:pBdr>
                <w:top w:val="nil"/>
                <w:left w:val="nil"/>
                <w:bottom w:val="nil"/>
                <w:right w:val="nil"/>
                <w:between w:val="nil"/>
              </w:pBdr>
              <w:spacing w:before="60" w:after="60" w:line="240" w:lineRule="auto"/>
            </w:pPr>
            <w:r>
              <w:t>Performance Development - teachers and teaching assistants</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F1721" w14:textId="0FFE56FD" w:rsidR="00E920EA" w:rsidRDefault="00000000">
            <w:pPr>
              <w:pBdr>
                <w:top w:val="nil"/>
                <w:left w:val="nil"/>
                <w:bottom w:val="nil"/>
                <w:right w:val="nil"/>
                <w:between w:val="nil"/>
              </w:pBdr>
              <w:spacing w:before="60" w:after="60" w:line="240" w:lineRule="auto"/>
            </w:pPr>
            <w:r>
              <w:t xml:space="preserve">Using the Inquiry Question approach will engage staff in current educational research. Staff will be encouraged to target changes to practice </w:t>
            </w:r>
            <w:proofErr w:type="gramStart"/>
            <w:r>
              <w:t>in order to</w:t>
            </w:r>
            <w:proofErr w:type="gramEnd"/>
            <w:r>
              <w:t xml:space="preserve"> further enhance the progress of </w:t>
            </w:r>
            <w:proofErr w:type="gramStart"/>
            <w:r w:rsidR="00CF5A1B">
              <w:t>all of</w:t>
            </w:r>
            <w:proofErr w:type="gramEnd"/>
            <w:r w:rsidR="00CF5A1B">
              <w:t xml:space="preserve"> our children, including </w:t>
            </w:r>
            <w:r>
              <w:t>Pupil Premium children. This will take time in staff meetings and will be part of the appraisal process.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705DB" w14:textId="77777777" w:rsidR="00E920EA" w:rsidRDefault="00000000">
            <w:pPr>
              <w:pBdr>
                <w:top w:val="nil"/>
                <w:left w:val="nil"/>
                <w:bottom w:val="nil"/>
                <w:right w:val="nil"/>
                <w:between w:val="nil"/>
              </w:pBdr>
              <w:spacing w:before="60" w:after="60" w:line="240" w:lineRule="auto"/>
            </w:pPr>
            <w:r>
              <w:t>1, 2, 3</w:t>
            </w:r>
          </w:p>
        </w:tc>
      </w:tr>
    </w:tbl>
    <w:p w14:paraId="41528D96" w14:textId="77777777" w:rsidR="00E920EA" w:rsidRDefault="00E920EA"/>
    <w:p w14:paraId="170E8445" w14:textId="77777777" w:rsidR="00E920EA" w:rsidRDefault="00000000">
      <w:pPr>
        <w:pStyle w:val="Heading3"/>
      </w:pPr>
      <w:r>
        <w:t>Wider strategies (for example, related to attendance, behaviour, wellbeing)</w:t>
      </w:r>
    </w:p>
    <w:p w14:paraId="22F4F734" w14:textId="77777777" w:rsidR="00E920EA" w:rsidRDefault="00000000">
      <w:pPr>
        <w:spacing w:before="240" w:after="120"/>
      </w:pPr>
      <w:r>
        <w:t>Budgeted cost: £9, 000</w:t>
      </w:r>
    </w:p>
    <w:tbl>
      <w:tblPr>
        <w:tblStyle w:val="a6"/>
        <w:tblW w:w="14596" w:type="dxa"/>
        <w:tblLayout w:type="fixed"/>
        <w:tblLook w:val="0400" w:firstRow="0" w:lastRow="0" w:firstColumn="0" w:lastColumn="0" w:noHBand="0" w:noVBand="1"/>
      </w:tblPr>
      <w:tblGrid>
        <w:gridCol w:w="2688"/>
        <w:gridCol w:w="8931"/>
        <w:gridCol w:w="2977"/>
      </w:tblGrid>
      <w:tr w:rsidR="00E920EA" w14:paraId="520F9904" w14:textId="77777777" w:rsidTr="00CF5A1B">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BC38D8" w14:textId="77777777" w:rsidR="00E920EA" w:rsidRDefault="00000000">
            <w:pPr>
              <w:pBdr>
                <w:top w:val="nil"/>
                <w:left w:val="nil"/>
                <w:bottom w:val="nil"/>
                <w:right w:val="nil"/>
                <w:between w:val="nil"/>
              </w:pBdr>
              <w:spacing w:before="60" w:after="60" w:line="240" w:lineRule="auto"/>
              <w:rPr>
                <w:b/>
              </w:rPr>
            </w:pPr>
            <w:r>
              <w:rPr>
                <w:b/>
              </w:rPr>
              <w:t>Activity</w:t>
            </w:r>
          </w:p>
        </w:tc>
        <w:tc>
          <w:tcPr>
            <w:tcW w:w="89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1DD7DBB" w14:textId="77777777" w:rsidR="00E920EA" w:rsidRDefault="00000000">
            <w:pPr>
              <w:pBdr>
                <w:top w:val="nil"/>
                <w:left w:val="nil"/>
                <w:bottom w:val="nil"/>
                <w:right w:val="nil"/>
                <w:between w:val="nil"/>
              </w:pBdr>
              <w:spacing w:before="60" w:after="60" w:line="240" w:lineRule="auto"/>
              <w:rPr>
                <w:b/>
              </w:rPr>
            </w:pPr>
            <w:r>
              <w:rPr>
                <w:b/>
              </w:rPr>
              <w:t>Evidence that supports this approach</w:t>
            </w:r>
          </w:p>
        </w:tc>
        <w:tc>
          <w:tcPr>
            <w:tcW w:w="29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92D1871" w14:textId="77777777" w:rsidR="00E920EA" w:rsidRDefault="00000000">
            <w:pPr>
              <w:pBdr>
                <w:top w:val="nil"/>
                <w:left w:val="nil"/>
                <w:bottom w:val="nil"/>
                <w:right w:val="nil"/>
                <w:between w:val="nil"/>
              </w:pBdr>
              <w:spacing w:before="60" w:after="60" w:line="240" w:lineRule="auto"/>
              <w:rPr>
                <w:b/>
              </w:rPr>
            </w:pPr>
            <w:r>
              <w:rPr>
                <w:b/>
              </w:rPr>
              <w:t>Challenge number(s) addressed</w:t>
            </w:r>
          </w:p>
        </w:tc>
      </w:tr>
      <w:tr w:rsidR="00E920EA" w14:paraId="38C85D81" w14:textId="77777777" w:rsidTr="00CF5A1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E12EF" w14:textId="77777777" w:rsidR="00E920EA" w:rsidRDefault="00000000">
            <w:pPr>
              <w:pBdr>
                <w:top w:val="nil"/>
                <w:left w:val="nil"/>
                <w:bottom w:val="nil"/>
                <w:right w:val="nil"/>
                <w:between w:val="nil"/>
              </w:pBdr>
              <w:spacing w:before="60" w:after="60" w:line="240" w:lineRule="auto"/>
            </w:pPr>
            <w:r>
              <w:lastRenderedPageBreak/>
              <w:t>Family Support worker</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9248F" w14:textId="77777777" w:rsidR="00E920EA" w:rsidRDefault="00E920EA">
            <w:pPr>
              <w:pBdr>
                <w:top w:val="nil"/>
                <w:left w:val="nil"/>
                <w:bottom w:val="nil"/>
                <w:right w:val="nil"/>
                <w:between w:val="nil"/>
              </w:pBdr>
              <w:spacing w:before="60" w:after="60" w:line="240" w:lineRule="auto"/>
              <w:rPr>
                <w:sz w:val="22"/>
                <w:szCs w:val="22"/>
              </w:rPr>
            </w:pPr>
            <w:hyperlink r:id="rId15">
              <w:r>
                <w:rPr>
                  <w:color w:val="1155CC"/>
                  <w:sz w:val="22"/>
                  <w:szCs w:val="22"/>
                  <w:u w:val="single"/>
                </w:rPr>
                <w:t>https://educationendowmentfoundation.org.uk/projects-and-evaluation/projects/understanding-the-use-of-attendance-family-liaison-officers-as-a-school-level-strategy-to-improve-attendance</w:t>
              </w:r>
            </w:hyperlink>
            <w:r w:rsidR="00000000">
              <w:rPr>
                <w:sz w:val="22"/>
                <w:szCs w:val="22"/>
              </w:rPr>
              <w:t xml:space="preserve"> </w:t>
            </w:r>
          </w:p>
          <w:p w14:paraId="0D5C2B3D" w14:textId="77777777" w:rsidR="00E920EA" w:rsidRDefault="00E920EA">
            <w:pPr>
              <w:pBdr>
                <w:top w:val="nil"/>
                <w:left w:val="nil"/>
                <w:bottom w:val="nil"/>
                <w:right w:val="nil"/>
                <w:between w:val="nil"/>
              </w:pBdr>
              <w:spacing w:before="60" w:after="60" w:line="240" w:lineRule="auto"/>
              <w:rPr>
                <w:sz w:val="22"/>
                <w:szCs w:val="22"/>
              </w:rPr>
            </w:pPr>
          </w:p>
          <w:p w14:paraId="23F379DC" w14:textId="77777777" w:rsidR="00E920EA" w:rsidRDefault="00000000">
            <w:pPr>
              <w:pBdr>
                <w:top w:val="nil"/>
                <w:left w:val="nil"/>
                <w:bottom w:val="nil"/>
                <w:right w:val="nil"/>
                <w:between w:val="nil"/>
              </w:pBdr>
              <w:spacing w:before="60" w:after="60" w:line="240" w:lineRule="auto"/>
              <w:rPr>
                <w:sz w:val="22"/>
                <w:szCs w:val="22"/>
              </w:rPr>
            </w:pPr>
            <w:r>
              <w:rPr>
                <w:sz w:val="22"/>
                <w:szCs w:val="22"/>
              </w:rPr>
              <w:t>The EEF are conducting studies to measure the impact of a family support worker (or similar).</w:t>
            </w:r>
          </w:p>
          <w:p w14:paraId="4E96B753" w14:textId="77777777" w:rsidR="00E920EA" w:rsidRDefault="00000000">
            <w:pPr>
              <w:pBdr>
                <w:top w:val="nil"/>
                <w:left w:val="nil"/>
                <w:bottom w:val="nil"/>
                <w:right w:val="nil"/>
                <w:between w:val="nil"/>
              </w:pBdr>
              <w:spacing w:before="60" w:after="60" w:line="240" w:lineRule="auto"/>
              <w:rPr>
                <w:sz w:val="22"/>
                <w:szCs w:val="22"/>
              </w:rPr>
            </w:pPr>
            <w:r>
              <w:rPr>
                <w:sz w:val="22"/>
                <w:szCs w:val="22"/>
              </w:rPr>
              <w:t>This part-time role would enable more support for our vulnerable families around attendance, Early Help and general school readiness. As a leadership team, we have been required to spend an increasing amount of time on this. To work more strategically, and give our families more support, this role has been brought in for September 2025.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3D328" w14:textId="77777777" w:rsidR="00E920EA" w:rsidRDefault="00000000">
            <w:pPr>
              <w:pBdr>
                <w:top w:val="nil"/>
                <w:left w:val="nil"/>
                <w:bottom w:val="nil"/>
                <w:right w:val="nil"/>
                <w:between w:val="nil"/>
              </w:pBdr>
              <w:spacing w:before="60" w:after="60" w:line="240" w:lineRule="auto"/>
              <w:rPr>
                <w:sz w:val="22"/>
                <w:szCs w:val="22"/>
              </w:rPr>
            </w:pPr>
            <w:r>
              <w:rPr>
                <w:sz w:val="22"/>
                <w:szCs w:val="22"/>
              </w:rPr>
              <w:t>2, 3</w:t>
            </w:r>
          </w:p>
        </w:tc>
      </w:tr>
      <w:tr w:rsidR="00E920EA" w14:paraId="4D537ED3" w14:textId="77777777" w:rsidTr="00CF5A1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7EBA3" w14:textId="77777777" w:rsidR="00E920EA" w:rsidRDefault="00000000">
            <w:pPr>
              <w:pBdr>
                <w:top w:val="nil"/>
                <w:left w:val="nil"/>
                <w:bottom w:val="nil"/>
                <w:right w:val="nil"/>
                <w:between w:val="nil"/>
              </w:pBdr>
              <w:spacing w:before="60" w:after="60" w:line="240" w:lineRule="auto"/>
            </w:pPr>
            <w:r>
              <w:t>Rock Steady</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7BAE3" w14:textId="77777777" w:rsidR="00E920EA" w:rsidRDefault="00E920EA">
            <w:pPr>
              <w:pBdr>
                <w:top w:val="nil"/>
                <w:left w:val="nil"/>
                <w:bottom w:val="nil"/>
                <w:right w:val="nil"/>
                <w:between w:val="nil"/>
              </w:pBdr>
              <w:spacing w:before="60" w:after="60" w:line="240" w:lineRule="auto"/>
              <w:rPr>
                <w:sz w:val="22"/>
                <w:szCs w:val="22"/>
              </w:rPr>
            </w:pPr>
            <w:hyperlink r:id="rId16" w:anchor=":~:text=How%20effective%20is%20the%20approach,have%20also%20consistently%20been%20reported">
              <w:r>
                <w:rPr>
                  <w:color w:val="1155CC"/>
                  <w:sz w:val="22"/>
                  <w:szCs w:val="22"/>
                  <w:u w:val="single"/>
                </w:rPr>
                <w:t>https://educationendowmentfoundation.org.uk/education-evidence/teaching-learning-toolkit/arts-participation#:~:text=How%20effective%20is%20the%20approach,have%20also%20consistently%20been%20reported</w:t>
              </w:r>
            </w:hyperlink>
            <w:r w:rsidR="00000000">
              <w:rPr>
                <w:sz w:val="22"/>
                <w:szCs w:val="22"/>
              </w:rPr>
              <w:t xml:space="preserve">. </w:t>
            </w:r>
          </w:p>
          <w:p w14:paraId="322954E2" w14:textId="77777777" w:rsidR="00E920EA" w:rsidRDefault="00000000">
            <w:pPr>
              <w:pBdr>
                <w:top w:val="nil"/>
                <w:left w:val="nil"/>
                <w:bottom w:val="nil"/>
                <w:right w:val="nil"/>
                <w:between w:val="nil"/>
              </w:pBdr>
              <w:spacing w:before="60" w:after="60" w:line="240" w:lineRule="auto"/>
              <w:rPr>
                <w:sz w:val="22"/>
                <w:szCs w:val="22"/>
              </w:rPr>
            </w:pPr>
            <w:r>
              <w:rPr>
                <w:sz w:val="22"/>
                <w:szCs w:val="22"/>
              </w:rPr>
              <w:t xml:space="preserve">Overall, the average impact of arts participation on other areas of academic learning appears to be positive but moderate, about an additional three months progress. </w:t>
            </w:r>
          </w:p>
          <w:p w14:paraId="76AA2157" w14:textId="77777777" w:rsidR="00E920EA" w:rsidRDefault="00000000">
            <w:pPr>
              <w:pBdr>
                <w:top w:val="nil"/>
                <w:left w:val="nil"/>
                <w:bottom w:val="nil"/>
                <w:right w:val="nil"/>
                <w:between w:val="nil"/>
              </w:pBdr>
              <w:spacing w:before="60" w:after="60" w:line="240" w:lineRule="auto"/>
              <w:rPr>
                <w:sz w:val="22"/>
                <w:szCs w:val="22"/>
              </w:rPr>
            </w:pPr>
            <w:r>
              <w:rPr>
                <w:sz w:val="22"/>
                <w:szCs w:val="22"/>
              </w:rPr>
              <w:t>Improved outcomes have been identified in English, mathematics and science. Benefits have been found in both primary and secondary schools.</w:t>
            </w:r>
          </w:p>
          <w:p w14:paraId="77CDEC21" w14:textId="77777777" w:rsidR="00E920EA" w:rsidRDefault="00000000">
            <w:pPr>
              <w:pBdr>
                <w:top w:val="nil"/>
                <w:left w:val="nil"/>
                <w:bottom w:val="nil"/>
                <w:right w:val="nil"/>
                <w:between w:val="nil"/>
              </w:pBdr>
              <w:spacing w:before="60" w:after="60" w:line="240" w:lineRule="auto"/>
              <w:rPr>
                <w:sz w:val="22"/>
                <w:szCs w:val="22"/>
              </w:rPr>
            </w:pPr>
            <w:r>
              <w:rPr>
                <w:sz w:val="22"/>
                <w:szCs w:val="22"/>
              </w:rPr>
              <w:t>Some arts activities have been linked with improvements in specific outcomes. For example, there is some evidence of the impact of drama on writing and potential link between music and spatial awareness.</w:t>
            </w:r>
          </w:p>
          <w:p w14:paraId="31E8B2FD" w14:textId="77777777" w:rsidR="00E920EA" w:rsidRDefault="00000000">
            <w:pPr>
              <w:pBdr>
                <w:top w:val="nil"/>
                <w:left w:val="nil"/>
                <w:bottom w:val="nil"/>
                <w:right w:val="nil"/>
                <w:between w:val="nil"/>
              </w:pBdr>
              <w:spacing w:before="60" w:after="60" w:line="240" w:lineRule="auto"/>
              <w:rPr>
                <w:sz w:val="22"/>
                <w:szCs w:val="22"/>
              </w:rPr>
            </w:pPr>
            <w:r>
              <w:rPr>
                <w:sz w:val="22"/>
                <w:szCs w:val="22"/>
              </w:rPr>
              <w:t>Wider benefits such as more positive attitudes to learning and increased well-being have also consistently been reported.</w:t>
            </w:r>
          </w:p>
          <w:p w14:paraId="47275745" w14:textId="77777777" w:rsidR="00E920EA" w:rsidRDefault="00000000">
            <w:pPr>
              <w:pBdr>
                <w:top w:val="nil"/>
                <w:left w:val="nil"/>
                <w:bottom w:val="nil"/>
                <w:right w:val="nil"/>
                <w:between w:val="nil"/>
              </w:pBdr>
              <w:spacing w:before="60" w:after="60" w:line="240" w:lineRule="auto"/>
              <w:rPr>
                <w:sz w:val="22"/>
                <w:szCs w:val="22"/>
              </w:rPr>
            </w:pPr>
            <w:r>
              <w:rPr>
                <w:sz w:val="22"/>
                <w:szCs w:val="22"/>
              </w:rPr>
              <w:t>WELLBEING: Promotes wellbeing and builds resilience.</w:t>
            </w:r>
          </w:p>
          <w:p w14:paraId="4B4BD738" w14:textId="77777777" w:rsidR="00E920EA" w:rsidRDefault="00000000">
            <w:pPr>
              <w:pBdr>
                <w:top w:val="nil"/>
                <w:left w:val="nil"/>
                <w:bottom w:val="nil"/>
                <w:right w:val="nil"/>
                <w:between w:val="nil"/>
              </w:pBdr>
              <w:spacing w:before="60" w:after="60" w:line="240" w:lineRule="auto"/>
              <w:rPr>
                <w:sz w:val="22"/>
                <w:szCs w:val="22"/>
              </w:rPr>
            </w:pPr>
            <w:r>
              <w:rPr>
                <w:sz w:val="22"/>
                <w:szCs w:val="22"/>
              </w:rPr>
              <w:t>CONFIDENCE: Boosts confidence and develops self-belief.</w:t>
            </w:r>
          </w:p>
          <w:p w14:paraId="378C616D" w14:textId="77777777" w:rsidR="00E920EA" w:rsidRDefault="00000000">
            <w:pPr>
              <w:pBdr>
                <w:top w:val="nil"/>
                <w:left w:val="nil"/>
                <w:bottom w:val="nil"/>
                <w:right w:val="nil"/>
                <w:between w:val="nil"/>
              </w:pBdr>
              <w:spacing w:before="60" w:after="60" w:line="240" w:lineRule="auto"/>
              <w:rPr>
                <w:sz w:val="22"/>
                <w:szCs w:val="22"/>
              </w:rPr>
            </w:pPr>
            <w:r>
              <w:rPr>
                <w:sz w:val="22"/>
                <w:szCs w:val="22"/>
              </w:rPr>
              <w:t>Attainment: Improves children’s memory and focus.</w:t>
            </w:r>
          </w:p>
          <w:p w14:paraId="1F826386" w14:textId="77777777" w:rsidR="00E920EA" w:rsidRDefault="00000000">
            <w:pPr>
              <w:pBdr>
                <w:top w:val="nil"/>
                <w:left w:val="nil"/>
                <w:bottom w:val="nil"/>
                <w:right w:val="nil"/>
                <w:between w:val="nil"/>
              </w:pBdr>
              <w:spacing w:before="60" w:after="60" w:line="240" w:lineRule="auto"/>
              <w:rPr>
                <w:sz w:val="22"/>
                <w:szCs w:val="22"/>
              </w:rPr>
            </w:pPr>
            <w:r>
              <w:rPr>
                <w:sz w:val="22"/>
                <w:szCs w:val="22"/>
              </w:rPr>
              <w:t>BEHAVIOUR: Develops behaviour regulation and motor skills.</w:t>
            </w:r>
          </w:p>
          <w:p w14:paraId="6830C5BF" w14:textId="77777777" w:rsidR="00E920EA" w:rsidRDefault="00000000">
            <w:pPr>
              <w:pBdr>
                <w:top w:val="nil"/>
                <w:left w:val="nil"/>
                <w:bottom w:val="nil"/>
                <w:right w:val="nil"/>
                <w:between w:val="nil"/>
              </w:pBdr>
              <w:spacing w:before="60" w:after="60" w:line="240" w:lineRule="auto"/>
              <w:rPr>
                <w:sz w:val="22"/>
                <w:szCs w:val="22"/>
              </w:rPr>
            </w:pPr>
            <w:r>
              <w:rPr>
                <w:sz w:val="22"/>
                <w:szCs w:val="22"/>
              </w:rPr>
              <w:t>TEAMWORK: Supports life skills, including social skills, listening and teamwork.</w:t>
            </w:r>
          </w:p>
          <w:p w14:paraId="321F27D3" w14:textId="77777777" w:rsidR="00E920EA" w:rsidRDefault="00000000">
            <w:pPr>
              <w:pBdr>
                <w:top w:val="nil"/>
                <w:left w:val="nil"/>
                <w:bottom w:val="nil"/>
                <w:right w:val="nil"/>
                <w:between w:val="nil"/>
              </w:pBdr>
              <w:spacing w:before="60" w:after="60" w:line="240" w:lineRule="auto"/>
              <w:rPr>
                <w:sz w:val="22"/>
                <w:szCs w:val="22"/>
              </w:rPr>
            </w:pPr>
            <w:r>
              <w:rPr>
                <w:sz w:val="22"/>
                <w:szCs w:val="22"/>
              </w:rPr>
              <w:t>PROGRESSION: Offers unique 300</w:t>
            </w:r>
          </w:p>
          <w:p w14:paraId="704791A8" w14:textId="77777777" w:rsidR="00E920EA" w:rsidRDefault="00000000">
            <w:pPr>
              <w:pBdr>
                <w:top w:val="nil"/>
                <w:left w:val="nil"/>
                <w:bottom w:val="nil"/>
                <w:right w:val="nil"/>
                <w:between w:val="nil"/>
              </w:pBdr>
              <w:spacing w:before="60" w:after="60" w:line="240" w:lineRule="auto"/>
              <w:rPr>
                <w:sz w:val="22"/>
                <w:szCs w:val="22"/>
              </w:rPr>
            </w:pPr>
            <w:r>
              <w:rPr>
                <w:sz w:val="22"/>
                <w:szCs w:val="22"/>
              </w:rPr>
              <w:t>skill music curriculum.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C93B" w14:textId="77777777" w:rsidR="00E920EA" w:rsidRDefault="00000000">
            <w:pPr>
              <w:pBdr>
                <w:top w:val="nil"/>
                <w:left w:val="nil"/>
                <w:bottom w:val="nil"/>
                <w:right w:val="nil"/>
                <w:between w:val="nil"/>
              </w:pBdr>
              <w:spacing w:before="60" w:after="60" w:line="240" w:lineRule="auto"/>
              <w:rPr>
                <w:sz w:val="22"/>
                <w:szCs w:val="22"/>
              </w:rPr>
            </w:pPr>
            <w:r>
              <w:rPr>
                <w:sz w:val="22"/>
                <w:szCs w:val="22"/>
              </w:rPr>
              <w:t>2, 3</w:t>
            </w:r>
          </w:p>
        </w:tc>
      </w:tr>
      <w:tr w:rsidR="00E920EA" w14:paraId="6F7B42C8" w14:textId="77777777" w:rsidTr="00CF5A1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4CCE" w14:textId="77777777" w:rsidR="00E920EA" w:rsidRDefault="00000000">
            <w:pPr>
              <w:spacing w:before="60" w:after="60" w:line="240" w:lineRule="auto"/>
            </w:pPr>
            <w:r>
              <w:rPr>
                <w:sz w:val="22"/>
                <w:szCs w:val="22"/>
              </w:rPr>
              <w:t>Shine</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40BE" w14:textId="77777777" w:rsidR="00E920EA" w:rsidRDefault="00E920EA">
            <w:pPr>
              <w:pBdr>
                <w:top w:val="nil"/>
                <w:left w:val="nil"/>
                <w:bottom w:val="nil"/>
                <w:right w:val="nil"/>
                <w:between w:val="nil"/>
              </w:pBdr>
              <w:spacing w:before="60" w:after="60" w:line="240" w:lineRule="auto"/>
              <w:rPr>
                <w:sz w:val="22"/>
                <w:szCs w:val="22"/>
              </w:rPr>
            </w:pPr>
            <w:hyperlink r:id="rId17">
              <w:r>
                <w:rPr>
                  <w:color w:val="1155CC"/>
                  <w:sz w:val="22"/>
                  <w:szCs w:val="22"/>
                  <w:u w:val="single"/>
                </w:rPr>
                <w:t>https://d2tic4wvo1iusb.cloudfront.net/production/documents/pages/supporting_childrens_mental_health_and_wellbeing_in_the_early_years.pdf</w:t>
              </w:r>
            </w:hyperlink>
            <w:r w:rsidR="00000000">
              <w:rPr>
                <w:sz w:val="22"/>
                <w:szCs w:val="22"/>
              </w:rPr>
              <w:t xml:space="preserve"> </w:t>
            </w:r>
          </w:p>
          <w:p w14:paraId="3A50A4EC" w14:textId="77777777" w:rsidR="00E920EA" w:rsidRDefault="00E920EA">
            <w:pPr>
              <w:pBdr>
                <w:top w:val="nil"/>
                <w:left w:val="nil"/>
                <w:bottom w:val="nil"/>
                <w:right w:val="nil"/>
                <w:between w:val="nil"/>
              </w:pBdr>
              <w:spacing w:before="60" w:after="60" w:line="240" w:lineRule="auto"/>
              <w:rPr>
                <w:sz w:val="22"/>
                <w:szCs w:val="22"/>
              </w:rPr>
            </w:pPr>
          </w:p>
          <w:p w14:paraId="42D3BACA" w14:textId="77777777" w:rsidR="00E920EA" w:rsidRDefault="00000000">
            <w:pPr>
              <w:pBdr>
                <w:top w:val="nil"/>
                <w:left w:val="nil"/>
                <w:bottom w:val="nil"/>
                <w:right w:val="nil"/>
                <w:between w:val="nil"/>
              </w:pBdr>
              <w:spacing w:before="60" w:after="60" w:line="240" w:lineRule="auto"/>
              <w:rPr>
                <w:sz w:val="22"/>
                <w:szCs w:val="22"/>
              </w:rPr>
            </w:pPr>
            <w:r>
              <w:rPr>
                <w:sz w:val="22"/>
                <w:szCs w:val="22"/>
              </w:rPr>
              <w:t xml:space="preserve">This approach is child-centred and allows children to explore and experiment with different materials, be creative and interact with other children. The sessions empower children to be their best and help support emotional development. Additionally, this approach will build confidence and make them feel empowered about their strengths and achievements.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1B50B" w14:textId="77777777" w:rsidR="00E920EA" w:rsidRDefault="00000000">
            <w:pPr>
              <w:pBdr>
                <w:top w:val="nil"/>
                <w:left w:val="nil"/>
                <w:bottom w:val="nil"/>
                <w:right w:val="nil"/>
                <w:between w:val="nil"/>
              </w:pBdr>
              <w:spacing w:before="60" w:after="60" w:line="240" w:lineRule="auto"/>
              <w:rPr>
                <w:sz w:val="22"/>
                <w:szCs w:val="22"/>
              </w:rPr>
            </w:pPr>
            <w:r>
              <w:rPr>
                <w:sz w:val="22"/>
                <w:szCs w:val="22"/>
              </w:rPr>
              <w:lastRenderedPageBreak/>
              <w:t>2, 3</w:t>
            </w:r>
          </w:p>
        </w:tc>
      </w:tr>
      <w:tr w:rsidR="00E920EA" w14:paraId="745368E6" w14:textId="77777777" w:rsidTr="00CF5A1B">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DE00D" w14:textId="77777777" w:rsidR="00E920EA" w:rsidRDefault="00000000">
            <w:pPr>
              <w:pBdr>
                <w:top w:val="nil"/>
                <w:left w:val="nil"/>
                <w:bottom w:val="nil"/>
                <w:right w:val="nil"/>
                <w:between w:val="nil"/>
              </w:pBdr>
              <w:spacing w:before="60" w:after="60" w:line="240" w:lineRule="auto"/>
              <w:rPr>
                <w:sz w:val="22"/>
                <w:szCs w:val="22"/>
              </w:rPr>
            </w:pPr>
            <w:r>
              <w:rPr>
                <w:sz w:val="22"/>
                <w:szCs w:val="22"/>
              </w:rPr>
              <w:t>Subsidised trips</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9340F" w14:textId="77777777" w:rsidR="00E920EA" w:rsidRDefault="00000000">
            <w:pPr>
              <w:pBdr>
                <w:top w:val="nil"/>
                <w:left w:val="nil"/>
                <w:bottom w:val="nil"/>
                <w:right w:val="nil"/>
                <w:between w:val="nil"/>
              </w:pBdr>
              <w:spacing w:before="60" w:after="60" w:line="240" w:lineRule="auto"/>
              <w:rPr>
                <w:sz w:val="22"/>
                <w:szCs w:val="22"/>
              </w:rPr>
            </w:pPr>
            <w:r>
              <w:rPr>
                <w:sz w:val="22"/>
                <w:szCs w:val="22"/>
              </w:rPr>
              <w:t>Children’s University - free trial research project.</w:t>
            </w:r>
          </w:p>
          <w:p w14:paraId="1C5ED50E" w14:textId="77777777" w:rsidR="00E920EA" w:rsidRDefault="00E920EA">
            <w:pPr>
              <w:pBdr>
                <w:top w:val="nil"/>
                <w:left w:val="nil"/>
                <w:bottom w:val="nil"/>
                <w:right w:val="nil"/>
                <w:between w:val="nil"/>
              </w:pBdr>
              <w:spacing w:before="60" w:after="60" w:line="240" w:lineRule="auto"/>
              <w:rPr>
                <w:sz w:val="22"/>
                <w:szCs w:val="22"/>
              </w:rPr>
            </w:pPr>
          </w:p>
          <w:p w14:paraId="7D203700" w14:textId="77777777" w:rsidR="00E920EA" w:rsidRDefault="00000000">
            <w:pPr>
              <w:pBdr>
                <w:top w:val="nil"/>
                <w:left w:val="nil"/>
                <w:bottom w:val="nil"/>
                <w:right w:val="nil"/>
                <w:between w:val="nil"/>
              </w:pBdr>
              <w:spacing w:before="60" w:after="60" w:line="240" w:lineRule="auto"/>
              <w:rPr>
                <w:sz w:val="22"/>
                <w:szCs w:val="22"/>
              </w:rPr>
            </w:pPr>
            <w:r>
              <w:rPr>
                <w:sz w:val="22"/>
                <w:szCs w:val="22"/>
              </w:rPr>
              <w:t>EEF funded this project to test whether extra-curricular activities, including social action, can help to improve pupil attainment and other attitudes and skills, such as motivation, confidence and team-working. There is a growing appetite to understand whether activities like these can promote improved outcomes, and there is also evidence that children from disadvantaged backgrounds are currently less likely to participate in these types of activities.</w:t>
            </w:r>
          </w:p>
          <w:p w14:paraId="57EAEEB0" w14:textId="77777777" w:rsidR="00E920EA" w:rsidRDefault="00E920EA">
            <w:pPr>
              <w:pBdr>
                <w:top w:val="nil"/>
                <w:left w:val="nil"/>
                <w:bottom w:val="nil"/>
                <w:right w:val="nil"/>
                <w:between w:val="nil"/>
              </w:pBdr>
              <w:spacing w:before="60" w:after="60" w:line="240" w:lineRule="auto"/>
              <w:rPr>
                <w:sz w:val="22"/>
                <w:szCs w:val="22"/>
              </w:rPr>
            </w:pPr>
          </w:p>
          <w:p w14:paraId="6AD3C128" w14:textId="77777777" w:rsidR="00E920EA" w:rsidRDefault="00000000">
            <w:pPr>
              <w:pBdr>
                <w:top w:val="nil"/>
                <w:left w:val="nil"/>
                <w:bottom w:val="nil"/>
                <w:right w:val="nil"/>
                <w:between w:val="nil"/>
              </w:pBdr>
              <w:spacing w:before="60" w:after="60" w:line="240" w:lineRule="auto"/>
              <w:rPr>
                <w:sz w:val="22"/>
                <w:szCs w:val="22"/>
              </w:rPr>
            </w:pPr>
            <w:r>
              <w:rPr>
                <w:sz w:val="22"/>
                <w:szCs w:val="22"/>
              </w:rPr>
              <w:t>This trial found positive impacts on Key Stage 2 maths and reading results equivalent to about 2 months’ additional progress. Small improvements were also seen for a range of non-cognitive outcomes, such as teamwork, social responsibility, and aspirations. These results have moderate security, and further evaluation would be needed before we can be confident that the results apply to other schools, but they provide initial evidence that well-supported enrichment activities can improve children’s academic and non-cognitive outcomes.</w:t>
            </w:r>
          </w:p>
          <w:p w14:paraId="58A618F6" w14:textId="77777777" w:rsidR="00E920EA" w:rsidRDefault="00E920EA">
            <w:pPr>
              <w:pBdr>
                <w:top w:val="nil"/>
                <w:left w:val="nil"/>
                <w:bottom w:val="nil"/>
                <w:right w:val="nil"/>
                <w:between w:val="nil"/>
              </w:pBdr>
              <w:spacing w:before="60" w:after="60" w:line="240" w:lineRule="auto"/>
              <w:rPr>
                <w:sz w:val="22"/>
                <w:szCs w:val="22"/>
              </w:rPr>
            </w:pPr>
          </w:p>
          <w:p w14:paraId="771871E7" w14:textId="77777777" w:rsidR="00E920EA" w:rsidRDefault="00000000">
            <w:pPr>
              <w:pBdr>
                <w:top w:val="nil"/>
                <w:left w:val="nil"/>
                <w:bottom w:val="nil"/>
                <w:right w:val="nil"/>
                <w:between w:val="nil"/>
              </w:pBdr>
              <w:spacing w:before="60" w:after="60" w:line="240" w:lineRule="auto"/>
              <w:rPr>
                <w:sz w:val="22"/>
                <w:szCs w:val="22"/>
              </w:rPr>
            </w:pPr>
            <w:r>
              <w:rPr>
                <w:sz w:val="22"/>
                <w:szCs w:val="22"/>
              </w:rPr>
              <w:t>Previous research suggests that the quality of activities, explicit links to learning, and recognition for children’s achievements are important components of extra-curricular activities that aim to improve educational outcomes. The process evaluation provides some evidence that these factors contributed to the success of this intervention. It also found that pressures to meet performance targets, and limited time, were barriers to taking part for some schools.</w:t>
            </w:r>
          </w:p>
          <w:p w14:paraId="7FD69144" w14:textId="77777777" w:rsidR="00E920EA" w:rsidRDefault="00E920EA">
            <w:pPr>
              <w:pBdr>
                <w:top w:val="nil"/>
                <w:left w:val="nil"/>
                <w:bottom w:val="nil"/>
                <w:right w:val="nil"/>
                <w:between w:val="nil"/>
              </w:pBdr>
              <w:spacing w:before="60" w:after="60" w:line="240" w:lineRule="auto"/>
              <w:rPr>
                <w:sz w:val="22"/>
                <w:szCs w:val="22"/>
              </w:rPr>
            </w:pPr>
          </w:p>
          <w:p w14:paraId="658FE2B3" w14:textId="77777777" w:rsidR="00E920EA" w:rsidRDefault="00000000">
            <w:pPr>
              <w:pBdr>
                <w:top w:val="nil"/>
                <w:left w:val="nil"/>
                <w:bottom w:val="nil"/>
                <w:right w:val="nil"/>
                <w:between w:val="nil"/>
              </w:pBdr>
              <w:spacing w:before="60" w:after="60" w:line="240" w:lineRule="auto"/>
              <w:rPr>
                <w:sz w:val="22"/>
                <w:szCs w:val="22"/>
              </w:rPr>
            </w:pPr>
            <w:r>
              <w:rPr>
                <w:sz w:val="22"/>
                <w:szCs w:val="22"/>
              </w:rPr>
              <w:t>Although we will not be using Children’s University as a measuring tool, we will internally track the engagement in trips and clubs to close the gap and ensure that our disadvantaged children get the same opportunities that, as a school, we can control.</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D6C0" w14:textId="77777777" w:rsidR="00E920EA" w:rsidRDefault="00000000">
            <w:pPr>
              <w:pBdr>
                <w:top w:val="nil"/>
                <w:left w:val="nil"/>
                <w:bottom w:val="nil"/>
                <w:right w:val="nil"/>
                <w:between w:val="nil"/>
              </w:pBdr>
              <w:spacing w:before="60" w:after="60" w:line="240" w:lineRule="auto"/>
              <w:rPr>
                <w:sz w:val="22"/>
                <w:szCs w:val="22"/>
              </w:rPr>
            </w:pPr>
            <w:r>
              <w:rPr>
                <w:sz w:val="22"/>
                <w:szCs w:val="22"/>
              </w:rPr>
              <w:t>1, 2, 3</w:t>
            </w:r>
          </w:p>
        </w:tc>
      </w:tr>
    </w:tbl>
    <w:p w14:paraId="3EEC4800" w14:textId="77777777" w:rsidR="00E920EA" w:rsidRDefault="00E920EA">
      <w:pPr>
        <w:spacing w:before="240" w:after="0"/>
        <w:rPr>
          <w:b/>
          <w:color w:val="104F75"/>
          <w:sz w:val="28"/>
          <w:szCs w:val="28"/>
        </w:rPr>
      </w:pPr>
    </w:p>
    <w:p w14:paraId="0992F900" w14:textId="77777777" w:rsidR="00E920EA" w:rsidRDefault="00000000">
      <w:r>
        <w:rPr>
          <w:b/>
          <w:color w:val="104F75"/>
          <w:sz w:val="28"/>
          <w:szCs w:val="28"/>
        </w:rPr>
        <w:t xml:space="preserve">Total budgeted cost: £ </w:t>
      </w:r>
      <w:r>
        <w:rPr>
          <w:i/>
          <w:color w:val="104F75"/>
          <w:sz w:val="28"/>
          <w:szCs w:val="28"/>
        </w:rPr>
        <w:t>38,555.04</w:t>
      </w:r>
    </w:p>
    <w:p w14:paraId="66673609" w14:textId="77777777" w:rsidR="00E920EA" w:rsidRDefault="00000000">
      <w:pPr>
        <w:pStyle w:val="Heading1"/>
      </w:pPr>
      <w:r>
        <w:lastRenderedPageBreak/>
        <w:t>Part B: Review of the previous academic year</w:t>
      </w:r>
    </w:p>
    <w:p w14:paraId="2090EA96" w14:textId="77777777" w:rsidR="00E920EA" w:rsidRDefault="00000000">
      <w:pPr>
        <w:pStyle w:val="Heading2"/>
      </w:pPr>
      <w:r>
        <w:t>Outcomes for disadvantaged pupils</w:t>
      </w:r>
    </w:p>
    <w:tbl>
      <w:tblPr>
        <w:tblStyle w:val="a7"/>
        <w:tblW w:w="14666" w:type="dxa"/>
        <w:tblLayout w:type="fixed"/>
        <w:tblLook w:val="0400" w:firstRow="0" w:lastRow="0" w:firstColumn="0" w:lastColumn="0" w:noHBand="0" w:noVBand="1"/>
      </w:tblPr>
      <w:tblGrid>
        <w:gridCol w:w="14666"/>
      </w:tblGrid>
      <w:tr w:rsidR="00E920EA" w14:paraId="301D6202" w14:textId="77777777" w:rsidTr="00CF5A1B">
        <w:trPr>
          <w:trHeight w:val="1118"/>
        </w:trPr>
        <w:tc>
          <w:tcPr>
            <w:tcW w:w="1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44DF" w14:textId="77777777" w:rsidR="00E920EA" w:rsidRDefault="00000000">
            <w:pPr>
              <w:rPr>
                <w:rFonts w:ascii="Calibri" w:eastAsia="Calibri" w:hAnsi="Calibri" w:cs="Calibri"/>
                <w:color w:val="000000"/>
                <w:highlight w:val="green"/>
              </w:rPr>
            </w:pPr>
            <w:r>
              <w:rPr>
                <w:rFonts w:ascii="Calibri" w:eastAsia="Calibri" w:hAnsi="Calibri" w:cs="Calibri"/>
                <w:color w:val="000000"/>
              </w:rPr>
              <w:t xml:space="preserve">From our internal data, learning walks, observations and intervention feedback, there has been an increase in the progress for a key group of pupils in receipt of pupil premium in reading, writing and maths in line with their identified baseline. Through pupil progress meetings, staff have been able to showcase the improvements in the groups of children across the academic year. An improved reading teaching sequence from Year 3 - 6, has started to impact the vocabulary skills amongst some of our disadvantaged pupils. This has been demonstrated through pupil conferencing and qualitatively listening to their responses, with the children using key vocabulary in their answers. </w:t>
            </w:r>
          </w:p>
          <w:p w14:paraId="57530AAF" w14:textId="77777777" w:rsidR="00E920EA" w:rsidRDefault="00000000">
            <w:pPr>
              <w:rPr>
                <w:rFonts w:ascii="Calibri" w:eastAsia="Calibri" w:hAnsi="Calibri" w:cs="Calibri"/>
                <w:color w:val="000000"/>
              </w:rPr>
            </w:pPr>
            <w:r>
              <w:rPr>
                <w:rFonts w:ascii="Calibri" w:eastAsia="Calibri" w:hAnsi="Calibri" w:cs="Calibri"/>
                <w:color w:val="000000"/>
              </w:rPr>
              <w:t>Our disadvantaged children have had more opportunities to access wellbeing support, through informal check-ins with staff to more formal support from Compass Bloom - with 5/15 of our disadvantaged children accessing this wellbeing support, along with other children who are not eligible for Pupil Premium funding. We are very proud of the success of this partnership with Compass Bloom and we know that this will enable our children to continue to thrive and metacognitively tackle challenges that they encounter.</w:t>
            </w:r>
          </w:p>
          <w:p w14:paraId="27CDB62A" w14:textId="77777777" w:rsidR="00E920EA" w:rsidRDefault="00000000">
            <w:pPr>
              <w:rPr>
                <w:rFonts w:ascii="Calibri" w:eastAsia="Calibri" w:hAnsi="Calibri" w:cs="Calibri"/>
                <w:color w:val="000000"/>
              </w:rPr>
            </w:pPr>
            <w:r>
              <w:rPr>
                <w:rFonts w:ascii="Calibri" w:eastAsia="Calibri" w:hAnsi="Calibri" w:cs="Calibri"/>
                <w:color w:val="000000"/>
              </w:rPr>
              <w:t>As a school, we are on track to meet the majority of the previous strategy 2022-2025, as stated above. Oracy, however, will remain a focus. This is due to a range of reasons, but mainly due to the change of approach to teaching English in the academic year 2024/25. Oracy will be driven as a key area of the School Improvement Plan in 2025/26 due to the new cohorts of children coming through the school, this must remain a priority. Communication and Language is an increasing need within our cohorts of children and a focus on Oracy will support all of our children, not solely our disadvantaged children.</w:t>
            </w:r>
          </w:p>
          <w:p w14:paraId="19D233E4" w14:textId="77777777" w:rsidR="00E920EA" w:rsidRDefault="00000000">
            <w:pPr>
              <w:rPr>
                <w:i/>
              </w:rPr>
            </w:pPr>
            <w:r>
              <w:rPr>
                <w:rFonts w:ascii="Calibri" w:eastAsia="Calibri" w:hAnsi="Calibri" w:cs="Calibri"/>
                <w:color w:val="000000"/>
              </w:rPr>
              <w:t>We have observed a change in attendance data over the 2024-25 academic year amongst some of our disadvantaged families and this could become a barrier to educational success. We will be focusing on attendance support over the next strategy to ensure that we are implementing positive approaches to support our families.</w:t>
            </w:r>
          </w:p>
        </w:tc>
      </w:tr>
    </w:tbl>
    <w:p w14:paraId="7245B8B2" w14:textId="77777777" w:rsidR="00E920EA" w:rsidRDefault="00000000">
      <w:pPr>
        <w:pStyle w:val="Heading2"/>
      </w:pPr>
      <w:r>
        <w:lastRenderedPageBreak/>
        <w:t>Externally provided programmes</w:t>
      </w:r>
    </w:p>
    <w:p w14:paraId="77CB79EC" w14:textId="77777777" w:rsidR="00E920EA" w:rsidRDefault="00000000">
      <w:pPr>
        <w:rPr>
          <w:i/>
        </w:rPr>
      </w:pPr>
      <w:r>
        <w:rPr>
          <w:i/>
        </w:rPr>
        <w:t xml:space="preserve">Please include the names of any non-DfE programmes that you used your pupil premium to fund in the previous academic year. </w:t>
      </w:r>
    </w:p>
    <w:tbl>
      <w:tblPr>
        <w:tblStyle w:val="a8"/>
        <w:tblW w:w="9486" w:type="dxa"/>
        <w:tblLayout w:type="fixed"/>
        <w:tblLook w:val="0400" w:firstRow="0" w:lastRow="0" w:firstColumn="0" w:lastColumn="0" w:noHBand="0" w:noVBand="1"/>
      </w:tblPr>
      <w:tblGrid>
        <w:gridCol w:w="4815"/>
        <w:gridCol w:w="4671"/>
      </w:tblGrid>
      <w:tr w:rsidR="00E920EA" w14:paraId="24B1D018" w14:textId="77777777">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54115D47" w14:textId="77777777" w:rsidR="00E920EA" w:rsidRDefault="00000000">
            <w:pPr>
              <w:pBdr>
                <w:top w:val="nil"/>
                <w:left w:val="nil"/>
                <w:bottom w:val="nil"/>
                <w:right w:val="nil"/>
                <w:between w:val="nil"/>
              </w:pBdr>
              <w:spacing w:before="60" w:after="60" w:line="240" w:lineRule="auto"/>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9344117" w14:textId="77777777" w:rsidR="00E920EA" w:rsidRDefault="00000000">
            <w:pPr>
              <w:pBdr>
                <w:top w:val="nil"/>
                <w:left w:val="nil"/>
                <w:bottom w:val="nil"/>
                <w:right w:val="nil"/>
                <w:between w:val="nil"/>
              </w:pBdr>
              <w:spacing w:before="60" w:after="60" w:line="240" w:lineRule="auto"/>
              <w:rPr>
                <w:b/>
              </w:rPr>
            </w:pPr>
            <w:r>
              <w:rPr>
                <w:b/>
              </w:rPr>
              <w:t>Provider</w:t>
            </w:r>
          </w:p>
        </w:tc>
      </w:tr>
      <w:tr w:rsidR="00E920EA" w14:paraId="472EE5A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90029" w14:textId="77777777" w:rsidR="00E920EA" w:rsidRDefault="00000000">
            <w:pPr>
              <w:pBdr>
                <w:top w:val="nil"/>
                <w:left w:val="nil"/>
                <w:bottom w:val="nil"/>
                <w:right w:val="nil"/>
                <w:between w:val="nil"/>
              </w:pBdr>
              <w:spacing w:before="60" w:after="60" w:line="240" w:lineRule="auto"/>
            </w:pPr>
            <w:r>
              <w:t>Rock Steady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FDC3" w14:textId="77777777" w:rsidR="00E920EA" w:rsidRDefault="00000000">
            <w:pPr>
              <w:pBdr>
                <w:top w:val="nil"/>
                <w:left w:val="nil"/>
                <w:bottom w:val="nil"/>
                <w:right w:val="nil"/>
                <w:between w:val="nil"/>
              </w:pBdr>
              <w:spacing w:before="60" w:after="60" w:line="240" w:lineRule="auto"/>
            </w:pPr>
            <w:r>
              <w:t>Rock Steady Music School Limited</w:t>
            </w:r>
          </w:p>
        </w:tc>
      </w:tr>
      <w:tr w:rsidR="00E920EA" w14:paraId="3D7DFA7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F9E7" w14:textId="77777777" w:rsidR="00E920EA" w:rsidRDefault="00E920EA">
            <w:pPr>
              <w:pBdr>
                <w:top w:val="nil"/>
                <w:left w:val="nil"/>
                <w:bottom w:val="nil"/>
                <w:right w:val="nil"/>
                <w:between w:val="nil"/>
              </w:pBdr>
              <w:spacing w:before="60" w:after="60" w:line="240" w:lineRule="auto"/>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02A2" w14:textId="77777777" w:rsidR="00E920EA" w:rsidRDefault="00E920EA">
            <w:pPr>
              <w:pBdr>
                <w:top w:val="nil"/>
                <w:left w:val="nil"/>
                <w:bottom w:val="nil"/>
                <w:right w:val="nil"/>
                <w:between w:val="nil"/>
              </w:pBdr>
              <w:spacing w:before="60" w:after="60" w:line="240" w:lineRule="auto"/>
            </w:pPr>
          </w:p>
        </w:tc>
      </w:tr>
    </w:tbl>
    <w:p w14:paraId="2C93AF57" w14:textId="77777777" w:rsidR="00E920EA" w:rsidRDefault="00E920EA" w:rsidP="00CF5A1B"/>
    <w:sectPr w:rsidR="00E920EA" w:rsidSect="00CF5A1B">
      <w:headerReference w:type="default" r:id="rId18"/>
      <w:footerReference w:type="default" r:id="rId19"/>
      <w:pgSz w:w="16838" w:h="11906" w:orient="landscape"/>
      <w:pgMar w:top="1134" w:right="1134" w:bottom="1276"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7707" w14:textId="77777777" w:rsidR="001178F4" w:rsidRDefault="001178F4">
      <w:pPr>
        <w:spacing w:after="0" w:line="240" w:lineRule="auto"/>
      </w:pPr>
      <w:r>
        <w:separator/>
      </w:r>
    </w:p>
  </w:endnote>
  <w:endnote w:type="continuationSeparator" w:id="0">
    <w:p w14:paraId="6A9A87C1" w14:textId="77777777" w:rsidR="001178F4" w:rsidRDefault="0011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B0FD" w14:textId="77777777" w:rsidR="00E920EA" w:rsidRDefault="00000000">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BA1BD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E391" w14:textId="77777777" w:rsidR="001178F4" w:rsidRDefault="001178F4">
      <w:pPr>
        <w:spacing w:after="0" w:line="240" w:lineRule="auto"/>
      </w:pPr>
      <w:r>
        <w:separator/>
      </w:r>
    </w:p>
  </w:footnote>
  <w:footnote w:type="continuationSeparator" w:id="0">
    <w:p w14:paraId="4525F502" w14:textId="77777777" w:rsidR="001178F4" w:rsidRDefault="00117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5D84" w14:textId="77777777" w:rsidR="00E920EA" w:rsidRDefault="00E920EA">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01AF"/>
    <w:multiLevelType w:val="multilevel"/>
    <w:tmpl w:val="6F081CF0"/>
    <w:lvl w:ilvl="0">
      <w:start w:val="1"/>
      <w:numFmt w:val="bullet"/>
      <w:pStyle w:val="DfESOutNumbered1"/>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445539"/>
    <w:multiLevelType w:val="multilevel"/>
    <w:tmpl w:val="79AAFAF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2DF73B4"/>
    <w:multiLevelType w:val="multilevel"/>
    <w:tmpl w:val="043A606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3" w15:restartNumberingAfterBreak="0">
    <w:nsid w:val="6C47300E"/>
    <w:multiLevelType w:val="hybridMultilevel"/>
    <w:tmpl w:val="1CB0D0FC"/>
    <w:lvl w:ilvl="0" w:tplc="F438AAEE">
      <w:start w:val="2026"/>
      <w:numFmt w:val="bullet"/>
      <w:lvlText w:val="-"/>
      <w:lvlJc w:val="left"/>
      <w:pPr>
        <w:ind w:left="720" w:hanging="360"/>
      </w:pPr>
      <w:rPr>
        <w:rFonts w:ascii="Arial" w:eastAsia="Arial"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443327"/>
    <w:multiLevelType w:val="multilevel"/>
    <w:tmpl w:val="2EDCF6E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084761232">
    <w:abstractNumId w:val="2"/>
  </w:num>
  <w:num w:numId="2" w16cid:durableId="1392192737">
    <w:abstractNumId w:val="4"/>
  </w:num>
  <w:num w:numId="3" w16cid:durableId="442916375">
    <w:abstractNumId w:val="0"/>
  </w:num>
  <w:num w:numId="4" w16cid:durableId="1907374952">
    <w:abstractNumId w:val="1"/>
  </w:num>
  <w:num w:numId="5" w16cid:durableId="1091663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2957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7375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2556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7537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1309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7371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1140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7370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EA"/>
    <w:rsid w:val="001178F4"/>
    <w:rsid w:val="001406E5"/>
    <w:rsid w:val="00176BC9"/>
    <w:rsid w:val="005439A0"/>
    <w:rsid w:val="0066256C"/>
    <w:rsid w:val="006B7373"/>
    <w:rsid w:val="00824AB2"/>
    <w:rsid w:val="00B075D1"/>
    <w:rsid w:val="00B400F4"/>
    <w:rsid w:val="00BA1BDB"/>
    <w:rsid w:val="00CF5A1B"/>
    <w:rsid w:val="00E92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FBFB"/>
  <w15:docId w15:val="{D707D764-77C9-EE41-92A1-415D97CC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4"/>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paragraph" w:styleId="Revision">
    <w:name w:val="Revision"/>
    <w:hidden/>
    <w:uiPriority w:val="99"/>
    <w:semiHidden/>
    <w:rsid w:val="00115538"/>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style>
  <w:style w:type="character" w:customStyle="1" w:styleId="ui-provider">
    <w:name w:val="ui-provider"/>
    <w:basedOn w:val="DefaultParagraphFont"/>
    <w:rsid w:val="00287FA8"/>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effective-professional-development"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sets.publishing.service.gov.uk/media/6644ac3dbd01f5ed32793bea/Tutoring_guidance.pdf" TargetMode="External"/><Relationship Id="rId17" Type="http://schemas.openxmlformats.org/officeDocument/2006/relationships/hyperlink" Target="https://d2tic4wvo1iusb.cloudfront.net/production/documents/pages/supporting_childrens_mental_health_and_wellbeing_in_the_early_years.pdf"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arts-particip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2tic4wvo1iusb.cloudfront.net/production/eef-guidance-reports/effective-professional-development/EEF-Effective-PD-Recommendations-Poster.pdf?v=1742207615" TargetMode="External"/><Relationship Id="rId5" Type="http://schemas.openxmlformats.org/officeDocument/2006/relationships/webSettings" Target="webSettings.xml"/><Relationship Id="rId15" Type="http://schemas.openxmlformats.org/officeDocument/2006/relationships/hyperlink" Target="https://educationendowmentfoundation.org.uk/projects-and-evaluation/projects/understanding-the-use-of-attendance-family-liaison-officers-as-a-school-level-strategy-to-improve-attendance" TargetMode="External"/><Relationship Id="rId10" Type="http://schemas.openxmlformats.org/officeDocument/2006/relationships/hyperlink" Target="https://educationendowmentfoundation.org.uk/education-evidence/guidance-reports/primary-se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2tic4wvo1iusb.cloudfront.net/production/documents/news/Diagnostic_Assessment_Tool.pdf?v=1697619973" TargetMode="External"/><Relationship Id="rId14" Type="http://schemas.openxmlformats.org/officeDocument/2006/relationships/hyperlink" Target="https://educationendowmentfoundation.org.uk/evidence-summaries/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uhXGUfentxlA10JEq2T/qb7g==">CgMxLjAyCGguZ2pkZ3hzMgloLjMwajB6bGw4AHIhMVVFUnhLUVZ1aWVYek5VU0x3LU8tdVlMVGRva2VjNC1C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for Education</dc:creator>
  <cp:lastModifiedBy>9052, head</cp:lastModifiedBy>
  <cp:revision>5</cp:revision>
  <dcterms:created xsi:type="dcterms:W3CDTF">2024-09-27T08:28:00Z</dcterms:created>
  <dcterms:modified xsi:type="dcterms:W3CDTF">2025-07-11T13:07:00Z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