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9F9C3" w14:textId="647B358A" w:rsidR="00BA2DC9" w:rsidRDefault="009A09A5">
      <w:pPr>
        <w:rPr>
          <w:sz w:val="30"/>
          <w:szCs w:val="30"/>
          <w:u w:val="single"/>
        </w:rPr>
      </w:pPr>
      <w:r w:rsidRPr="009A09A5">
        <w:rPr>
          <w:noProof/>
          <w:sz w:val="30"/>
          <w:szCs w:val="30"/>
          <w:u w:val="single"/>
        </w:rPr>
        <w:drawing>
          <wp:anchor distT="0" distB="0" distL="114300" distR="114300" simplePos="0" relativeHeight="251658240" behindDoc="1" locked="0" layoutInCell="1" allowOverlap="1" wp14:anchorId="608740C4" wp14:editId="27A02795">
            <wp:simplePos x="0" y="0"/>
            <wp:positionH relativeFrom="margin">
              <wp:posOffset>4701540</wp:posOffset>
            </wp:positionH>
            <wp:positionV relativeFrom="paragraph">
              <wp:posOffset>0</wp:posOffset>
            </wp:positionV>
            <wp:extent cx="1013460" cy="831215"/>
            <wp:effectExtent l="0" t="0" r="0" b="6985"/>
            <wp:wrapTight wrapText="bothSides">
              <wp:wrapPolygon edited="0">
                <wp:start x="0" y="0"/>
                <wp:lineTo x="0" y="21286"/>
                <wp:lineTo x="21113" y="21286"/>
                <wp:lineTo x="21113" y="0"/>
                <wp:lineTo x="0" y="0"/>
              </wp:wrapPolygon>
            </wp:wrapTight>
            <wp:docPr id="649763921" name="Picture 1" descr="A logo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763921" name="Picture 1" descr="A logo of a school&#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13460" cy="831215"/>
                    </a:xfrm>
                    <a:prstGeom prst="rect">
                      <a:avLst/>
                    </a:prstGeom>
                  </pic:spPr>
                </pic:pic>
              </a:graphicData>
            </a:graphic>
            <wp14:sizeRelH relativeFrom="margin">
              <wp14:pctWidth>0</wp14:pctWidth>
            </wp14:sizeRelH>
            <wp14:sizeRelV relativeFrom="margin">
              <wp14:pctHeight>0</wp14:pctHeight>
            </wp14:sizeRelV>
          </wp:anchor>
        </w:drawing>
      </w:r>
      <w:r w:rsidRPr="009A09A5">
        <w:rPr>
          <w:sz w:val="30"/>
          <w:szCs w:val="30"/>
          <w:u w:val="single"/>
        </w:rPr>
        <w:t xml:space="preserve">TA </w:t>
      </w:r>
      <w:r w:rsidR="00E15168">
        <w:rPr>
          <w:sz w:val="30"/>
          <w:szCs w:val="30"/>
          <w:u w:val="single"/>
        </w:rPr>
        <w:t xml:space="preserve">/ Other Support Staff </w:t>
      </w:r>
      <w:r w:rsidRPr="009A09A5">
        <w:rPr>
          <w:sz w:val="30"/>
          <w:szCs w:val="30"/>
          <w:u w:val="single"/>
        </w:rPr>
        <w:t xml:space="preserve">Training 2025 </w:t>
      </w:r>
      <w:r>
        <w:rPr>
          <w:sz w:val="30"/>
          <w:szCs w:val="30"/>
          <w:u w:val="single"/>
        </w:rPr>
        <w:t>–</w:t>
      </w:r>
      <w:r w:rsidRPr="009A09A5">
        <w:rPr>
          <w:sz w:val="30"/>
          <w:szCs w:val="30"/>
          <w:u w:val="single"/>
        </w:rPr>
        <w:t xml:space="preserve"> 2026</w:t>
      </w:r>
    </w:p>
    <w:p w14:paraId="308D2AD4" w14:textId="77777777" w:rsidR="00364DD5" w:rsidRDefault="00364DD5">
      <w:pPr>
        <w:rPr>
          <w:sz w:val="26"/>
          <w:szCs w:val="26"/>
        </w:rPr>
      </w:pPr>
    </w:p>
    <w:p w14:paraId="37140B82" w14:textId="01E9F7F4" w:rsidR="00364DD5" w:rsidRPr="00364DD5" w:rsidRDefault="00364DD5">
      <w:pPr>
        <w:rPr>
          <w:sz w:val="26"/>
          <w:szCs w:val="26"/>
        </w:rPr>
      </w:pPr>
      <w:r w:rsidRPr="00364DD5">
        <w:rPr>
          <w:sz w:val="26"/>
          <w:szCs w:val="26"/>
        </w:rPr>
        <w:t>We are a SHARES member school which means that we are able to participate in high quality and innovative CPD. All of the CPD listed below for SEND is our offer for teaching assistants</w:t>
      </w:r>
      <w:r>
        <w:rPr>
          <w:sz w:val="26"/>
          <w:szCs w:val="26"/>
        </w:rPr>
        <w:t xml:space="preserve"> / other support staff within school</w:t>
      </w:r>
      <w:r w:rsidRPr="00364DD5">
        <w:rPr>
          <w:sz w:val="26"/>
          <w:szCs w:val="26"/>
        </w:rPr>
        <w:t xml:space="preserve"> for the year of 2025 – 2026, which is all run by a SEND Specialist Teacher. </w:t>
      </w:r>
    </w:p>
    <w:tbl>
      <w:tblPr>
        <w:tblStyle w:val="TableGrid"/>
        <w:tblpPr w:leftFromText="180" w:rightFromText="180" w:vertAnchor="page" w:horzAnchor="margin" w:tblpY="4573"/>
        <w:tblW w:w="0" w:type="auto"/>
        <w:tblLook w:val="04A0" w:firstRow="1" w:lastRow="0" w:firstColumn="1" w:lastColumn="0" w:noHBand="0" w:noVBand="1"/>
      </w:tblPr>
      <w:tblGrid>
        <w:gridCol w:w="7134"/>
      </w:tblGrid>
      <w:tr w:rsidR="00364DD5" w14:paraId="08D03713" w14:textId="77777777" w:rsidTr="00364DD5">
        <w:trPr>
          <w:trHeight w:val="264"/>
        </w:trPr>
        <w:tc>
          <w:tcPr>
            <w:tcW w:w="7134" w:type="dxa"/>
            <w:shd w:val="clear" w:color="auto" w:fill="C1E4F5" w:themeFill="accent1" w:themeFillTint="33"/>
          </w:tcPr>
          <w:p w14:paraId="503E8063" w14:textId="77777777" w:rsidR="00364DD5" w:rsidRPr="00364DD5" w:rsidRDefault="00364DD5" w:rsidP="00364DD5">
            <w:pPr>
              <w:rPr>
                <w:sz w:val="28"/>
                <w:szCs w:val="28"/>
                <w:u w:val="single"/>
              </w:rPr>
            </w:pPr>
            <w:r w:rsidRPr="00364DD5">
              <w:rPr>
                <w:sz w:val="28"/>
                <w:szCs w:val="28"/>
                <w:u w:val="single"/>
              </w:rPr>
              <w:t>Training</w:t>
            </w:r>
          </w:p>
        </w:tc>
      </w:tr>
      <w:tr w:rsidR="00364DD5" w14:paraId="6DF54B02" w14:textId="77777777" w:rsidTr="00364DD5">
        <w:trPr>
          <w:trHeight w:val="418"/>
        </w:trPr>
        <w:tc>
          <w:tcPr>
            <w:tcW w:w="7134" w:type="dxa"/>
          </w:tcPr>
          <w:p w14:paraId="36DD96F7" w14:textId="77777777" w:rsidR="00364DD5" w:rsidRPr="0056546A" w:rsidRDefault="00364DD5" w:rsidP="00364DD5">
            <w:pPr>
              <w:rPr>
                <w:sz w:val="26"/>
                <w:szCs w:val="26"/>
                <w:highlight w:val="yellow"/>
              </w:rPr>
            </w:pPr>
            <w:r w:rsidRPr="00F23279">
              <w:rPr>
                <w:sz w:val="26"/>
                <w:szCs w:val="26"/>
              </w:rPr>
              <w:t>SEND Awareness and Inclusive Practice</w:t>
            </w:r>
          </w:p>
        </w:tc>
      </w:tr>
      <w:tr w:rsidR="00364DD5" w14:paraId="4938D2BF" w14:textId="77777777" w:rsidTr="00364DD5">
        <w:trPr>
          <w:trHeight w:val="410"/>
        </w:trPr>
        <w:tc>
          <w:tcPr>
            <w:tcW w:w="7134" w:type="dxa"/>
          </w:tcPr>
          <w:p w14:paraId="764B7E4A" w14:textId="77777777" w:rsidR="00364DD5" w:rsidRPr="00F23279" w:rsidRDefault="00364DD5" w:rsidP="00364DD5">
            <w:pPr>
              <w:rPr>
                <w:sz w:val="26"/>
                <w:szCs w:val="26"/>
              </w:rPr>
            </w:pPr>
            <w:r w:rsidRPr="00F23279">
              <w:rPr>
                <w:sz w:val="26"/>
                <w:szCs w:val="26"/>
              </w:rPr>
              <w:t>Behaviour Support and Emotional Regulation</w:t>
            </w:r>
          </w:p>
        </w:tc>
      </w:tr>
      <w:tr w:rsidR="00364DD5" w14:paraId="3E2B2C1B" w14:textId="77777777" w:rsidTr="00364DD5">
        <w:trPr>
          <w:trHeight w:val="416"/>
        </w:trPr>
        <w:tc>
          <w:tcPr>
            <w:tcW w:w="7134" w:type="dxa"/>
          </w:tcPr>
          <w:p w14:paraId="23F9B897" w14:textId="77777777" w:rsidR="00364DD5" w:rsidRPr="00F23279" w:rsidRDefault="00364DD5" w:rsidP="00364DD5">
            <w:pPr>
              <w:rPr>
                <w:sz w:val="26"/>
                <w:szCs w:val="26"/>
              </w:rPr>
            </w:pPr>
            <w:r w:rsidRPr="00F23279">
              <w:rPr>
                <w:sz w:val="26"/>
                <w:szCs w:val="26"/>
              </w:rPr>
              <w:t>Speech, Language and Communication Needs (SLCN)</w:t>
            </w:r>
          </w:p>
        </w:tc>
      </w:tr>
      <w:tr w:rsidR="00364DD5" w14:paraId="770CDEF0" w14:textId="77777777" w:rsidTr="00364DD5">
        <w:trPr>
          <w:trHeight w:val="422"/>
        </w:trPr>
        <w:tc>
          <w:tcPr>
            <w:tcW w:w="7134" w:type="dxa"/>
          </w:tcPr>
          <w:p w14:paraId="1947EAF1" w14:textId="6F7CE2A9" w:rsidR="00364DD5" w:rsidRPr="001238C1" w:rsidRDefault="00364DD5" w:rsidP="00364DD5">
            <w:pPr>
              <w:rPr>
                <w:sz w:val="26"/>
                <w:szCs w:val="26"/>
              </w:rPr>
            </w:pPr>
            <w:r w:rsidRPr="00F23279">
              <w:rPr>
                <w:sz w:val="26"/>
                <w:szCs w:val="26"/>
              </w:rPr>
              <w:t>Supporting Non-verbal children</w:t>
            </w:r>
          </w:p>
        </w:tc>
      </w:tr>
      <w:tr w:rsidR="00364DD5" w14:paraId="59A72D0F" w14:textId="77777777" w:rsidTr="00364DD5">
        <w:trPr>
          <w:trHeight w:val="414"/>
        </w:trPr>
        <w:tc>
          <w:tcPr>
            <w:tcW w:w="7134" w:type="dxa"/>
          </w:tcPr>
          <w:p w14:paraId="43D190A7" w14:textId="77777777" w:rsidR="00364DD5" w:rsidRPr="001238C1" w:rsidRDefault="00364DD5" w:rsidP="00364DD5">
            <w:pPr>
              <w:rPr>
                <w:sz w:val="26"/>
                <w:szCs w:val="26"/>
              </w:rPr>
            </w:pPr>
            <w:r w:rsidRPr="00F23279">
              <w:rPr>
                <w:sz w:val="26"/>
                <w:szCs w:val="26"/>
              </w:rPr>
              <w:t>Supporting Oracy, Teach Children to Listen</w:t>
            </w:r>
          </w:p>
        </w:tc>
      </w:tr>
      <w:tr w:rsidR="00364DD5" w14:paraId="134095FA" w14:textId="77777777" w:rsidTr="00364DD5">
        <w:trPr>
          <w:trHeight w:val="420"/>
        </w:trPr>
        <w:tc>
          <w:tcPr>
            <w:tcW w:w="7134" w:type="dxa"/>
          </w:tcPr>
          <w:p w14:paraId="7D7882D8" w14:textId="77777777" w:rsidR="00364DD5" w:rsidRPr="001238C1" w:rsidRDefault="00364DD5" w:rsidP="00364DD5">
            <w:pPr>
              <w:rPr>
                <w:sz w:val="26"/>
                <w:szCs w:val="26"/>
              </w:rPr>
            </w:pPr>
            <w:r w:rsidRPr="00F23279">
              <w:rPr>
                <w:sz w:val="26"/>
                <w:szCs w:val="26"/>
              </w:rPr>
              <w:t>Executive Function and Working Memory</w:t>
            </w:r>
          </w:p>
        </w:tc>
      </w:tr>
      <w:tr w:rsidR="00364DD5" w14:paraId="66B363BA" w14:textId="77777777" w:rsidTr="00364DD5">
        <w:trPr>
          <w:trHeight w:val="775"/>
        </w:trPr>
        <w:tc>
          <w:tcPr>
            <w:tcW w:w="7134" w:type="dxa"/>
          </w:tcPr>
          <w:p w14:paraId="2FC654E3" w14:textId="77777777" w:rsidR="00364DD5" w:rsidRPr="001238C1" w:rsidRDefault="00364DD5" w:rsidP="00364DD5">
            <w:pPr>
              <w:rPr>
                <w:sz w:val="26"/>
                <w:szCs w:val="26"/>
              </w:rPr>
            </w:pPr>
            <w:r w:rsidRPr="00F23279">
              <w:rPr>
                <w:sz w:val="26"/>
                <w:szCs w:val="26"/>
              </w:rPr>
              <w:t>Boosting Talk and Understanding: TA Support for Oracy and Vocabulary.</w:t>
            </w:r>
            <w:r w:rsidRPr="001238C1">
              <w:rPr>
                <w:sz w:val="26"/>
                <w:szCs w:val="26"/>
              </w:rPr>
              <w:t xml:space="preserve"> </w:t>
            </w:r>
          </w:p>
        </w:tc>
      </w:tr>
      <w:tr w:rsidR="00364DD5" w14:paraId="75AC2E09" w14:textId="77777777" w:rsidTr="00364DD5">
        <w:trPr>
          <w:trHeight w:val="480"/>
        </w:trPr>
        <w:tc>
          <w:tcPr>
            <w:tcW w:w="7134" w:type="dxa"/>
          </w:tcPr>
          <w:p w14:paraId="0B05B98E" w14:textId="77777777" w:rsidR="00364DD5" w:rsidRPr="001238C1" w:rsidRDefault="00364DD5" w:rsidP="00364DD5">
            <w:pPr>
              <w:rPr>
                <w:sz w:val="26"/>
                <w:szCs w:val="26"/>
              </w:rPr>
            </w:pPr>
            <w:r w:rsidRPr="00F23279">
              <w:rPr>
                <w:sz w:val="26"/>
                <w:szCs w:val="26"/>
              </w:rPr>
              <w:t>Attachment and the Role of the TA.</w:t>
            </w:r>
          </w:p>
        </w:tc>
      </w:tr>
      <w:tr w:rsidR="00364DD5" w14:paraId="6404EE76" w14:textId="77777777" w:rsidTr="00364DD5">
        <w:trPr>
          <w:trHeight w:val="416"/>
        </w:trPr>
        <w:tc>
          <w:tcPr>
            <w:tcW w:w="7134" w:type="dxa"/>
          </w:tcPr>
          <w:p w14:paraId="696F0AF9" w14:textId="77777777" w:rsidR="00364DD5" w:rsidRPr="001238C1" w:rsidRDefault="00364DD5" w:rsidP="00364DD5">
            <w:pPr>
              <w:rPr>
                <w:sz w:val="26"/>
                <w:szCs w:val="26"/>
              </w:rPr>
            </w:pPr>
            <w:r w:rsidRPr="00F23279">
              <w:rPr>
                <w:sz w:val="26"/>
                <w:szCs w:val="26"/>
              </w:rPr>
              <w:t>Understanding and Supporting Pupils with ADHD.</w:t>
            </w:r>
          </w:p>
        </w:tc>
      </w:tr>
      <w:tr w:rsidR="00364DD5" w14:paraId="3E8DAEB0" w14:textId="77777777" w:rsidTr="00364DD5">
        <w:trPr>
          <w:trHeight w:val="422"/>
        </w:trPr>
        <w:tc>
          <w:tcPr>
            <w:tcW w:w="7134" w:type="dxa"/>
          </w:tcPr>
          <w:p w14:paraId="2C3D164F" w14:textId="77777777" w:rsidR="00364DD5" w:rsidRPr="001238C1" w:rsidRDefault="00364DD5" w:rsidP="00364DD5">
            <w:pPr>
              <w:rPr>
                <w:sz w:val="26"/>
                <w:szCs w:val="26"/>
              </w:rPr>
            </w:pPr>
            <w:r w:rsidRPr="00472C2B">
              <w:rPr>
                <w:sz w:val="26"/>
                <w:szCs w:val="26"/>
              </w:rPr>
              <w:t>Targeting Reluctant Writers.</w:t>
            </w:r>
          </w:p>
        </w:tc>
      </w:tr>
      <w:tr w:rsidR="00364DD5" w14:paraId="54714D01" w14:textId="77777777" w:rsidTr="00364DD5">
        <w:trPr>
          <w:trHeight w:val="413"/>
        </w:trPr>
        <w:tc>
          <w:tcPr>
            <w:tcW w:w="7134" w:type="dxa"/>
          </w:tcPr>
          <w:p w14:paraId="5C73758B" w14:textId="6452F5A7" w:rsidR="00364DD5" w:rsidRPr="00472C2B" w:rsidRDefault="00364DD5" w:rsidP="00364DD5">
            <w:pPr>
              <w:rPr>
                <w:sz w:val="26"/>
                <w:szCs w:val="26"/>
              </w:rPr>
            </w:pPr>
            <w:r w:rsidRPr="00472C2B">
              <w:rPr>
                <w:sz w:val="26"/>
                <w:szCs w:val="26"/>
              </w:rPr>
              <w:t>Supporting Autistic girls</w:t>
            </w:r>
            <w:r>
              <w:rPr>
                <w:sz w:val="26"/>
                <w:szCs w:val="26"/>
              </w:rPr>
              <w:t>.</w:t>
            </w:r>
          </w:p>
        </w:tc>
      </w:tr>
      <w:tr w:rsidR="00364DD5" w14:paraId="46BB021A" w14:textId="77777777" w:rsidTr="00364DD5">
        <w:trPr>
          <w:trHeight w:val="312"/>
        </w:trPr>
        <w:tc>
          <w:tcPr>
            <w:tcW w:w="7134" w:type="dxa"/>
          </w:tcPr>
          <w:p w14:paraId="19A414B4" w14:textId="5DA6F416" w:rsidR="00364DD5" w:rsidRPr="00472C2B" w:rsidRDefault="00364DD5" w:rsidP="00364DD5">
            <w:pPr>
              <w:rPr>
                <w:sz w:val="26"/>
                <w:szCs w:val="26"/>
              </w:rPr>
            </w:pPr>
            <w:r w:rsidRPr="00472C2B">
              <w:rPr>
                <w:sz w:val="26"/>
                <w:szCs w:val="26"/>
              </w:rPr>
              <w:t>Sensory Processing</w:t>
            </w:r>
            <w:r>
              <w:rPr>
                <w:sz w:val="26"/>
                <w:szCs w:val="26"/>
              </w:rPr>
              <w:t>.</w:t>
            </w:r>
          </w:p>
        </w:tc>
      </w:tr>
    </w:tbl>
    <w:p w14:paraId="7F84C1A9" w14:textId="77777777" w:rsidR="00364DD5" w:rsidRDefault="00364DD5">
      <w:pPr>
        <w:rPr>
          <w:sz w:val="30"/>
          <w:szCs w:val="30"/>
          <w:u w:val="single"/>
        </w:rPr>
      </w:pPr>
    </w:p>
    <w:p w14:paraId="45BC1620" w14:textId="77777777" w:rsidR="00364DD5" w:rsidRDefault="00364DD5">
      <w:pPr>
        <w:rPr>
          <w:sz w:val="30"/>
          <w:szCs w:val="30"/>
          <w:u w:val="single"/>
        </w:rPr>
      </w:pPr>
    </w:p>
    <w:p w14:paraId="012D9B57" w14:textId="77777777" w:rsidR="009A09A5" w:rsidRDefault="009A09A5">
      <w:pPr>
        <w:rPr>
          <w:sz w:val="30"/>
          <w:szCs w:val="30"/>
          <w:u w:val="single"/>
        </w:rPr>
      </w:pPr>
    </w:p>
    <w:p w14:paraId="6EB353DF" w14:textId="77777777" w:rsidR="009A09A5" w:rsidRDefault="009A09A5">
      <w:pPr>
        <w:rPr>
          <w:sz w:val="30"/>
          <w:szCs w:val="30"/>
          <w:u w:val="single"/>
        </w:rPr>
      </w:pPr>
    </w:p>
    <w:p w14:paraId="198B4974" w14:textId="6D46BA11" w:rsidR="009A09A5" w:rsidRPr="009A09A5" w:rsidRDefault="009A09A5">
      <w:pPr>
        <w:rPr>
          <w:sz w:val="30"/>
          <w:szCs w:val="30"/>
          <w:u w:val="single"/>
        </w:rPr>
      </w:pPr>
    </w:p>
    <w:p w14:paraId="0A03E7B7" w14:textId="77777777" w:rsidR="00005647" w:rsidRDefault="00005647"/>
    <w:p w14:paraId="0678797B" w14:textId="600C11AF" w:rsidR="00005647" w:rsidRDefault="00005647"/>
    <w:p w14:paraId="5FB46C8A" w14:textId="3200DC80" w:rsidR="00005647" w:rsidRDefault="00005647"/>
    <w:sectPr w:rsidR="00005647" w:rsidSect="009A09A5">
      <w:pgSz w:w="11906" w:h="16838"/>
      <w:pgMar w:top="1440" w:right="1440" w:bottom="1440" w:left="1440" w:header="708" w:footer="708" w:gutter="0"/>
      <w:pgBorders w:offsetFrom="page">
        <w:top w:val="single" w:sz="24" w:space="24" w:color="002060"/>
        <w:left w:val="single" w:sz="24" w:space="24" w:color="002060"/>
        <w:bottom w:val="single" w:sz="24" w:space="24" w:color="002060"/>
        <w:right w:val="single" w:sz="2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647"/>
    <w:rsid w:val="00005647"/>
    <w:rsid w:val="001238C1"/>
    <w:rsid w:val="00364DD5"/>
    <w:rsid w:val="00456B55"/>
    <w:rsid w:val="00472C2B"/>
    <w:rsid w:val="00521A1A"/>
    <w:rsid w:val="005226E3"/>
    <w:rsid w:val="0056546A"/>
    <w:rsid w:val="007A7A37"/>
    <w:rsid w:val="007C5B9E"/>
    <w:rsid w:val="009A09A5"/>
    <w:rsid w:val="009D0576"/>
    <w:rsid w:val="009E5FA3"/>
    <w:rsid w:val="00BA2DC9"/>
    <w:rsid w:val="00D15FF4"/>
    <w:rsid w:val="00E15168"/>
    <w:rsid w:val="00F23279"/>
    <w:rsid w:val="00FD2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91AE1"/>
  <w15:chartTrackingRefBased/>
  <w15:docId w15:val="{46674A2B-7FFC-496B-8C99-B8970E0D3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647"/>
    <w:rPr>
      <w:rFonts w:eastAsiaTheme="majorEastAsia" w:cstheme="majorBidi"/>
      <w:color w:val="272727" w:themeColor="text1" w:themeTint="D8"/>
    </w:rPr>
  </w:style>
  <w:style w:type="paragraph" w:styleId="Title">
    <w:name w:val="Title"/>
    <w:basedOn w:val="Normal"/>
    <w:next w:val="Normal"/>
    <w:link w:val="TitleChar"/>
    <w:uiPriority w:val="10"/>
    <w:qFormat/>
    <w:rsid w:val="00005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647"/>
    <w:pPr>
      <w:spacing w:before="160"/>
      <w:jc w:val="center"/>
    </w:pPr>
    <w:rPr>
      <w:i/>
      <w:iCs/>
      <w:color w:val="404040" w:themeColor="text1" w:themeTint="BF"/>
    </w:rPr>
  </w:style>
  <w:style w:type="character" w:customStyle="1" w:styleId="QuoteChar">
    <w:name w:val="Quote Char"/>
    <w:basedOn w:val="DefaultParagraphFont"/>
    <w:link w:val="Quote"/>
    <w:uiPriority w:val="29"/>
    <w:rsid w:val="00005647"/>
    <w:rPr>
      <w:i/>
      <w:iCs/>
      <w:color w:val="404040" w:themeColor="text1" w:themeTint="BF"/>
    </w:rPr>
  </w:style>
  <w:style w:type="paragraph" w:styleId="ListParagraph">
    <w:name w:val="List Paragraph"/>
    <w:basedOn w:val="Normal"/>
    <w:uiPriority w:val="34"/>
    <w:qFormat/>
    <w:rsid w:val="00005647"/>
    <w:pPr>
      <w:ind w:left="720"/>
      <w:contextualSpacing/>
    </w:pPr>
  </w:style>
  <w:style w:type="character" w:styleId="IntenseEmphasis">
    <w:name w:val="Intense Emphasis"/>
    <w:basedOn w:val="DefaultParagraphFont"/>
    <w:uiPriority w:val="21"/>
    <w:qFormat/>
    <w:rsid w:val="00005647"/>
    <w:rPr>
      <w:i/>
      <w:iCs/>
      <w:color w:val="0F4761" w:themeColor="accent1" w:themeShade="BF"/>
    </w:rPr>
  </w:style>
  <w:style w:type="paragraph" w:styleId="IntenseQuote">
    <w:name w:val="Intense Quote"/>
    <w:basedOn w:val="Normal"/>
    <w:next w:val="Normal"/>
    <w:link w:val="IntenseQuoteChar"/>
    <w:uiPriority w:val="30"/>
    <w:qFormat/>
    <w:rsid w:val="00005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647"/>
    <w:rPr>
      <w:i/>
      <w:iCs/>
      <w:color w:val="0F4761" w:themeColor="accent1" w:themeShade="BF"/>
    </w:rPr>
  </w:style>
  <w:style w:type="character" w:styleId="IntenseReference">
    <w:name w:val="Intense Reference"/>
    <w:basedOn w:val="DefaultParagraphFont"/>
    <w:uiPriority w:val="32"/>
    <w:qFormat/>
    <w:rsid w:val="00005647"/>
    <w:rPr>
      <w:b/>
      <w:bCs/>
      <w:smallCaps/>
      <w:color w:val="0F4761" w:themeColor="accent1" w:themeShade="BF"/>
      <w:spacing w:val="5"/>
    </w:rPr>
  </w:style>
  <w:style w:type="table" w:styleId="TableGrid">
    <w:name w:val="Table Grid"/>
    <w:basedOn w:val="TableNormal"/>
    <w:uiPriority w:val="39"/>
    <w:rsid w:val="0000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CF31C-B006-4D3F-A5CB-FB61059E8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126</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Grimes</dc:creator>
  <cp:keywords/>
  <dc:description/>
  <cp:lastModifiedBy>R Grimes</cp:lastModifiedBy>
  <cp:revision>3</cp:revision>
  <dcterms:created xsi:type="dcterms:W3CDTF">2025-10-17T20:43:00Z</dcterms:created>
  <dcterms:modified xsi:type="dcterms:W3CDTF">2025-10-20T06:59:00Z</dcterms:modified>
</cp:coreProperties>
</file>