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8BEC" w14:textId="77777777" w:rsidR="00756FAA" w:rsidRPr="0074526F" w:rsidRDefault="00756FAA" w:rsidP="00756FAA">
      <w:pPr>
        <w:pStyle w:val="Logos"/>
        <w:tabs>
          <w:tab w:val="right" w:pos="9498"/>
        </w:tabs>
        <w:rPr>
          <w:rFonts w:cs="Arial"/>
          <w:noProof w:val="0"/>
        </w:rPr>
      </w:pPr>
      <w:r>
        <w:drawing>
          <wp:inline distT="0" distB="0" distL="0" distR="0" wp14:anchorId="766E280A" wp14:editId="7B02EE95">
            <wp:extent cx="1838800" cy="1080000"/>
            <wp:effectExtent l="0" t="0" r="0" b="6350"/>
            <wp:docPr id="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38800" cy="1080000"/>
                    </a:xfrm>
                    <a:prstGeom prst="rect">
                      <a:avLst/>
                    </a:prstGeom>
                  </pic:spPr>
                </pic:pic>
              </a:graphicData>
            </a:graphic>
          </wp:inline>
        </w:drawing>
      </w:r>
    </w:p>
    <w:p w14:paraId="4D239A1A" w14:textId="77777777" w:rsidR="00756FAA" w:rsidRPr="0074526F" w:rsidRDefault="00756FAA" w:rsidP="00756FAA">
      <w:pPr>
        <w:pStyle w:val="TitleText"/>
        <w:jc w:val="center"/>
        <w:rPr>
          <w:sz w:val="96"/>
          <w:szCs w:val="96"/>
        </w:rPr>
      </w:pPr>
      <w:r>
        <w:rPr>
          <w:sz w:val="96"/>
          <w:szCs w:val="96"/>
        </w:rPr>
        <w:t>Connect the Classroom</w:t>
      </w:r>
    </w:p>
    <w:p w14:paraId="7C2FECAF" w14:textId="665B06F7" w:rsidR="000942B5" w:rsidRPr="009B514F" w:rsidRDefault="000942B5" w:rsidP="3F9BC9C1">
      <w:pPr>
        <w:tabs>
          <w:tab w:val="center" w:pos="4875"/>
          <w:tab w:val="left" w:pos="7905"/>
        </w:tabs>
        <w:spacing w:after="200" w:line="276" w:lineRule="auto"/>
        <w:jc w:val="center"/>
        <w:rPr>
          <w:rFonts w:eastAsia="Calibri" w:cs="Arial"/>
          <w:b/>
          <w:bCs/>
          <w:i/>
          <w:iCs/>
          <w:color w:val="104F75"/>
          <w:sz w:val="48"/>
          <w:szCs w:val="48"/>
          <w:lang w:eastAsia="en-US"/>
        </w:rPr>
      </w:pPr>
      <w:r w:rsidRPr="3F9BC9C1">
        <w:rPr>
          <w:rFonts w:eastAsia="Calibri" w:cs="Arial"/>
          <w:b/>
          <w:bCs/>
          <w:i/>
          <w:iCs/>
          <w:color w:val="104F75"/>
          <w:sz w:val="48"/>
          <w:szCs w:val="48"/>
          <w:lang w:eastAsia="en-US"/>
        </w:rPr>
        <w:t xml:space="preserve">Technical </w:t>
      </w:r>
      <w:r w:rsidR="00A056AD" w:rsidRPr="3F9BC9C1">
        <w:rPr>
          <w:rFonts w:eastAsia="Calibri" w:cs="Arial"/>
          <w:b/>
          <w:bCs/>
          <w:i/>
          <w:iCs/>
          <w:color w:val="104F75"/>
          <w:sz w:val="48"/>
          <w:szCs w:val="48"/>
          <w:lang w:eastAsia="en-US"/>
        </w:rPr>
        <w:t>Requirements</w:t>
      </w:r>
    </w:p>
    <w:p w14:paraId="3864976C" w14:textId="4370323D" w:rsidR="00756FAA" w:rsidRDefault="00756FAA" w:rsidP="00756FAA">
      <w:pPr>
        <w:spacing w:after="200" w:line="276" w:lineRule="auto"/>
        <w:jc w:val="center"/>
        <w:rPr>
          <w:rFonts w:eastAsia="Calibri" w:cs="Arial"/>
          <w:b/>
          <w:bCs/>
          <w:color w:val="104F75"/>
          <w:sz w:val="20"/>
          <w:szCs w:val="20"/>
          <w:lang w:eastAsia="en-US"/>
        </w:rPr>
      </w:pPr>
      <w:r>
        <w:rPr>
          <w:rFonts w:eastAsia="Calibri" w:cs="Arial"/>
          <w:b/>
          <w:bCs/>
          <w:color w:val="104F75"/>
          <w:sz w:val="20"/>
          <w:szCs w:val="20"/>
          <w:lang w:eastAsia="en-US"/>
        </w:rPr>
        <w:t xml:space="preserve">Document </w:t>
      </w:r>
      <w:r w:rsidR="000942B5">
        <w:rPr>
          <w:rFonts w:eastAsia="Calibri" w:cs="Arial"/>
          <w:b/>
          <w:bCs/>
          <w:color w:val="104F75"/>
          <w:sz w:val="20"/>
          <w:szCs w:val="20"/>
          <w:lang w:eastAsia="en-US"/>
        </w:rPr>
        <w:t>2</w:t>
      </w:r>
      <w:r>
        <w:rPr>
          <w:rFonts w:eastAsia="Calibri" w:cs="Arial"/>
          <w:b/>
          <w:bCs/>
          <w:color w:val="104F75"/>
          <w:sz w:val="20"/>
          <w:szCs w:val="20"/>
          <w:lang w:eastAsia="en-US"/>
        </w:rPr>
        <w:t xml:space="preserve"> of </w:t>
      </w:r>
      <w:r w:rsidR="00E06EF7">
        <w:rPr>
          <w:rFonts w:eastAsia="Calibri" w:cs="Arial"/>
          <w:b/>
          <w:bCs/>
          <w:color w:val="104F75"/>
          <w:sz w:val="20"/>
          <w:szCs w:val="20"/>
          <w:lang w:eastAsia="en-US"/>
        </w:rPr>
        <w:t>3</w:t>
      </w:r>
      <w:r>
        <w:rPr>
          <w:rFonts w:eastAsia="Calibri" w:cs="Arial"/>
          <w:b/>
          <w:bCs/>
          <w:color w:val="104F75"/>
          <w:sz w:val="20"/>
          <w:szCs w:val="20"/>
          <w:lang w:eastAsia="en-US"/>
        </w:rPr>
        <w:t xml:space="preserve"> </w:t>
      </w:r>
    </w:p>
    <w:p w14:paraId="0611D17F" w14:textId="77777777" w:rsidR="00756FAA" w:rsidRDefault="00756FAA" w:rsidP="00756FAA">
      <w:pPr>
        <w:spacing w:after="200" w:line="276" w:lineRule="auto"/>
        <w:jc w:val="both"/>
        <w:rPr>
          <w:rFonts w:eastAsia="Calibri" w:cs="Arial"/>
          <w:b/>
          <w:bCs/>
          <w:color w:val="104F75"/>
          <w:sz w:val="20"/>
          <w:szCs w:val="20"/>
          <w:lang w:eastAsia="en-US"/>
        </w:rPr>
      </w:pPr>
    </w:p>
    <w:p w14:paraId="749E9EA5" w14:textId="77777777" w:rsidR="00756FAA" w:rsidRDefault="00756FAA" w:rsidP="00756FAA">
      <w:pPr>
        <w:spacing w:after="200" w:line="276" w:lineRule="auto"/>
        <w:jc w:val="both"/>
        <w:rPr>
          <w:rFonts w:eastAsia="Calibri" w:cs="Arial"/>
          <w:b/>
          <w:bCs/>
          <w:color w:val="104F75"/>
          <w:sz w:val="20"/>
          <w:szCs w:val="20"/>
          <w:lang w:eastAsia="en-US"/>
        </w:rPr>
      </w:pPr>
    </w:p>
    <w:p w14:paraId="043911E9" w14:textId="77777777" w:rsidR="00756FAA" w:rsidRDefault="00756FAA" w:rsidP="00756FAA">
      <w:pPr>
        <w:spacing w:after="200" w:line="276" w:lineRule="auto"/>
        <w:jc w:val="both"/>
        <w:rPr>
          <w:rFonts w:eastAsia="Calibri" w:cs="Arial"/>
          <w:b/>
          <w:bCs/>
          <w:color w:val="104F75"/>
          <w:sz w:val="20"/>
          <w:szCs w:val="20"/>
          <w:lang w:eastAsia="en-US"/>
        </w:rPr>
      </w:pPr>
      <w:r w:rsidRPr="0074526F">
        <w:rPr>
          <w:rFonts w:eastAsia="Calibri" w:cs="Arial"/>
          <w:b/>
          <w:bCs/>
          <w:color w:val="104F75"/>
          <w:sz w:val="20"/>
          <w:szCs w:val="20"/>
          <w:lang w:eastAsia="en-US"/>
        </w:rPr>
        <w:t>Document Control Table</w:t>
      </w:r>
    </w:p>
    <w:p w14:paraId="1C70D5C3" w14:textId="77777777" w:rsidR="00756FAA" w:rsidRPr="00B275F1" w:rsidRDefault="00756FAA" w:rsidP="00756FAA">
      <w:pPr>
        <w:spacing w:after="200" w:line="276" w:lineRule="auto"/>
        <w:jc w:val="both"/>
        <w:rPr>
          <w:rFonts w:eastAsia="Calibri" w:cs="Arial"/>
          <w:bCs/>
          <w:i/>
          <w:iCs/>
          <w:color w:val="0070C0"/>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3378"/>
        <w:gridCol w:w="923"/>
        <w:gridCol w:w="1608"/>
        <w:gridCol w:w="2048"/>
      </w:tblGrid>
      <w:tr w:rsidR="00756FAA" w:rsidRPr="0074526F" w14:paraId="187DA435" w14:textId="77777777" w:rsidTr="005470B9">
        <w:tc>
          <w:tcPr>
            <w:tcW w:w="587" w:type="pct"/>
            <w:shd w:val="clear" w:color="auto" w:fill="auto"/>
            <w:vAlign w:val="center"/>
          </w:tcPr>
          <w:p w14:paraId="2FC56392" w14:textId="77777777" w:rsidR="00756FAA" w:rsidRPr="0074526F" w:rsidRDefault="00756FAA" w:rsidP="006562AD">
            <w:pPr>
              <w:spacing w:after="0" w:line="276" w:lineRule="auto"/>
              <w:jc w:val="center"/>
              <w:rPr>
                <w:rFonts w:cs="Arial"/>
                <w:b/>
                <w:bCs/>
                <w:color w:val="104F75"/>
                <w:sz w:val="18"/>
                <w:szCs w:val="18"/>
              </w:rPr>
            </w:pPr>
            <w:r w:rsidRPr="0074526F">
              <w:rPr>
                <w:rFonts w:cs="Arial"/>
                <w:b/>
                <w:bCs/>
                <w:color w:val="104F75"/>
                <w:sz w:val="18"/>
                <w:szCs w:val="18"/>
              </w:rPr>
              <w:t>Version</w:t>
            </w:r>
          </w:p>
        </w:tc>
        <w:tc>
          <w:tcPr>
            <w:tcW w:w="1873" w:type="pct"/>
            <w:vAlign w:val="center"/>
          </w:tcPr>
          <w:p w14:paraId="4289A7B0" w14:textId="77777777" w:rsidR="00756FAA" w:rsidRPr="0074526F" w:rsidRDefault="00756FAA" w:rsidP="006562AD">
            <w:pPr>
              <w:spacing w:after="0" w:line="276" w:lineRule="auto"/>
              <w:jc w:val="center"/>
              <w:rPr>
                <w:rFonts w:cs="Arial"/>
                <w:b/>
                <w:bCs/>
                <w:color w:val="104F75"/>
                <w:sz w:val="18"/>
                <w:szCs w:val="18"/>
              </w:rPr>
            </w:pPr>
            <w:r w:rsidRPr="0074526F">
              <w:rPr>
                <w:rFonts w:cs="Arial"/>
                <w:b/>
                <w:bCs/>
                <w:color w:val="104F75"/>
                <w:sz w:val="18"/>
                <w:szCs w:val="18"/>
              </w:rPr>
              <w:t>Comment</w:t>
            </w:r>
          </w:p>
        </w:tc>
        <w:tc>
          <w:tcPr>
            <w:tcW w:w="512" w:type="pct"/>
            <w:shd w:val="clear" w:color="auto" w:fill="auto"/>
            <w:vAlign w:val="center"/>
          </w:tcPr>
          <w:p w14:paraId="35F2E800" w14:textId="77777777" w:rsidR="00756FAA" w:rsidRPr="0074526F" w:rsidRDefault="00756FAA" w:rsidP="006562AD">
            <w:pPr>
              <w:spacing w:after="0" w:line="276" w:lineRule="auto"/>
              <w:jc w:val="center"/>
              <w:rPr>
                <w:rFonts w:cs="Arial"/>
                <w:b/>
                <w:bCs/>
                <w:color w:val="104F75"/>
                <w:sz w:val="18"/>
                <w:szCs w:val="18"/>
              </w:rPr>
            </w:pPr>
            <w:r w:rsidRPr="0074526F">
              <w:rPr>
                <w:rFonts w:cs="Arial"/>
                <w:b/>
                <w:bCs/>
                <w:color w:val="104F75"/>
                <w:sz w:val="18"/>
                <w:szCs w:val="18"/>
              </w:rPr>
              <w:t>Status</w:t>
            </w:r>
          </w:p>
        </w:tc>
        <w:tc>
          <w:tcPr>
            <w:tcW w:w="892" w:type="pct"/>
            <w:shd w:val="clear" w:color="auto" w:fill="auto"/>
            <w:vAlign w:val="center"/>
          </w:tcPr>
          <w:p w14:paraId="42BB1267" w14:textId="77777777" w:rsidR="00756FAA" w:rsidRPr="0074526F" w:rsidRDefault="00756FAA" w:rsidP="006562AD">
            <w:pPr>
              <w:spacing w:after="0" w:line="276" w:lineRule="auto"/>
              <w:jc w:val="center"/>
              <w:rPr>
                <w:rFonts w:cs="Arial"/>
                <w:b/>
                <w:bCs/>
                <w:color w:val="104F75"/>
                <w:sz w:val="18"/>
                <w:szCs w:val="18"/>
              </w:rPr>
            </w:pPr>
            <w:r w:rsidRPr="0074526F">
              <w:rPr>
                <w:rFonts w:cs="Arial"/>
                <w:b/>
                <w:bCs/>
                <w:color w:val="104F75"/>
                <w:sz w:val="18"/>
                <w:szCs w:val="18"/>
              </w:rPr>
              <w:t>Date of Issue</w:t>
            </w:r>
          </w:p>
        </w:tc>
        <w:tc>
          <w:tcPr>
            <w:tcW w:w="1137" w:type="pct"/>
            <w:shd w:val="clear" w:color="auto" w:fill="auto"/>
            <w:vAlign w:val="center"/>
          </w:tcPr>
          <w:p w14:paraId="1DBDE16C" w14:textId="77777777" w:rsidR="00756FAA" w:rsidRPr="0074526F" w:rsidRDefault="00756FAA" w:rsidP="006562AD">
            <w:pPr>
              <w:spacing w:after="0" w:line="276" w:lineRule="auto"/>
              <w:jc w:val="center"/>
              <w:rPr>
                <w:rFonts w:cs="Arial"/>
                <w:b/>
                <w:bCs/>
                <w:color w:val="104F75"/>
                <w:sz w:val="18"/>
                <w:szCs w:val="18"/>
              </w:rPr>
            </w:pPr>
            <w:r w:rsidRPr="0074526F">
              <w:rPr>
                <w:rFonts w:cs="Arial"/>
                <w:b/>
                <w:bCs/>
                <w:color w:val="104F75"/>
                <w:sz w:val="18"/>
                <w:szCs w:val="18"/>
              </w:rPr>
              <w:t>Document author</w:t>
            </w:r>
          </w:p>
        </w:tc>
      </w:tr>
      <w:tr w:rsidR="005470B9" w:rsidRPr="0074526F" w14:paraId="78EE44AF" w14:textId="77777777" w:rsidTr="005470B9">
        <w:trPr>
          <w:trHeight w:val="313"/>
        </w:trPr>
        <w:tc>
          <w:tcPr>
            <w:tcW w:w="587" w:type="pct"/>
            <w:shd w:val="clear" w:color="auto" w:fill="auto"/>
            <w:vAlign w:val="center"/>
          </w:tcPr>
          <w:p w14:paraId="73866902" w14:textId="67CDE4DC" w:rsidR="005470B9" w:rsidRDefault="005470B9" w:rsidP="006562AD">
            <w:pPr>
              <w:spacing w:after="0" w:line="276" w:lineRule="auto"/>
              <w:jc w:val="center"/>
              <w:rPr>
                <w:rFonts w:cs="Arial"/>
                <w:color w:val="auto"/>
                <w:sz w:val="18"/>
                <w:szCs w:val="18"/>
              </w:rPr>
            </w:pPr>
            <w:r>
              <w:rPr>
                <w:rFonts w:cs="Arial"/>
                <w:color w:val="auto"/>
                <w:sz w:val="18"/>
                <w:szCs w:val="18"/>
              </w:rPr>
              <w:t>1</w:t>
            </w:r>
          </w:p>
        </w:tc>
        <w:tc>
          <w:tcPr>
            <w:tcW w:w="1873" w:type="pct"/>
            <w:vAlign w:val="center"/>
          </w:tcPr>
          <w:p w14:paraId="06776F03" w14:textId="74E56A03" w:rsidR="005470B9" w:rsidRDefault="005470B9" w:rsidP="006562AD">
            <w:pPr>
              <w:spacing w:after="0" w:line="276" w:lineRule="auto"/>
              <w:jc w:val="center"/>
              <w:rPr>
                <w:rFonts w:cs="Arial"/>
                <w:color w:val="auto"/>
                <w:sz w:val="18"/>
                <w:szCs w:val="18"/>
              </w:rPr>
            </w:pPr>
            <w:r>
              <w:rPr>
                <w:rFonts w:cs="Arial"/>
                <w:color w:val="auto"/>
                <w:sz w:val="18"/>
                <w:szCs w:val="18"/>
              </w:rPr>
              <w:t>Release version</w:t>
            </w:r>
          </w:p>
        </w:tc>
        <w:tc>
          <w:tcPr>
            <w:tcW w:w="512" w:type="pct"/>
            <w:shd w:val="clear" w:color="auto" w:fill="auto"/>
            <w:vAlign w:val="center"/>
          </w:tcPr>
          <w:p w14:paraId="2EEA6E2E" w14:textId="6ED37004" w:rsidR="005470B9" w:rsidRDefault="005470B9" w:rsidP="006562AD">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72919501" w14:textId="59A89BA8" w:rsidR="005470B9" w:rsidRDefault="005470B9" w:rsidP="006562AD">
            <w:pPr>
              <w:spacing w:after="0" w:line="276" w:lineRule="auto"/>
              <w:jc w:val="center"/>
              <w:rPr>
                <w:rFonts w:cs="Arial"/>
                <w:color w:val="auto"/>
                <w:sz w:val="18"/>
                <w:szCs w:val="18"/>
              </w:rPr>
            </w:pPr>
            <w:r>
              <w:rPr>
                <w:rFonts w:cs="Arial"/>
                <w:color w:val="auto"/>
                <w:sz w:val="18"/>
                <w:szCs w:val="18"/>
              </w:rPr>
              <w:t>May 2021</w:t>
            </w:r>
          </w:p>
        </w:tc>
        <w:tc>
          <w:tcPr>
            <w:tcW w:w="1137" w:type="pct"/>
            <w:shd w:val="clear" w:color="auto" w:fill="auto"/>
            <w:vAlign w:val="center"/>
          </w:tcPr>
          <w:p w14:paraId="560E2D57" w14:textId="00C3BDA6" w:rsidR="005470B9" w:rsidRDefault="005470B9" w:rsidP="006562AD">
            <w:pPr>
              <w:spacing w:after="0" w:line="276" w:lineRule="auto"/>
              <w:jc w:val="center"/>
              <w:rPr>
                <w:rFonts w:cs="Arial"/>
                <w:color w:val="auto"/>
                <w:sz w:val="18"/>
                <w:szCs w:val="18"/>
              </w:rPr>
            </w:pPr>
            <w:r>
              <w:rPr>
                <w:rFonts w:cs="Arial"/>
                <w:color w:val="auto"/>
                <w:sz w:val="18"/>
                <w:szCs w:val="18"/>
              </w:rPr>
              <w:t>DfE</w:t>
            </w:r>
          </w:p>
        </w:tc>
      </w:tr>
      <w:tr w:rsidR="00165CD4" w:rsidRPr="0074526F" w14:paraId="6404D869" w14:textId="77777777" w:rsidTr="005470B9">
        <w:trPr>
          <w:trHeight w:val="313"/>
        </w:trPr>
        <w:tc>
          <w:tcPr>
            <w:tcW w:w="587" w:type="pct"/>
            <w:shd w:val="clear" w:color="auto" w:fill="auto"/>
            <w:vAlign w:val="center"/>
          </w:tcPr>
          <w:p w14:paraId="59DC2C8A" w14:textId="5F8B2780" w:rsidR="00165CD4" w:rsidRDefault="00165CD4" w:rsidP="006562AD">
            <w:pPr>
              <w:spacing w:after="0" w:line="276" w:lineRule="auto"/>
              <w:jc w:val="center"/>
              <w:rPr>
                <w:rFonts w:cs="Arial"/>
                <w:color w:val="auto"/>
                <w:sz w:val="18"/>
                <w:szCs w:val="18"/>
              </w:rPr>
            </w:pPr>
            <w:r>
              <w:rPr>
                <w:rFonts w:cs="Arial"/>
                <w:color w:val="auto"/>
                <w:sz w:val="18"/>
                <w:szCs w:val="18"/>
              </w:rPr>
              <w:t>1.1</w:t>
            </w:r>
          </w:p>
        </w:tc>
        <w:tc>
          <w:tcPr>
            <w:tcW w:w="1873" w:type="pct"/>
            <w:vAlign w:val="center"/>
          </w:tcPr>
          <w:p w14:paraId="6EA5A157" w14:textId="1ED73022" w:rsidR="00165CD4" w:rsidRDefault="00165CD4" w:rsidP="006562AD">
            <w:pPr>
              <w:spacing w:after="0" w:line="276" w:lineRule="auto"/>
              <w:jc w:val="center"/>
              <w:rPr>
                <w:rFonts w:cs="Arial"/>
                <w:color w:val="auto"/>
                <w:sz w:val="18"/>
                <w:szCs w:val="18"/>
              </w:rPr>
            </w:pPr>
            <w:r>
              <w:rPr>
                <w:rFonts w:cs="Arial"/>
                <w:color w:val="auto"/>
                <w:sz w:val="18"/>
                <w:szCs w:val="18"/>
              </w:rPr>
              <w:t>Amendments for CTC/3</w:t>
            </w:r>
            <w:r w:rsidR="00BB212B">
              <w:rPr>
                <w:rFonts w:cs="Arial"/>
                <w:color w:val="auto"/>
                <w:sz w:val="18"/>
                <w:szCs w:val="18"/>
              </w:rPr>
              <w:t xml:space="preserve"> including Sustainability requirement</w:t>
            </w:r>
          </w:p>
        </w:tc>
        <w:tc>
          <w:tcPr>
            <w:tcW w:w="512" w:type="pct"/>
            <w:shd w:val="clear" w:color="auto" w:fill="auto"/>
            <w:vAlign w:val="center"/>
          </w:tcPr>
          <w:p w14:paraId="632B866E" w14:textId="7B5B8590" w:rsidR="00165CD4" w:rsidRDefault="00165CD4" w:rsidP="006562AD">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17D125AC" w14:textId="7E98C092" w:rsidR="00165CD4" w:rsidRDefault="00BB212B" w:rsidP="006562AD">
            <w:pPr>
              <w:spacing w:after="0" w:line="276" w:lineRule="auto"/>
              <w:jc w:val="center"/>
              <w:rPr>
                <w:rFonts w:cs="Arial"/>
                <w:color w:val="auto"/>
                <w:sz w:val="18"/>
                <w:szCs w:val="18"/>
              </w:rPr>
            </w:pPr>
            <w:r>
              <w:rPr>
                <w:rFonts w:cs="Arial"/>
                <w:color w:val="auto"/>
                <w:sz w:val="18"/>
                <w:szCs w:val="18"/>
              </w:rPr>
              <w:t>November</w:t>
            </w:r>
            <w:r w:rsidR="00165CD4">
              <w:rPr>
                <w:rFonts w:cs="Arial"/>
                <w:color w:val="auto"/>
                <w:sz w:val="18"/>
                <w:szCs w:val="18"/>
              </w:rPr>
              <w:t xml:space="preserve"> 2021</w:t>
            </w:r>
          </w:p>
        </w:tc>
        <w:tc>
          <w:tcPr>
            <w:tcW w:w="1137" w:type="pct"/>
            <w:shd w:val="clear" w:color="auto" w:fill="auto"/>
            <w:vAlign w:val="center"/>
          </w:tcPr>
          <w:p w14:paraId="4D9EE6B0" w14:textId="227CBE9D" w:rsidR="00165CD4" w:rsidRDefault="00165CD4" w:rsidP="006562AD">
            <w:pPr>
              <w:spacing w:after="0" w:line="276" w:lineRule="auto"/>
              <w:jc w:val="center"/>
              <w:rPr>
                <w:rFonts w:cs="Arial"/>
                <w:color w:val="auto"/>
                <w:sz w:val="18"/>
                <w:szCs w:val="18"/>
              </w:rPr>
            </w:pPr>
            <w:r>
              <w:rPr>
                <w:rFonts w:cs="Arial"/>
                <w:color w:val="auto"/>
                <w:sz w:val="18"/>
                <w:szCs w:val="18"/>
              </w:rPr>
              <w:t>DfE</w:t>
            </w:r>
          </w:p>
        </w:tc>
      </w:tr>
      <w:tr w:rsidR="00465458" w:rsidRPr="0074526F" w14:paraId="5EAC9DE2" w14:textId="77777777" w:rsidTr="005470B9">
        <w:trPr>
          <w:trHeight w:val="313"/>
        </w:trPr>
        <w:tc>
          <w:tcPr>
            <w:tcW w:w="587" w:type="pct"/>
            <w:shd w:val="clear" w:color="auto" w:fill="auto"/>
            <w:vAlign w:val="center"/>
          </w:tcPr>
          <w:p w14:paraId="448E702B" w14:textId="1F31C3A4" w:rsidR="00465458" w:rsidRDefault="00465458" w:rsidP="006562AD">
            <w:pPr>
              <w:spacing w:after="0" w:line="276" w:lineRule="auto"/>
              <w:jc w:val="center"/>
              <w:rPr>
                <w:rFonts w:cs="Arial"/>
                <w:color w:val="auto"/>
                <w:sz w:val="18"/>
                <w:szCs w:val="18"/>
              </w:rPr>
            </w:pPr>
            <w:r>
              <w:rPr>
                <w:rFonts w:cs="Arial"/>
                <w:color w:val="auto"/>
                <w:sz w:val="18"/>
                <w:szCs w:val="18"/>
              </w:rPr>
              <w:t>2</w:t>
            </w:r>
          </w:p>
        </w:tc>
        <w:tc>
          <w:tcPr>
            <w:tcW w:w="1873" w:type="pct"/>
            <w:vAlign w:val="center"/>
          </w:tcPr>
          <w:p w14:paraId="2771F58B" w14:textId="53A8F89A" w:rsidR="00465458" w:rsidRDefault="00465458" w:rsidP="006562AD">
            <w:pPr>
              <w:spacing w:after="0" w:line="276" w:lineRule="auto"/>
              <w:jc w:val="center"/>
              <w:rPr>
                <w:rFonts w:cs="Arial"/>
                <w:color w:val="auto"/>
                <w:sz w:val="18"/>
                <w:szCs w:val="18"/>
              </w:rPr>
            </w:pPr>
            <w:r>
              <w:rPr>
                <w:rFonts w:cs="Arial"/>
                <w:color w:val="auto"/>
                <w:sz w:val="18"/>
                <w:szCs w:val="18"/>
              </w:rPr>
              <w:t>CTC 2022-23</w:t>
            </w:r>
          </w:p>
        </w:tc>
        <w:tc>
          <w:tcPr>
            <w:tcW w:w="512" w:type="pct"/>
            <w:shd w:val="clear" w:color="auto" w:fill="auto"/>
            <w:vAlign w:val="center"/>
          </w:tcPr>
          <w:p w14:paraId="59E599C1" w14:textId="76C3A05D" w:rsidR="00465458" w:rsidRDefault="00A25D1A" w:rsidP="006562AD">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58486D29" w14:textId="5391678A" w:rsidR="00465458" w:rsidRDefault="00465458" w:rsidP="006562AD">
            <w:pPr>
              <w:spacing w:after="0" w:line="276" w:lineRule="auto"/>
              <w:jc w:val="center"/>
              <w:rPr>
                <w:rFonts w:cs="Arial"/>
                <w:color w:val="auto"/>
                <w:sz w:val="18"/>
                <w:szCs w:val="18"/>
              </w:rPr>
            </w:pPr>
            <w:r>
              <w:rPr>
                <w:rFonts w:cs="Arial"/>
                <w:color w:val="auto"/>
                <w:sz w:val="18"/>
                <w:szCs w:val="18"/>
              </w:rPr>
              <w:t>May 2022</w:t>
            </w:r>
          </w:p>
        </w:tc>
        <w:tc>
          <w:tcPr>
            <w:tcW w:w="1137" w:type="pct"/>
            <w:shd w:val="clear" w:color="auto" w:fill="auto"/>
            <w:vAlign w:val="center"/>
          </w:tcPr>
          <w:p w14:paraId="6D9094E2" w14:textId="6598F7B3" w:rsidR="00465458" w:rsidRDefault="00465458" w:rsidP="006562AD">
            <w:pPr>
              <w:spacing w:after="0" w:line="276" w:lineRule="auto"/>
              <w:jc w:val="center"/>
              <w:rPr>
                <w:rFonts w:cs="Arial"/>
                <w:color w:val="auto"/>
                <w:sz w:val="18"/>
                <w:szCs w:val="18"/>
              </w:rPr>
            </w:pPr>
            <w:r>
              <w:rPr>
                <w:rFonts w:cs="Arial"/>
                <w:color w:val="auto"/>
                <w:sz w:val="18"/>
                <w:szCs w:val="18"/>
              </w:rPr>
              <w:t>DfE</w:t>
            </w:r>
          </w:p>
        </w:tc>
      </w:tr>
      <w:tr w:rsidR="00E72ED9" w:rsidRPr="0074526F" w14:paraId="58060916" w14:textId="77777777" w:rsidTr="005470B9">
        <w:trPr>
          <w:trHeight w:val="313"/>
        </w:trPr>
        <w:tc>
          <w:tcPr>
            <w:tcW w:w="587" w:type="pct"/>
            <w:shd w:val="clear" w:color="auto" w:fill="auto"/>
            <w:vAlign w:val="center"/>
          </w:tcPr>
          <w:p w14:paraId="709242DE" w14:textId="4CE0F238" w:rsidR="00E72ED9" w:rsidRDefault="00E6141A" w:rsidP="006562AD">
            <w:pPr>
              <w:spacing w:after="0" w:line="276" w:lineRule="auto"/>
              <w:jc w:val="center"/>
              <w:rPr>
                <w:rFonts w:cs="Arial"/>
                <w:color w:val="auto"/>
                <w:sz w:val="18"/>
                <w:szCs w:val="18"/>
              </w:rPr>
            </w:pPr>
            <w:r>
              <w:rPr>
                <w:rFonts w:cs="Arial"/>
                <w:color w:val="auto"/>
                <w:sz w:val="18"/>
                <w:szCs w:val="18"/>
              </w:rPr>
              <w:t>2.2</w:t>
            </w:r>
          </w:p>
        </w:tc>
        <w:tc>
          <w:tcPr>
            <w:tcW w:w="1873" w:type="pct"/>
            <w:vAlign w:val="center"/>
          </w:tcPr>
          <w:p w14:paraId="361C2A65" w14:textId="010C6F47" w:rsidR="00E72ED9" w:rsidRDefault="00E6141A" w:rsidP="006562AD">
            <w:pPr>
              <w:spacing w:after="0" w:line="276" w:lineRule="auto"/>
              <w:jc w:val="center"/>
              <w:rPr>
                <w:rFonts w:cs="Arial"/>
                <w:color w:val="auto"/>
                <w:sz w:val="18"/>
                <w:szCs w:val="18"/>
              </w:rPr>
            </w:pPr>
            <w:r>
              <w:rPr>
                <w:rFonts w:cs="Arial"/>
                <w:color w:val="auto"/>
                <w:sz w:val="18"/>
                <w:szCs w:val="18"/>
              </w:rPr>
              <w:t>CTC</w:t>
            </w:r>
            <w:r w:rsidR="00365C56">
              <w:rPr>
                <w:rFonts w:cs="Arial"/>
                <w:color w:val="auto"/>
                <w:sz w:val="18"/>
                <w:szCs w:val="18"/>
              </w:rPr>
              <w:t>2</w:t>
            </w:r>
            <w:r>
              <w:rPr>
                <w:rFonts w:cs="Arial"/>
                <w:color w:val="auto"/>
                <w:sz w:val="18"/>
                <w:szCs w:val="18"/>
              </w:rPr>
              <w:t xml:space="preserve"> </w:t>
            </w:r>
            <w:r w:rsidR="00365C56">
              <w:rPr>
                <w:rFonts w:cs="Arial"/>
                <w:color w:val="auto"/>
                <w:sz w:val="18"/>
                <w:szCs w:val="18"/>
              </w:rPr>
              <w:t>Revision</w:t>
            </w:r>
          </w:p>
        </w:tc>
        <w:tc>
          <w:tcPr>
            <w:tcW w:w="512" w:type="pct"/>
            <w:shd w:val="clear" w:color="auto" w:fill="auto"/>
            <w:vAlign w:val="center"/>
          </w:tcPr>
          <w:p w14:paraId="71934652" w14:textId="1BBD29AA" w:rsidR="00E72ED9" w:rsidRDefault="00365C56" w:rsidP="006562AD">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39FDABA1" w14:textId="4D6E2E7C" w:rsidR="00E72ED9" w:rsidRDefault="00365C56" w:rsidP="006562AD">
            <w:pPr>
              <w:spacing w:after="0" w:line="276" w:lineRule="auto"/>
              <w:jc w:val="center"/>
              <w:rPr>
                <w:rFonts w:cs="Arial"/>
                <w:color w:val="auto"/>
                <w:sz w:val="18"/>
                <w:szCs w:val="18"/>
              </w:rPr>
            </w:pPr>
            <w:r>
              <w:rPr>
                <w:rFonts w:cs="Arial"/>
                <w:color w:val="auto"/>
                <w:sz w:val="18"/>
                <w:szCs w:val="18"/>
              </w:rPr>
              <w:t>October 2022</w:t>
            </w:r>
          </w:p>
        </w:tc>
        <w:tc>
          <w:tcPr>
            <w:tcW w:w="1137" w:type="pct"/>
            <w:shd w:val="clear" w:color="auto" w:fill="auto"/>
            <w:vAlign w:val="center"/>
          </w:tcPr>
          <w:p w14:paraId="53AE126F" w14:textId="0139D12D" w:rsidR="00E72ED9" w:rsidRDefault="00365C56" w:rsidP="006562AD">
            <w:pPr>
              <w:spacing w:after="0" w:line="276" w:lineRule="auto"/>
              <w:jc w:val="center"/>
              <w:rPr>
                <w:rFonts w:cs="Arial"/>
                <w:color w:val="auto"/>
                <w:sz w:val="18"/>
                <w:szCs w:val="18"/>
              </w:rPr>
            </w:pPr>
            <w:r>
              <w:rPr>
                <w:rFonts w:cs="Arial"/>
                <w:color w:val="auto"/>
                <w:sz w:val="18"/>
                <w:szCs w:val="18"/>
              </w:rPr>
              <w:t>DfE</w:t>
            </w:r>
          </w:p>
        </w:tc>
      </w:tr>
    </w:tbl>
    <w:p w14:paraId="2A918C79" w14:textId="348EDBE7" w:rsidR="006852AE" w:rsidRDefault="006852AE"/>
    <w:p w14:paraId="679706D4" w14:textId="77777777" w:rsidR="006852AE" w:rsidRDefault="006852AE">
      <w:pPr>
        <w:spacing w:after="160" w:line="259" w:lineRule="auto"/>
      </w:pPr>
      <w:r>
        <w:br w:type="page"/>
      </w:r>
    </w:p>
    <w:p w14:paraId="119BC5CE" w14:textId="563837A7" w:rsidR="00C90437" w:rsidRPr="003271BB" w:rsidRDefault="00C90437" w:rsidP="0084623E">
      <w:pPr>
        <w:spacing w:after="160" w:line="259" w:lineRule="auto"/>
        <w:rPr>
          <w:rFonts w:eastAsia="Calibri" w:cs="Arial"/>
          <w:sz w:val="28"/>
          <w:szCs w:val="28"/>
          <w:lang w:eastAsia="en-US"/>
        </w:rPr>
      </w:pPr>
      <w:r w:rsidRPr="003271BB">
        <w:rPr>
          <w:rFonts w:eastAsia="Calibri" w:cs="Arial"/>
          <w:sz w:val="28"/>
          <w:szCs w:val="28"/>
          <w:lang w:eastAsia="en-US"/>
        </w:rPr>
        <w:lastRenderedPageBreak/>
        <w:t>Connect the Classroom</w:t>
      </w:r>
    </w:p>
    <w:p w14:paraId="2DA5D810" w14:textId="642EACDF" w:rsidR="00972AB8" w:rsidRPr="003703A9" w:rsidRDefault="00972AB8" w:rsidP="00972AB8">
      <w:pPr>
        <w:rPr>
          <w:rFonts w:eastAsia="Calibri"/>
          <w:lang w:eastAsia="en-US"/>
        </w:rPr>
      </w:pPr>
      <w:r w:rsidRPr="003703A9">
        <w:rPr>
          <w:rFonts w:eastAsia="Calibri"/>
          <w:b/>
          <w:bCs/>
          <w:lang w:eastAsia="en-US"/>
        </w:rPr>
        <w:t xml:space="preserve">What </w:t>
      </w:r>
      <w:r w:rsidR="00CD44F5" w:rsidRPr="003703A9">
        <w:rPr>
          <w:rFonts w:eastAsia="Calibri"/>
          <w:b/>
          <w:bCs/>
          <w:lang w:eastAsia="en-US"/>
        </w:rPr>
        <w:t>Department for Education (</w:t>
      </w:r>
      <w:r w:rsidRPr="003703A9">
        <w:rPr>
          <w:rFonts w:eastAsia="Calibri"/>
          <w:b/>
          <w:bCs/>
          <w:lang w:eastAsia="en-US"/>
        </w:rPr>
        <w:t>DfE</w:t>
      </w:r>
      <w:r w:rsidR="00CD44F5" w:rsidRPr="003703A9">
        <w:rPr>
          <w:rFonts w:eastAsia="Calibri"/>
          <w:b/>
          <w:bCs/>
          <w:lang w:eastAsia="en-US"/>
        </w:rPr>
        <w:t>)</w:t>
      </w:r>
      <w:r w:rsidRPr="003703A9">
        <w:rPr>
          <w:rFonts w:eastAsia="Calibri"/>
          <w:b/>
          <w:bCs/>
          <w:lang w:eastAsia="en-US"/>
        </w:rPr>
        <w:t xml:space="preserve"> Fund Under the Programme: Scope of Works</w:t>
      </w:r>
    </w:p>
    <w:p w14:paraId="4E5E9AA7" w14:textId="30DB671A" w:rsidR="00972AB8" w:rsidRPr="00393CF5" w:rsidRDefault="00972AB8" w:rsidP="00972AB8">
      <w:pPr>
        <w:rPr>
          <w:rFonts w:eastAsia="Calibri"/>
          <w:lang w:eastAsia="en-US"/>
        </w:rPr>
      </w:pPr>
      <w:r w:rsidRPr="00393CF5">
        <w:rPr>
          <w:rFonts w:eastAsia="Calibri"/>
          <w:lang w:eastAsia="en-US"/>
        </w:rPr>
        <w:t xml:space="preserve">The purpose of </w:t>
      </w:r>
      <w:r w:rsidR="00360150">
        <w:rPr>
          <w:rFonts w:eastAsia="Calibri"/>
          <w:lang w:eastAsia="en-US"/>
        </w:rPr>
        <w:t>this</w:t>
      </w:r>
      <w:r w:rsidRPr="00393CF5">
        <w:rPr>
          <w:rFonts w:eastAsia="Calibri"/>
          <w:lang w:eastAsia="en-US"/>
        </w:rPr>
        <w:t xml:space="preserve"> funding is to ensure that </w:t>
      </w:r>
      <w:r w:rsidR="00193F8A" w:rsidRPr="00393CF5">
        <w:rPr>
          <w:rFonts w:eastAsia="Calibri"/>
          <w:lang w:eastAsia="en-US"/>
        </w:rPr>
        <w:t>the school has</w:t>
      </w:r>
      <w:r w:rsidRPr="00393CF5">
        <w:rPr>
          <w:rFonts w:eastAsia="Calibri"/>
          <w:lang w:eastAsia="en-US"/>
        </w:rPr>
        <w:t xml:space="preserve"> a high-quality wireless network, based on the standards</w:t>
      </w:r>
      <w:r w:rsidR="00F773CE" w:rsidRPr="00393CF5">
        <w:rPr>
          <w:rFonts w:eastAsia="Calibri"/>
          <w:lang w:eastAsia="en-US"/>
        </w:rPr>
        <w:t xml:space="preserve"> detailed in </w:t>
      </w:r>
      <w:r w:rsidR="000F582F" w:rsidRPr="00393CF5">
        <w:rPr>
          <w:rFonts w:eastAsia="Calibri"/>
          <w:lang w:eastAsia="en-US"/>
        </w:rPr>
        <w:t>the current DfE’s ICT Output Specification</w:t>
      </w:r>
      <w:r w:rsidRPr="00393CF5">
        <w:rPr>
          <w:rFonts w:eastAsia="Calibri"/>
          <w:lang w:eastAsia="en-US"/>
        </w:rPr>
        <w:t xml:space="preserve">, giving full coverage to the site and able to operate effectively </w:t>
      </w:r>
      <w:r w:rsidR="007C2AF9" w:rsidRPr="00393CF5">
        <w:rPr>
          <w:rFonts w:eastAsia="Calibri"/>
          <w:lang w:eastAsia="en-US"/>
        </w:rPr>
        <w:t xml:space="preserve">as a result of appropriate </w:t>
      </w:r>
      <w:r w:rsidRPr="00393CF5">
        <w:rPr>
          <w:rFonts w:eastAsia="Calibri"/>
          <w:lang w:eastAsia="en-US"/>
        </w:rPr>
        <w:t xml:space="preserve">switching </w:t>
      </w:r>
      <w:r w:rsidR="0020071F" w:rsidRPr="00393CF5">
        <w:rPr>
          <w:rFonts w:eastAsia="Calibri"/>
          <w:lang w:eastAsia="en-US"/>
        </w:rPr>
        <w:t xml:space="preserve">being </w:t>
      </w:r>
      <w:r w:rsidRPr="00393CF5">
        <w:rPr>
          <w:rFonts w:eastAsia="Calibri"/>
          <w:lang w:eastAsia="en-US"/>
        </w:rPr>
        <w:t>in place.</w:t>
      </w:r>
      <w:r w:rsidR="004F681F" w:rsidRPr="00393CF5">
        <w:rPr>
          <w:rFonts w:eastAsia="Calibri"/>
          <w:lang w:eastAsia="en-US"/>
        </w:rPr>
        <w:t xml:space="preserve"> DfE </w:t>
      </w:r>
      <w:r w:rsidR="00725940" w:rsidRPr="00393CF5">
        <w:rPr>
          <w:rFonts w:eastAsia="Calibri"/>
          <w:lang w:eastAsia="en-US"/>
        </w:rPr>
        <w:t xml:space="preserve">shall </w:t>
      </w:r>
      <w:r w:rsidR="004F681F" w:rsidRPr="00393CF5">
        <w:rPr>
          <w:rFonts w:eastAsia="Calibri"/>
          <w:lang w:eastAsia="en-US"/>
        </w:rPr>
        <w:t>ensure the school</w:t>
      </w:r>
      <w:r w:rsidR="00FC4015" w:rsidRPr="00393CF5">
        <w:rPr>
          <w:rFonts w:eastAsia="Calibri"/>
          <w:lang w:eastAsia="en-US"/>
        </w:rPr>
        <w:t xml:space="preserve"> has</w:t>
      </w:r>
      <w:r w:rsidR="001D6140" w:rsidRPr="00393CF5">
        <w:rPr>
          <w:rFonts w:eastAsia="Calibri"/>
          <w:lang w:eastAsia="en-US"/>
        </w:rPr>
        <w:t xml:space="preserve"> an enterprise-level wireless solution </w:t>
      </w:r>
      <w:r w:rsidR="006E3024" w:rsidRPr="00393CF5">
        <w:rPr>
          <w:rFonts w:eastAsia="Calibri"/>
          <w:lang w:eastAsia="en-US"/>
        </w:rPr>
        <w:t>in place</w:t>
      </w:r>
      <w:r w:rsidR="001D6140" w:rsidRPr="00393CF5">
        <w:rPr>
          <w:rFonts w:eastAsia="Calibri"/>
          <w:lang w:eastAsia="en-US"/>
        </w:rPr>
        <w:t xml:space="preserve"> </w:t>
      </w:r>
      <w:r w:rsidR="00FA4766" w:rsidRPr="00393CF5">
        <w:rPr>
          <w:rFonts w:eastAsia="Calibri"/>
          <w:lang w:eastAsia="en-US"/>
        </w:rPr>
        <w:t xml:space="preserve">that </w:t>
      </w:r>
      <w:r w:rsidR="003A6180" w:rsidRPr="00393CF5">
        <w:rPr>
          <w:rFonts w:eastAsia="Calibri"/>
          <w:lang w:eastAsia="en-US"/>
        </w:rPr>
        <w:t xml:space="preserve">should </w:t>
      </w:r>
      <w:r w:rsidR="001D6140" w:rsidRPr="00393CF5">
        <w:rPr>
          <w:rFonts w:eastAsia="Calibri"/>
          <w:lang w:eastAsia="en-US"/>
        </w:rPr>
        <w:t>support a high number and high density of educational users</w:t>
      </w:r>
      <w:r w:rsidR="004F681F" w:rsidRPr="00393CF5">
        <w:rPr>
          <w:rFonts w:eastAsia="Calibri"/>
          <w:lang w:eastAsia="en-US"/>
        </w:rPr>
        <w:t>.</w:t>
      </w:r>
    </w:p>
    <w:p w14:paraId="1E5FE564" w14:textId="77777777" w:rsidR="00972AB8" w:rsidRDefault="00972AB8" w:rsidP="00972AB8">
      <w:r>
        <w:t>Connect the Classroom includes:</w:t>
      </w:r>
    </w:p>
    <w:p w14:paraId="0F09CF76" w14:textId="77777777" w:rsidR="00145490" w:rsidRDefault="00972AB8" w:rsidP="00972AB8">
      <w:pPr>
        <w:pStyle w:val="ListParagraph"/>
        <w:numPr>
          <w:ilvl w:val="0"/>
          <w:numId w:val="14"/>
        </w:numPr>
        <w:spacing w:after="160" w:line="259" w:lineRule="auto"/>
      </w:pPr>
      <w:r>
        <w:t>Equipment</w:t>
      </w:r>
      <w:r w:rsidR="001C60D3">
        <w:t xml:space="preserve"> that</w:t>
      </w:r>
      <w:r>
        <w:t xml:space="preserve"> </w:t>
      </w:r>
      <w:r w:rsidR="001C60D3">
        <w:t>h</w:t>
      </w:r>
      <w:r w:rsidR="000F136F" w:rsidRPr="000F136F">
        <w:t xml:space="preserve">as a manufacturer warranty and support arrangement (telephone, email and web), including but not limited to, licences, software and firmware updates, providing 5 years of cover as a </w:t>
      </w:r>
      <w:r w:rsidR="00CB7A4F" w:rsidRPr="000F136F">
        <w:t>minimum</w:t>
      </w:r>
      <w:r w:rsidR="00CB7A4F">
        <w:t>.</w:t>
      </w:r>
      <w:r w:rsidR="006126E0">
        <w:t xml:space="preserve"> </w:t>
      </w:r>
    </w:p>
    <w:p w14:paraId="13C90B65" w14:textId="5F0DA9E7" w:rsidR="00972AB8" w:rsidRDefault="00972AB8" w:rsidP="00972AB8">
      <w:pPr>
        <w:pStyle w:val="ListParagraph"/>
        <w:numPr>
          <w:ilvl w:val="0"/>
          <w:numId w:val="14"/>
        </w:numPr>
        <w:spacing w:after="160" w:line="259" w:lineRule="auto"/>
      </w:pPr>
      <w:r>
        <w:t>WiFi 6 Certified Wireless Access Points (WAP) able</w:t>
      </w:r>
      <w:r w:rsidR="00C83135">
        <w:t xml:space="preserve"> to </w:t>
      </w:r>
      <w:r w:rsidR="00E24BCC">
        <w:t>provide</w:t>
      </w:r>
      <w:r w:rsidR="00C83135">
        <w:t xml:space="preserve"> full int</w:t>
      </w:r>
      <w:r w:rsidR="00E24BCC">
        <w:t xml:space="preserve">ernal coverage and </w:t>
      </w:r>
      <w:r w:rsidR="00361DCD">
        <w:t>where applicable coverage to outdoor teaching and learning spa</w:t>
      </w:r>
      <w:r w:rsidR="00E31608">
        <w:t>ces</w:t>
      </w:r>
      <w:r>
        <w:t xml:space="preserve"> </w:t>
      </w:r>
    </w:p>
    <w:p w14:paraId="22C6DB3D" w14:textId="77777777" w:rsidR="00972AB8" w:rsidRDefault="00972AB8" w:rsidP="00972AB8">
      <w:pPr>
        <w:pStyle w:val="ListParagraph"/>
        <w:numPr>
          <w:ilvl w:val="0"/>
          <w:numId w:val="14"/>
        </w:numPr>
        <w:spacing w:after="160" w:line="259" w:lineRule="auto"/>
      </w:pPr>
      <w:r>
        <w:t>Switching that:</w:t>
      </w:r>
    </w:p>
    <w:p w14:paraId="41D579D1" w14:textId="2BAFBED7" w:rsidR="00972AB8" w:rsidRDefault="00972AB8" w:rsidP="00972AB8">
      <w:pPr>
        <w:pStyle w:val="ListParagraph"/>
        <w:numPr>
          <w:ilvl w:val="1"/>
          <w:numId w:val="14"/>
        </w:numPr>
        <w:spacing w:after="160" w:line="259" w:lineRule="auto"/>
      </w:pPr>
      <w:r>
        <w:t xml:space="preserve">Provides a </w:t>
      </w:r>
      <w:r w:rsidR="002D2141">
        <w:t xml:space="preserve">minimum of </w:t>
      </w:r>
      <w:r w:rsidR="00E524CA">
        <w:t xml:space="preserve">2.5Gbs </w:t>
      </w:r>
      <w:r>
        <w:t>connection to each WAP.</w:t>
      </w:r>
    </w:p>
    <w:p w14:paraId="35AF2BC8" w14:textId="0F1FD7D6" w:rsidR="00972AB8" w:rsidRDefault="00972AB8" w:rsidP="00972AB8">
      <w:pPr>
        <w:pStyle w:val="ListParagraph"/>
        <w:numPr>
          <w:ilvl w:val="1"/>
          <w:numId w:val="14"/>
        </w:numPr>
        <w:spacing w:after="160" w:line="259" w:lineRule="auto"/>
      </w:pPr>
      <w:r>
        <w:t xml:space="preserve">Includes either core switch(es) set up to have redundancy, or stacked edge switches </w:t>
      </w:r>
      <w:r w:rsidR="00650F09">
        <w:t>where appropriate.</w:t>
      </w:r>
    </w:p>
    <w:p w14:paraId="1C2F5DDE" w14:textId="77777777" w:rsidR="00972AB8" w:rsidRDefault="00972AB8" w:rsidP="00972AB8">
      <w:pPr>
        <w:spacing w:after="160" w:line="259" w:lineRule="auto"/>
        <w:ind w:left="720"/>
      </w:pPr>
      <w:r>
        <w:t xml:space="preserve">It is </w:t>
      </w:r>
      <w:r w:rsidRPr="63FDF581">
        <w:rPr>
          <w:b/>
          <w:bCs/>
          <w:i/>
          <w:iCs/>
        </w:rPr>
        <w:t>not</w:t>
      </w:r>
      <w:r>
        <w:t xml:space="preserve"> a requirement of the </w:t>
      </w:r>
      <w:hyperlink r:id="rId11">
        <w:r w:rsidRPr="63FDF581">
          <w:rPr>
            <w:rStyle w:val="Hyperlink"/>
          </w:rPr>
          <w:t>DfE Output Specification</w:t>
        </w:r>
      </w:hyperlink>
      <w:r>
        <w:t xml:space="preserve"> (OS) that all ports on all switches be PoE and multi-gig. DfE will not approve projects with an</w:t>
      </w:r>
      <w:r w:rsidRPr="009D5E7F">
        <w:t xml:space="preserve"> all-PoE or all-multi-gig switch</w:t>
      </w:r>
      <w:r>
        <w:t xml:space="preserve"> solution</w:t>
      </w:r>
      <w:r w:rsidRPr="009D5E7F">
        <w:t xml:space="preserve"> when lower cost units would meet the school requirement.</w:t>
      </w:r>
    </w:p>
    <w:p w14:paraId="6030C8B1" w14:textId="319B8EE7" w:rsidR="00972AB8" w:rsidRDefault="00972AB8" w:rsidP="00972AB8">
      <w:pPr>
        <w:pStyle w:val="ListParagraph"/>
        <w:numPr>
          <w:ilvl w:val="0"/>
          <w:numId w:val="14"/>
        </w:numPr>
        <w:spacing w:after="160" w:line="259" w:lineRule="auto"/>
      </w:pPr>
      <w:r>
        <w:t xml:space="preserve">Licenses to allow for a minimum of five years of operation for the switches and WAPs provided. Some manufacturers offer SKUs that give ten years of licensing for the cost of five years to projects in the CtC </w:t>
      </w:r>
      <w:r w:rsidR="005B4F3C">
        <w:t xml:space="preserve">Programme </w:t>
      </w:r>
      <w:r w:rsidR="00DD5637">
        <w:t>(see SKUs and Pricing below)</w:t>
      </w:r>
      <w:r>
        <w:t>.</w:t>
      </w:r>
    </w:p>
    <w:p w14:paraId="4A900D3C" w14:textId="643F1638" w:rsidR="00972AB8" w:rsidRDefault="00972AB8" w:rsidP="00972AB8">
      <w:pPr>
        <w:pStyle w:val="ListParagraph"/>
        <w:numPr>
          <w:ilvl w:val="0"/>
          <w:numId w:val="14"/>
        </w:numPr>
        <w:spacing w:after="160" w:line="259" w:lineRule="auto"/>
      </w:pPr>
      <w:r>
        <w:t xml:space="preserve">CAT6a cabling only where it is essential to provide the above. Cabling </w:t>
      </w:r>
      <w:r w:rsidR="00A53F32" w:rsidRPr="00A53F32">
        <w:t>must be contained by the most cost effective method, including surface mounting</w:t>
      </w:r>
      <w:r w:rsidR="001132CB">
        <w:t>.</w:t>
      </w:r>
    </w:p>
    <w:p w14:paraId="135895F5" w14:textId="5E3B113F" w:rsidR="00972AB8" w:rsidRDefault="00972AB8" w:rsidP="00972AB8">
      <w:pPr>
        <w:pStyle w:val="ListParagraph"/>
        <w:numPr>
          <w:ilvl w:val="0"/>
          <w:numId w:val="14"/>
        </w:numPr>
        <w:spacing w:after="160" w:line="259" w:lineRule="auto"/>
      </w:pPr>
      <w:r>
        <w:t xml:space="preserve">Connections between cabinets and buildings using OS compliant fibre, but only where the existing connection </w:t>
      </w:r>
      <w:r w:rsidR="00F85209" w:rsidRPr="00F85209">
        <w:t xml:space="preserve">cannot support the speeds </w:t>
      </w:r>
      <w:r w:rsidR="007D1918">
        <w:t>required.</w:t>
      </w:r>
      <w:r>
        <w:t xml:space="preserve"> </w:t>
      </w:r>
      <w:r w:rsidR="00563627">
        <w:t>(see ‘existing systems’ below)</w:t>
      </w:r>
    </w:p>
    <w:p w14:paraId="487DA5B4" w14:textId="7CA55E1F" w:rsidR="00972AB8" w:rsidRDefault="00972AB8" w:rsidP="00972AB8">
      <w:pPr>
        <w:pStyle w:val="ListParagraph"/>
        <w:numPr>
          <w:ilvl w:val="0"/>
          <w:numId w:val="14"/>
        </w:numPr>
        <w:spacing w:after="160" w:line="259" w:lineRule="auto"/>
      </w:pPr>
      <w:r>
        <w:t>Replacement of cabinets, where the existing provision cannot support the new switches</w:t>
      </w:r>
      <w:r w:rsidR="00C46035">
        <w:t xml:space="preserve"> or where an acoustic cabinet is needed to allow multi-gig switching to be deployed close to a location </w:t>
      </w:r>
      <w:r w:rsidR="005B0F64" w:rsidRPr="005B0F64">
        <w:t>where the increased noise is likely to be a distraction</w:t>
      </w:r>
      <w:r>
        <w:t>.</w:t>
      </w:r>
    </w:p>
    <w:p w14:paraId="174AD218" w14:textId="77777777" w:rsidR="00972AB8" w:rsidRDefault="00972AB8" w:rsidP="00972AB8">
      <w:pPr>
        <w:pStyle w:val="ListParagraph"/>
        <w:numPr>
          <w:ilvl w:val="0"/>
          <w:numId w:val="14"/>
        </w:numPr>
        <w:spacing w:after="160" w:line="259" w:lineRule="auto"/>
      </w:pPr>
      <w:r>
        <w:t>A requirement for a sustainable approach. Solutions shall be:</w:t>
      </w:r>
    </w:p>
    <w:p w14:paraId="2C6AA52F" w14:textId="77777777" w:rsidR="00972AB8" w:rsidRDefault="00972AB8" w:rsidP="00972AB8">
      <w:pPr>
        <w:pStyle w:val="ListParagraph"/>
        <w:numPr>
          <w:ilvl w:val="1"/>
          <w:numId w:val="14"/>
        </w:numPr>
        <w:spacing w:after="160" w:line="259" w:lineRule="auto"/>
      </w:pPr>
      <w:r>
        <w:t>Energy efficient by design – reducing unnecessary equipment and ensuring that it is specified to meet the requirements and not be over-specified</w:t>
      </w:r>
    </w:p>
    <w:p w14:paraId="124FB3F9" w14:textId="77777777" w:rsidR="00972AB8" w:rsidRDefault="00972AB8" w:rsidP="00972AB8">
      <w:pPr>
        <w:pStyle w:val="ListParagraph"/>
        <w:numPr>
          <w:ilvl w:val="1"/>
          <w:numId w:val="14"/>
        </w:numPr>
        <w:spacing w:after="160" w:line="259" w:lineRule="auto"/>
      </w:pPr>
      <w:r>
        <w:lastRenderedPageBreak/>
        <w:t>Selected to minimise energy consumption in use – with products and systems being chosen with their efficiency being one of the key criteria</w:t>
      </w:r>
    </w:p>
    <w:p w14:paraId="16B81E44" w14:textId="3EEEE5FD" w:rsidR="00972AB8" w:rsidRDefault="00972AB8" w:rsidP="00972AB8">
      <w:pPr>
        <w:pStyle w:val="ListParagraph"/>
        <w:numPr>
          <w:ilvl w:val="1"/>
          <w:numId w:val="14"/>
        </w:numPr>
        <w:spacing w:after="160" w:line="259" w:lineRule="auto"/>
      </w:pPr>
      <w:r>
        <w:t xml:space="preserve">Configured to maximise energy savings in-use, taking the </w:t>
      </w:r>
      <w:r w:rsidR="008D09A9">
        <w:t>school’s</w:t>
      </w:r>
      <w:r>
        <w:t xml:space="preserve"> needs into account, with “sleep” or reduced power modes switched on wherever and whenever appropriate</w:t>
      </w:r>
    </w:p>
    <w:p w14:paraId="306DE322" w14:textId="77777777" w:rsidR="00972AB8" w:rsidRDefault="00972AB8" w:rsidP="00972AB8">
      <w:pPr>
        <w:pStyle w:val="ListParagraph"/>
        <w:numPr>
          <w:ilvl w:val="1"/>
          <w:numId w:val="14"/>
        </w:numPr>
        <w:spacing w:after="160" w:line="259" w:lineRule="auto"/>
      </w:pPr>
      <w:r>
        <w:t>Efficient in terms of their embodied carbon, minimising transport from source, minimising waste, allowing easy recycling</w:t>
      </w:r>
    </w:p>
    <w:p w14:paraId="02AF4D52" w14:textId="77777777" w:rsidR="00972AB8" w:rsidRDefault="00972AB8" w:rsidP="00972AB8">
      <w:pPr>
        <w:pStyle w:val="ListParagraph"/>
        <w:numPr>
          <w:ilvl w:val="1"/>
          <w:numId w:val="14"/>
        </w:numPr>
        <w:spacing w:after="160" w:line="259" w:lineRule="auto"/>
      </w:pPr>
      <w:r>
        <w:t xml:space="preserve">Ethical – wherever possible sourcing components, systems and solutions with a positive ethical sustainability footprint  </w:t>
      </w:r>
    </w:p>
    <w:p w14:paraId="1A35FE96" w14:textId="77777777" w:rsidR="00972AB8" w:rsidRDefault="00972AB8" w:rsidP="00972AB8">
      <w:pPr>
        <w:pStyle w:val="ListParagraph"/>
        <w:numPr>
          <w:ilvl w:val="1"/>
          <w:numId w:val="14"/>
        </w:numPr>
        <w:spacing w:after="160" w:line="259" w:lineRule="auto"/>
      </w:pPr>
      <w:r>
        <w:t>Implemented in a sustainable fashion – reducing waste, recycling wherever possible and minimising the carbon footprint of the planning, implementation, testing and support of the solutions. This could include, but is not limited to, the appropriate use of video conferencing to support meetings and the use of public transport and car sharing.</w:t>
      </w:r>
    </w:p>
    <w:p w14:paraId="24747206" w14:textId="03E4D7C9" w:rsidR="00972AB8" w:rsidRDefault="00972AB8" w:rsidP="00972AB8">
      <w:r>
        <w:t xml:space="preserve">Listed below are some of the areas that Connect the Classroom </w:t>
      </w:r>
      <w:r w:rsidR="00827A74">
        <w:t xml:space="preserve">should </w:t>
      </w:r>
      <w:r>
        <w:t xml:space="preserve">not include: </w:t>
      </w:r>
    </w:p>
    <w:p w14:paraId="22471D22" w14:textId="77777777" w:rsidR="00972AB8" w:rsidRDefault="00972AB8" w:rsidP="00972AB8">
      <w:pPr>
        <w:pStyle w:val="ListParagraph"/>
        <w:numPr>
          <w:ilvl w:val="0"/>
          <w:numId w:val="16"/>
        </w:numPr>
        <w:spacing w:after="160" w:line="259" w:lineRule="auto"/>
      </w:pPr>
      <w:r>
        <w:t>Full replacement of network switching.</w:t>
      </w:r>
    </w:p>
    <w:p w14:paraId="1D3569BC" w14:textId="77777777" w:rsidR="00972AB8" w:rsidRDefault="00972AB8" w:rsidP="00972AB8">
      <w:pPr>
        <w:pStyle w:val="ListParagraph"/>
        <w:numPr>
          <w:ilvl w:val="0"/>
          <w:numId w:val="15"/>
        </w:numPr>
        <w:spacing w:after="160" w:line="259" w:lineRule="auto"/>
      </w:pPr>
      <w:r>
        <w:t>IP telephony</w:t>
      </w:r>
    </w:p>
    <w:p w14:paraId="2526169C" w14:textId="77777777" w:rsidR="00972AB8" w:rsidRDefault="00972AB8" w:rsidP="00972AB8">
      <w:pPr>
        <w:pStyle w:val="ListParagraph"/>
        <w:numPr>
          <w:ilvl w:val="0"/>
          <w:numId w:val="15"/>
        </w:numPr>
        <w:spacing w:after="160" w:line="259" w:lineRule="auto"/>
      </w:pPr>
      <w:r>
        <w:t>CCTV equipment</w:t>
      </w:r>
    </w:p>
    <w:p w14:paraId="413E12D2" w14:textId="77777777" w:rsidR="00972AB8" w:rsidRDefault="00972AB8" w:rsidP="00972AB8">
      <w:pPr>
        <w:pStyle w:val="ListParagraph"/>
        <w:numPr>
          <w:ilvl w:val="0"/>
          <w:numId w:val="15"/>
        </w:numPr>
        <w:spacing w:after="160" w:line="259" w:lineRule="auto"/>
      </w:pPr>
      <w:r>
        <w:t>Revenue services such as ongoing technical support or managed services.</w:t>
      </w:r>
    </w:p>
    <w:p w14:paraId="4FE3DDEE" w14:textId="4EC0778E" w:rsidR="00972AB8" w:rsidRPr="00415C7F" w:rsidRDefault="00972AB8" w:rsidP="00C90437">
      <w:pPr>
        <w:pStyle w:val="ListParagraph"/>
        <w:numPr>
          <w:ilvl w:val="0"/>
          <w:numId w:val="15"/>
        </w:numPr>
        <w:spacing w:after="160" w:line="259" w:lineRule="auto"/>
      </w:pPr>
      <w:r>
        <w:t>Server(s)</w:t>
      </w:r>
    </w:p>
    <w:p w14:paraId="0775C83C" w14:textId="4BE49689" w:rsidR="00972AB8" w:rsidRPr="00393CF5" w:rsidRDefault="00972AB8" w:rsidP="00C90437">
      <w:pPr>
        <w:rPr>
          <w:rFonts w:eastAsia="Calibri"/>
          <w:b/>
          <w:bCs/>
          <w:lang w:eastAsia="en-US"/>
        </w:rPr>
      </w:pPr>
      <w:r w:rsidRPr="00393CF5">
        <w:rPr>
          <w:rFonts w:eastAsia="Calibri"/>
          <w:b/>
          <w:bCs/>
          <w:lang w:eastAsia="en-US"/>
        </w:rPr>
        <w:t>Standards</w:t>
      </w:r>
    </w:p>
    <w:p w14:paraId="69B1A451" w14:textId="78ACF79A" w:rsidR="003D2070" w:rsidRPr="00393CF5" w:rsidRDefault="00C46035" w:rsidP="00C90437">
      <w:pPr>
        <w:rPr>
          <w:rFonts w:eastAsia="Calibri"/>
          <w:lang w:eastAsia="en-US"/>
        </w:rPr>
      </w:pPr>
      <w:r w:rsidRPr="00393CF5">
        <w:rPr>
          <w:rFonts w:eastAsia="Calibri"/>
          <w:lang w:eastAsia="en-US"/>
        </w:rPr>
        <w:t xml:space="preserve">The works described </w:t>
      </w:r>
      <w:r w:rsidR="004F681F" w:rsidRPr="00393CF5">
        <w:rPr>
          <w:rFonts w:eastAsia="Calibri"/>
          <w:lang w:eastAsia="en-US"/>
        </w:rPr>
        <w:t xml:space="preserve">above </w:t>
      </w:r>
      <w:r w:rsidR="004846AF" w:rsidRPr="00393CF5">
        <w:rPr>
          <w:rFonts w:eastAsia="Calibri"/>
          <w:lang w:eastAsia="en-US"/>
        </w:rPr>
        <w:t>will</w:t>
      </w:r>
      <w:r w:rsidR="00C90437" w:rsidRPr="00393CF5">
        <w:rPr>
          <w:rFonts w:eastAsia="Calibri"/>
          <w:lang w:eastAsia="en-US"/>
        </w:rPr>
        <w:t xml:space="preserve"> be compliant with the School Output Specification, Generic Design Brief (</w:t>
      </w:r>
      <w:hyperlink r:id="rId12">
        <w:r w:rsidR="00C90437" w:rsidRPr="00393CF5">
          <w:rPr>
            <w:rStyle w:val="Hyperlink"/>
            <w:rFonts w:eastAsia="Calibri"/>
            <w:lang w:eastAsia="en-US"/>
          </w:rPr>
          <w:t xml:space="preserve">the </w:t>
        </w:r>
        <w:r w:rsidR="00C433D3" w:rsidRPr="00393CF5">
          <w:rPr>
            <w:rStyle w:val="Hyperlink"/>
            <w:rFonts w:eastAsia="Calibri"/>
            <w:lang w:eastAsia="en-US"/>
          </w:rPr>
          <w:t>latest</w:t>
        </w:r>
        <w:r w:rsidR="00C90437" w:rsidRPr="00393CF5">
          <w:rPr>
            <w:rStyle w:val="Hyperlink"/>
            <w:rFonts w:eastAsia="Calibri"/>
            <w:lang w:eastAsia="en-US"/>
          </w:rPr>
          <w:t xml:space="preserve"> </w:t>
        </w:r>
      </w:hyperlink>
      <w:r w:rsidR="00C90437" w:rsidRPr="00393CF5">
        <w:rPr>
          <w:rStyle w:val="Hyperlink"/>
          <w:rFonts w:eastAsia="Calibri"/>
          <w:lang w:eastAsia="en-US"/>
        </w:rPr>
        <w:t xml:space="preserve"> version can be found here</w:t>
      </w:r>
      <w:r w:rsidR="00D67132" w:rsidRPr="00393CF5">
        <w:rPr>
          <w:rStyle w:val="Hyperlink"/>
          <w:rFonts w:eastAsia="Calibri"/>
          <w:lang w:eastAsia="en-US"/>
        </w:rPr>
        <w:t>, please refer to Section 4</w:t>
      </w:r>
      <w:r w:rsidR="00C90437" w:rsidRPr="00393CF5">
        <w:rPr>
          <w:rFonts w:eastAsia="Calibri"/>
          <w:lang w:eastAsia="en-US"/>
        </w:rPr>
        <w:t>)</w:t>
      </w:r>
      <w:r w:rsidR="004846AF" w:rsidRPr="00393CF5">
        <w:rPr>
          <w:rFonts w:eastAsia="Calibri"/>
          <w:lang w:eastAsia="en-US"/>
        </w:rPr>
        <w:t xml:space="preserve"> except in </w:t>
      </w:r>
      <w:r w:rsidR="00D87A4B" w:rsidRPr="00393CF5">
        <w:rPr>
          <w:rFonts w:eastAsia="Calibri"/>
          <w:lang w:eastAsia="en-US"/>
        </w:rPr>
        <w:t>particular circumstances where there is a strong reason to deviate from them</w:t>
      </w:r>
      <w:r w:rsidR="003D2070" w:rsidRPr="00393CF5">
        <w:rPr>
          <w:rFonts w:eastAsia="Calibri"/>
          <w:lang w:eastAsia="en-US"/>
        </w:rPr>
        <w:t xml:space="preserve"> (see Derogations below).</w:t>
      </w:r>
    </w:p>
    <w:p w14:paraId="2E396E33" w14:textId="1BB731D5" w:rsidR="003B28F1" w:rsidRPr="00393CF5" w:rsidRDefault="003B28F1" w:rsidP="003B28F1">
      <w:pPr>
        <w:rPr>
          <w:rFonts w:eastAsia="Calibri"/>
          <w:lang w:eastAsia="en-US"/>
        </w:rPr>
      </w:pPr>
      <w:r w:rsidRPr="00393CF5">
        <w:rPr>
          <w:rFonts w:eastAsia="Calibri"/>
          <w:lang w:eastAsia="en-US"/>
        </w:rPr>
        <w:t xml:space="preserve">The standard does not specify </w:t>
      </w:r>
      <w:r w:rsidR="00593A68" w:rsidRPr="00393CF5">
        <w:rPr>
          <w:rFonts w:eastAsia="Calibri"/>
          <w:lang w:eastAsia="en-US"/>
        </w:rPr>
        <w:t xml:space="preserve">any specific </w:t>
      </w:r>
      <w:r w:rsidRPr="00393CF5">
        <w:rPr>
          <w:rFonts w:eastAsia="Calibri"/>
          <w:lang w:eastAsia="en-US"/>
        </w:rPr>
        <w:t xml:space="preserve">manufacturer or model, as the offer in the marketplace </w:t>
      </w:r>
      <w:r w:rsidR="00433E80" w:rsidRPr="00393CF5">
        <w:rPr>
          <w:rFonts w:eastAsia="Calibri"/>
          <w:lang w:eastAsia="en-US"/>
        </w:rPr>
        <w:t xml:space="preserve">may </w:t>
      </w:r>
      <w:r w:rsidRPr="00393CF5">
        <w:rPr>
          <w:rFonts w:eastAsia="Calibri"/>
          <w:lang w:eastAsia="en-US"/>
        </w:rPr>
        <w:t>change with time</w:t>
      </w:r>
      <w:r w:rsidR="00433E80" w:rsidRPr="00393CF5">
        <w:rPr>
          <w:rFonts w:eastAsia="Calibri"/>
          <w:lang w:eastAsia="en-US"/>
        </w:rPr>
        <w:t>.</w:t>
      </w:r>
    </w:p>
    <w:p w14:paraId="2DFCCD67" w14:textId="5ABAAC88" w:rsidR="0006518B" w:rsidRPr="00393CF5" w:rsidRDefault="00B07030" w:rsidP="00C90437">
      <w:pPr>
        <w:rPr>
          <w:rFonts w:eastAsia="Calibri"/>
          <w:lang w:eastAsia="en-US"/>
        </w:rPr>
      </w:pPr>
      <w:r w:rsidRPr="00393CF5">
        <w:rPr>
          <w:rFonts w:eastAsia="Calibri"/>
          <w:b/>
          <w:bCs/>
          <w:lang w:eastAsia="en-US"/>
        </w:rPr>
        <w:t>Derogations</w:t>
      </w:r>
    </w:p>
    <w:p w14:paraId="49B6782F" w14:textId="5F4D2810" w:rsidR="00B07030" w:rsidRPr="00393CF5" w:rsidRDefault="00B07030" w:rsidP="00C90437">
      <w:pPr>
        <w:rPr>
          <w:rFonts w:eastAsia="Calibri"/>
          <w:lang w:eastAsia="en-US"/>
        </w:rPr>
      </w:pPr>
      <w:r w:rsidRPr="00393CF5">
        <w:rPr>
          <w:rFonts w:eastAsia="Calibri"/>
          <w:lang w:eastAsia="en-US"/>
        </w:rPr>
        <w:t xml:space="preserve">DfE ICT </w:t>
      </w:r>
      <w:r w:rsidR="00315897" w:rsidRPr="00393CF5">
        <w:rPr>
          <w:rFonts w:eastAsia="Calibri"/>
          <w:lang w:eastAsia="en-US"/>
        </w:rPr>
        <w:t>A</w:t>
      </w:r>
      <w:r w:rsidRPr="00393CF5">
        <w:rPr>
          <w:rFonts w:eastAsia="Calibri"/>
          <w:lang w:eastAsia="en-US"/>
        </w:rPr>
        <w:t>dvisor</w:t>
      </w:r>
      <w:r w:rsidR="00315897" w:rsidRPr="00393CF5">
        <w:rPr>
          <w:rFonts w:eastAsia="Calibri"/>
          <w:lang w:eastAsia="en-US"/>
        </w:rPr>
        <w:t>s</w:t>
      </w:r>
      <w:r w:rsidR="00A05CAC" w:rsidRPr="00393CF5">
        <w:rPr>
          <w:rFonts w:eastAsia="Calibri"/>
          <w:lang w:eastAsia="en-US"/>
        </w:rPr>
        <w:t xml:space="preserve"> </w:t>
      </w:r>
      <w:r w:rsidR="00C55BC1" w:rsidRPr="00393CF5">
        <w:rPr>
          <w:rFonts w:eastAsia="Calibri"/>
          <w:lang w:eastAsia="en-US"/>
        </w:rPr>
        <w:t>are in cert</w:t>
      </w:r>
      <w:r w:rsidR="006F2AE4" w:rsidRPr="00393CF5">
        <w:rPr>
          <w:rFonts w:eastAsia="Calibri"/>
          <w:lang w:eastAsia="en-US"/>
        </w:rPr>
        <w:t xml:space="preserve">ain cases able </w:t>
      </w:r>
      <w:r w:rsidRPr="00393CF5">
        <w:rPr>
          <w:rFonts w:eastAsia="Calibri"/>
          <w:lang w:eastAsia="en-US"/>
        </w:rPr>
        <w:t xml:space="preserve">to authorise </w:t>
      </w:r>
      <w:r w:rsidR="00882D4C" w:rsidRPr="00393CF5">
        <w:rPr>
          <w:rFonts w:eastAsia="Calibri"/>
          <w:lang w:eastAsia="en-US"/>
        </w:rPr>
        <w:t>items</w:t>
      </w:r>
      <w:r w:rsidR="00251A11" w:rsidRPr="00393CF5">
        <w:rPr>
          <w:rFonts w:eastAsia="Calibri"/>
          <w:lang w:eastAsia="en-US"/>
        </w:rPr>
        <w:t xml:space="preserve"> within </w:t>
      </w:r>
      <w:r w:rsidR="00185AC4" w:rsidRPr="00393CF5">
        <w:rPr>
          <w:rFonts w:eastAsia="Calibri"/>
          <w:lang w:eastAsia="en-US"/>
        </w:rPr>
        <w:t xml:space="preserve">a project </w:t>
      </w:r>
      <w:r w:rsidRPr="00393CF5">
        <w:rPr>
          <w:rFonts w:eastAsia="Calibri"/>
          <w:lang w:eastAsia="en-US"/>
        </w:rPr>
        <w:t xml:space="preserve">that do not meet </w:t>
      </w:r>
      <w:r w:rsidR="00F87AB0" w:rsidRPr="00393CF5">
        <w:rPr>
          <w:rFonts w:eastAsia="Calibri"/>
          <w:lang w:eastAsia="en-US"/>
        </w:rPr>
        <w:t xml:space="preserve">one or more of </w:t>
      </w:r>
      <w:r w:rsidR="00251A11" w:rsidRPr="00393CF5">
        <w:rPr>
          <w:rFonts w:eastAsia="Calibri"/>
          <w:lang w:eastAsia="en-US"/>
        </w:rPr>
        <w:t xml:space="preserve">the </w:t>
      </w:r>
      <w:r w:rsidR="004725C8" w:rsidRPr="00393CF5">
        <w:rPr>
          <w:rFonts w:eastAsia="Calibri"/>
          <w:lang w:eastAsia="en-US"/>
        </w:rPr>
        <w:t>criteria listed</w:t>
      </w:r>
      <w:r w:rsidR="00F87AB0" w:rsidRPr="00393CF5">
        <w:rPr>
          <w:rFonts w:eastAsia="Calibri"/>
          <w:lang w:eastAsia="en-US"/>
        </w:rPr>
        <w:t xml:space="preserve"> within </w:t>
      </w:r>
      <w:r w:rsidR="000F743F" w:rsidRPr="00393CF5">
        <w:rPr>
          <w:rFonts w:eastAsia="Calibri"/>
          <w:lang w:eastAsia="en-US"/>
        </w:rPr>
        <w:t>the OS</w:t>
      </w:r>
      <w:r w:rsidRPr="00393CF5">
        <w:rPr>
          <w:rFonts w:eastAsia="Calibri"/>
          <w:lang w:eastAsia="en-US"/>
        </w:rPr>
        <w:t xml:space="preserve">. </w:t>
      </w:r>
      <w:r w:rsidR="000F743F" w:rsidRPr="00393CF5">
        <w:rPr>
          <w:rFonts w:eastAsia="Calibri"/>
          <w:lang w:eastAsia="en-US"/>
        </w:rPr>
        <w:t>This is generally by exception</w:t>
      </w:r>
      <w:r w:rsidR="000B3A0D" w:rsidRPr="00393CF5">
        <w:rPr>
          <w:rFonts w:eastAsia="Calibri"/>
          <w:lang w:eastAsia="en-US"/>
        </w:rPr>
        <w:t xml:space="preserve"> only,</w:t>
      </w:r>
      <w:r w:rsidR="000F743F" w:rsidRPr="00393CF5">
        <w:rPr>
          <w:rFonts w:eastAsia="Calibri"/>
          <w:lang w:eastAsia="en-US"/>
        </w:rPr>
        <w:t xml:space="preserve"> and </w:t>
      </w:r>
      <w:r w:rsidR="0036060B" w:rsidRPr="00393CF5">
        <w:rPr>
          <w:rFonts w:eastAsia="Calibri"/>
          <w:lang w:eastAsia="en-US"/>
        </w:rPr>
        <w:t xml:space="preserve">all </w:t>
      </w:r>
      <w:r w:rsidR="00D5570C" w:rsidRPr="00393CF5">
        <w:rPr>
          <w:rFonts w:eastAsia="Calibri"/>
          <w:lang w:eastAsia="en-US"/>
        </w:rPr>
        <w:t xml:space="preserve">derogations </w:t>
      </w:r>
      <w:r w:rsidR="00C94051" w:rsidRPr="00393CF5">
        <w:rPr>
          <w:rFonts w:eastAsia="Calibri"/>
          <w:lang w:eastAsia="en-US"/>
        </w:rPr>
        <w:t xml:space="preserve">must be </w:t>
      </w:r>
      <w:r w:rsidR="00D5570C" w:rsidRPr="00393CF5">
        <w:rPr>
          <w:rFonts w:eastAsia="Calibri"/>
          <w:lang w:eastAsia="en-US"/>
        </w:rPr>
        <w:t xml:space="preserve">confirmed </w:t>
      </w:r>
      <w:r w:rsidR="00C94051" w:rsidRPr="00393CF5">
        <w:rPr>
          <w:rFonts w:eastAsia="Calibri"/>
          <w:lang w:eastAsia="en-US"/>
        </w:rPr>
        <w:t xml:space="preserve">in writing and </w:t>
      </w:r>
      <w:r w:rsidR="00F903FF" w:rsidRPr="00393CF5">
        <w:rPr>
          <w:rFonts w:eastAsia="Calibri"/>
          <w:lang w:eastAsia="en-US"/>
        </w:rPr>
        <w:t>should apply</w:t>
      </w:r>
      <w:r w:rsidR="00646E22" w:rsidRPr="00393CF5">
        <w:rPr>
          <w:rFonts w:eastAsia="Calibri"/>
          <w:lang w:eastAsia="en-US"/>
        </w:rPr>
        <w:t xml:space="preserve"> </w:t>
      </w:r>
      <w:r w:rsidR="00F903FF" w:rsidRPr="00393CF5">
        <w:rPr>
          <w:rFonts w:eastAsia="Calibri"/>
          <w:lang w:eastAsia="en-US"/>
        </w:rPr>
        <w:t xml:space="preserve">only </w:t>
      </w:r>
      <w:r w:rsidR="00646E22" w:rsidRPr="00393CF5">
        <w:rPr>
          <w:rFonts w:eastAsia="Calibri"/>
          <w:lang w:eastAsia="en-US"/>
        </w:rPr>
        <w:t>to</w:t>
      </w:r>
      <w:r w:rsidR="00C94051" w:rsidRPr="00393CF5">
        <w:rPr>
          <w:rFonts w:eastAsia="Calibri"/>
          <w:lang w:eastAsia="en-US"/>
        </w:rPr>
        <w:t xml:space="preserve"> that specific school</w:t>
      </w:r>
      <w:r w:rsidR="00D5570C" w:rsidRPr="00393CF5">
        <w:rPr>
          <w:rFonts w:eastAsia="Calibri"/>
          <w:lang w:eastAsia="en-US"/>
        </w:rPr>
        <w:t xml:space="preserve"> not </w:t>
      </w:r>
      <w:r w:rsidR="00B21204" w:rsidRPr="00393CF5">
        <w:rPr>
          <w:rFonts w:eastAsia="Calibri"/>
          <w:lang w:eastAsia="en-US"/>
        </w:rPr>
        <w:t>across a Responsible Body</w:t>
      </w:r>
    </w:p>
    <w:p w14:paraId="26B864AD" w14:textId="17F3C789" w:rsidR="00884CB4" w:rsidRDefault="00884CB4">
      <w:pPr>
        <w:spacing w:after="160" w:line="259" w:lineRule="auto"/>
        <w:rPr>
          <w:rFonts w:eastAsia="Calibri"/>
          <w:sz w:val="22"/>
          <w:szCs w:val="22"/>
          <w:lang w:eastAsia="en-US"/>
        </w:rPr>
      </w:pPr>
      <w:r>
        <w:rPr>
          <w:rFonts w:eastAsia="Calibri"/>
          <w:sz w:val="22"/>
          <w:szCs w:val="22"/>
          <w:lang w:eastAsia="en-US"/>
        </w:rPr>
        <w:br w:type="page"/>
      </w:r>
    </w:p>
    <w:p w14:paraId="7E3A868B" w14:textId="77777777" w:rsidR="00884CB4" w:rsidRDefault="00884CB4" w:rsidP="00C90437">
      <w:pPr>
        <w:rPr>
          <w:rFonts w:eastAsia="Calibri"/>
          <w:sz w:val="22"/>
          <w:szCs w:val="22"/>
          <w:lang w:eastAsia="en-US"/>
        </w:rPr>
      </w:pPr>
    </w:p>
    <w:p w14:paraId="1A595478" w14:textId="15EEDEFC" w:rsidR="00C14B2F" w:rsidRPr="00393CF5" w:rsidRDefault="00C14B2F" w:rsidP="00490585">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eastAsia="Calibri"/>
          <w:lang w:eastAsia="en-US"/>
        </w:rPr>
      </w:pPr>
      <w:r w:rsidRPr="00393CF5">
        <w:rPr>
          <w:rFonts w:eastAsia="Calibri"/>
          <w:lang w:eastAsia="en-US"/>
        </w:rPr>
        <w:t>Example</w:t>
      </w:r>
    </w:p>
    <w:p w14:paraId="2D31CFDB" w14:textId="05D380AD" w:rsidR="00C14B2F" w:rsidRPr="00393CF5" w:rsidRDefault="00840950" w:rsidP="00490585">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eastAsia="Calibri"/>
          <w:lang w:eastAsia="en-US"/>
        </w:rPr>
      </w:pPr>
      <w:r w:rsidRPr="00393CF5">
        <w:rPr>
          <w:rFonts w:eastAsia="Calibri"/>
          <w:lang w:eastAsia="en-US"/>
        </w:rPr>
        <w:t xml:space="preserve">A wall-mounted cabinet in the school office is to house edge switching and the multi-gig switch will be too noisy for that environment. </w:t>
      </w:r>
      <w:r w:rsidR="00490585" w:rsidRPr="00393CF5">
        <w:rPr>
          <w:rFonts w:eastAsia="Calibri"/>
          <w:lang w:eastAsia="en-US"/>
        </w:rPr>
        <w:t>The DfE ICT Advisor would want to pursue a solution where an acoustic cabinet would make it possible to select a compliant unit</w:t>
      </w:r>
      <w:r w:rsidR="0010306A" w:rsidRPr="00393CF5">
        <w:rPr>
          <w:rFonts w:eastAsia="Calibri"/>
          <w:lang w:eastAsia="en-US"/>
        </w:rPr>
        <w:t>.</w:t>
      </w:r>
      <w:r w:rsidR="00490585" w:rsidRPr="00393CF5">
        <w:rPr>
          <w:rFonts w:eastAsia="Calibri"/>
          <w:lang w:eastAsia="en-US"/>
        </w:rPr>
        <w:t xml:space="preserve"> </w:t>
      </w:r>
      <w:r w:rsidR="00FC61D6" w:rsidRPr="00393CF5">
        <w:rPr>
          <w:rFonts w:eastAsia="Calibri"/>
          <w:lang w:eastAsia="en-US"/>
        </w:rPr>
        <w:t>I</w:t>
      </w:r>
      <w:r w:rsidR="00670A2B" w:rsidRPr="00393CF5">
        <w:rPr>
          <w:rFonts w:eastAsia="Calibri"/>
          <w:lang w:eastAsia="en-US"/>
        </w:rPr>
        <w:t xml:space="preserve">f </w:t>
      </w:r>
      <w:r w:rsidR="00284194" w:rsidRPr="00393CF5">
        <w:rPr>
          <w:rFonts w:eastAsia="Calibri"/>
          <w:lang w:eastAsia="en-US"/>
        </w:rPr>
        <w:t xml:space="preserve">this was </w:t>
      </w:r>
      <w:r w:rsidR="00490585" w:rsidRPr="00393CF5">
        <w:rPr>
          <w:rFonts w:eastAsia="Calibri"/>
          <w:lang w:eastAsia="en-US"/>
        </w:rPr>
        <w:t xml:space="preserve">not possible, </w:t>
      </w:r>
      <w:r w:rsidR="00284194" w:rsidRPr="00393CF5">
        <w:rPr>
          <w:rFonts w:eastAsia="Calibri"/>
          <w:lang w:eastAsia="en-US"/>
        </w:rPr>
        <w:t>the DfE ICT Ad</w:t>
      </w:r>
      <w:r w:rsidR="0010306A" w:rsidRPr="00393CF5">
        <w:rPr>
          <w:rFonts w:eastAsia="Calibri"/>
          <w:lang w:eastAsia="en-US"/>
        </w:rPr>
        <w:t xml:space="preserve">visor </w:t>
      </w:r>
      <w:r w:rsidR="00490585" w:rsidRPr="00393CF5">
        <w:rPr>
          <w:rFonts w:eastAsia="Calibri"/>
          <w:lang w:eastAsia="en-US"/>
        </w:rPr>
        <w:t xml:space="preserve">could </w:t>
      </w:r>
      <w:r w:rsidR="006E76F0" w:rsidRPr="00393CF5">
        <w:rPr>
          <w:rFonts w:eastAsia="Calibri"/>
          <w:lang w:eastAsia="en-US"/>
        </w:rPr>
        <w:t xml:space="preserve">issue a derogation to </w:t>
      </w:r>
      <w:r w:rsidR="00490585" w:rsidRPr="00393CF5">
        <w:rPr>
          <w:rFonts w:eastAsia="Calibri"/>
          <w:lang w:eastAsia="en-US"/>
        </w:rPr>
        <w:t xml:space="preserve">allow a lower-speed switch that </w:t>
      </w:r>
      <w:r w:rsidR="00A5318C" w:rsidRPr="00393CF5">
        <w:rPr>
          <w:rFonts w:eastAsia="Calibri"/>
          <w:lang w:eastAsia="en-US"/>
        </w:rPr>
        <w:t>was</w:t>
      </w:r>
      <w:r w:rsidR="00490585" w:rsidRPr="00393CF5">
        <w:rPr>
          <w:rFonts w:eastAsia="Calibri"/>
          <w:lang w:eastAsia="en-US"/>
        </w:rPr>
        <w:t xml:space="preserve"> silent.</w:t>
      </w:r>
    </w:p>
    <w:p w14:paraId="7CE89483" w14:textId="11EA29CB" w:rsidR="006E76F0" w:rsidRPr="00393CF5" w:rsidRDefault="006E76F0" w:rsidP="00490585">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eastAsia="Calibri"/>
          <w:lang w:eastAsia="en-US"/>
        </w:rPr>
      </w:pPr>
      <w:r w:rsidRPr="00393CF5">
        <w:rPr>
          <w:rFonts w:eastAsia="Calibri"/>
          <w:lang w:eastAsia="en-US"/>
        </w:rPr>
        <w:t xml:space="preserve">A multi-academy trust might have an academy in Connect the Classroom, but another 11 sites within their group, and have adopted some standards that were not fully </w:t>
      </w:r>
      <w:r w:rsidR="00744E89" w:rsidRPr="00393CF5">
        <w:rPr>
          <w:rFonts w:eastAsia="Calibri"/>
          <w:lang w:eastAsia="en-US"/>
        </w:rPr>
        <w:t>compliant with</w:t>
      </w:r>
      <w:r w:rsidRPr="00393CF5">
        <w:rPr>
          <w:rFonts w:eastAsia="Calibri"/>
          <w:lang w:eastAsia="en-US"/>
        </w:rPr>
        <w:t xml:space="preserve"> </w:t>
      </w:r>
      <w:r w:rsidR="00415047" w:rsidRPr="00393CF5">
        <w:rPr>
          <w:rFonts w:eastAsia="Calibri"/>
          <w:lang w:eastAsia="en-US"/>
        </w:rPr>
        <w:t>the Output Specification. In that situation the ICT Adviser would be able to authorise the trust to use their own in-house standard for consistency</w:t>
      </w:r>
      <w:r w:rsidR="003B2B97" w:rsidRPr="00393CF5">
        <w:rPr>
          <w:rFonts w:eastAsia="Calibri"/>
          <w:lang w:eastAsia="en-US"/>
        </w:rPr>
        <w:t xml:space="preserve"> on the CTC project</w:t>
      </w:r>
      <w:r w:rsidR="00415047" w:rsidRPr="00393CF5">
        <w:rPr>
          <w:rFonts w:eastAsia="Calibri"/>
          <w:lang w:eastAsia="en-US"/>
        </w:rPr>
        <w:t>.</w:t>
      </w:r>
    </w:p>
    <w:p w14:paraId="3C0B82A9" w14:textId="77777777" w:rsidR="00415C7F" w:rsidRPr="00393CF5" w:rsidRDefault="00415C7F" w:rsidP="00C90437">
      <w:pPr>
        <w:rPr>
          <w:rFonts w:eastAsia="Calibri"/>
          <w:b/>
          <w:bCs/>
          <w:lang w:eastAsia="en-US"/>
        </w:rPr>
      </w:pPr>
    </w:p>
    <w:p w14:paraId="4354E99A" w14:textId="77777777" w:rsidR="00415C7F" w:rsidRPr="00393CF5" w:rsidRDefault="00415C7F" w:rsidP="00C90437">
      <w:pPr>
        <w:rPr>
          <w:rFonts w:eastAsia="Calibri"/>
          <w:b/>
          <w:bCs/>
          <w:lang w:eastAsia="en-US"/>
        </w:rPr>
      </w:pPr>
    </w:p>
    <w:p w14:paraId="58042D4A" w14:textId="20A05E78" w:rsidR="00E976B5" w:rsidRPr="00393CF5" w:rsidRDefault="00E976B5" w:rsidP="00C90437">
      <w:pPr>
        <w:rPr>
          <w:rFonts w:eastAsia="Calibri"/>
          <w:lang w:eastAsia="en-US"/>
        </w:rPr>
      </w:pPr>
      <w:r w:rsidRPr="00393CF5">
        <w:rPr>
          <w:rFonts w:eastAsia="Calibri"/>
          <w:b/>
          <w:bCs/>
          <w:lang w:eastAsia="en-US"/>
        </w:rPr>
        <w:t>Existing Systems</w:t>
      </w:r>
    </w:p>
    <w:p w14:paraId="38C5588B" w14:textId="0BDD3033" w:rsidR="00E976B5" w:rsidRPr="00393CF5" w:rsidRDefault="00E976B5" w:rsidP="00C90437">
      <w:pPr>
        <w:rPr>
          <w:rFonts w:eastAsia="Calibri"/>
          <w:lang w:eastAsia="en-US"/>
        </w:rPr>
      </w:pPr>
      <w:r w:rsidRPr="00393CF5">
        <w:rPr>
          <w:rFonts w:eastAsia="Calibri"/>
          <w:lang w:eastAsia="en-US"/>
        </w:rPr>
        <w:t xml:space="preserve">When an existing system in school (for example network cabling) </w:t>
      </w:r>
      <w:r w:rsidR="002F70B0" w:rsidRPr="00393CF5">
        <w:rPr>
          <w:rFonts w:eastAsia="Calibri"/>
          <w:lang w:eastAsia="en-US"/>
        </w:rPr>
        <w:t>is functioning to an adequate standard</w:t>
      </w:r>
      <w:r w:rsidR="00301379" w:rsidRPr="00393CF5">
        <w:rPr>
          <w:rFonts w:eastAsia="Calibri"/>
          <w:lang w:eastAsia="en-US"/>
        </w:rPr>
        <w:t xml:space="preserve"> we </w:t>
      </w:r>
      <w:r w:rsidR="00504A8C" w:rsidRPr="00393CF5">
        <w:rPr>
          <w:rFonts w:eastAsia="Calibri"/>
          <w:lang w:eastAsia="en-US"/>
        </w:rPr>
        <w:t xml:space="preserve">reserve the right not to </w:t>
      </w:r>
      <w:r w:rsidR="00301379" w:rsidRPr="00393CF5">
        <w:rPr>
          <w:rFonts w:eastAsia="Calibri"/>
          <w:lang w:eastAsia="en-US"/>
        </w:rPr>
        <w:t xml:space="preserve">replace </w:t>
      </w:r>
      <w:r w:rsidR="00F94C32" w:rsidRPr="00393CF5">
        <w:rPr>
          <w:rFonts w:eastAsia="Calibri"/>
          <w:lang w:eastAsia="en-US"/>
        </w:rPr>
        <w:t xml:space="preserve">this </w:t>
      </w:r>
      <w:r w:rsidR="00301379" w:rsidRPr="00393CF5">
        <w:rPr>
          <w:rFonts w:eastAsia="Calibri"/>
          <w:lang w:eastAsia="en-US"/>
        </w:rPr>
        <w:t xml:space="preserve">with </w:t>
      </w:r>
      <w:r w:rsidR="00651C02" w:rsidRPr="00393CF5">
        <w:rPr>
          <w:rFonts w:eastAsia="Calibri"/>
          <w:lang w:eastAsia="en-US"/>
        </w:rPr>
        <w:t xml:space="preserve">an item </w:t>
      </w:r>
      <w:r w:rsidR="00301379" w:rsidRPr="00393CF5">
        <w:rPr>
          <w:rFonts w:eastAsia="Calibri"/>
          <w:lang w:eastAsia="en-US"/>
        </w:rPr>
        <w:t xml:space="preserve">that is </w:t>
      </w:r>
      <w:r w:rsidR="00651C02" w:rsidRPr="00393CF5">
        <w:rPr>
          <w:rFonts w:eastAsia="Calibri"/>
          <w:lang w:eastAsia="en-US"/>
        </w:rPr>
        <w:t xml:space="preserve">within the criteria </w:t>
      </w:r>
      <w:r w:rsidR="002453E4" w:rsidRPr="00393CF5">
        <w:rPr>
          <w:rFonts w:eastAsia="Calibri"/>
          <w:lang w:eastAsia="en-US"/>
        </w:rPr>
        <w:t>listed within the OS.</w:t>
      </w:r>
    </w:p>
    <w:p w14:paraId="6A7C5AB4" w14:textId="195C5D16" w:rsidR="00490585" w:rsidRPr="00393CF5" w:rsidRDefault="00490585" w:rsidP="00A467AA">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eastAsia="Calibri"/>
          <w:lang w:eastAsia="en-US"/>
        </w:rPr>
      </w:pPr>
      <w:r w:rsidRPr="00393CF5">
        <w:rPr>
          <w:rFonts w:eastAsia="Calibri"/>
          <w:lang w:eastAsia="en-US"/>
        </w:rPr>
        <w:t>Example</w:t>
      </w:r>
    </w:p>
    <w:p w14:paraId="3FB0A9CC" w14:textId="4AE38CCF" w:rsidR="00490585" w:rsidRPr="00393CF5" w:rsidRDefault="00490585" w:rsidP="00A467AA">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eastAsia="Calibri"/>
          <w:lang w:eastAsia="en-US"/>
        </w:rPr>
      </w:pPr>
      <w:r w:rsidRPr="00393CF5">
        <w:rPr>
          <w:rFonts w:eastAsia="Calibri"/>
          <w:lang w:eastAsia="en-US"/>
        </w:rPr>
        <w:t xml:space="preserve">A school was cabled several years ago with good quality CAT6 cable that will allow the new system to operate well, </w:t>
      </w:r>
      <w:r w:rsidR="007718BD" w:rsidRPr="00393CF5">
        <w:rPr>
          <w:rFonts w:eastAsia="Calibri"/>
          <w:lang w:eastAsia="en-US"/>
        </w:rPr>
        <w:t>except for</w:t>
      </w:r>
      <w:r w:rsidRPr="00393CF5">
        <w:rPr>
          <w:rFonts w:eastAsia="Calibri"/>
          <w:lang w:eastAsia="en-US"/>
        </w:rPr>
        <w:t xml:space="preserve"> one cable run to an access point which is</w:t>
      </w:r>
      <w:r w:rsidR="00A467AA" w:rsidRPr="00393CF5">
        <w:rPr>
          <w:rFonts w:eastAsia="Calibri"/>
          <w:lang w:eastAsia="en-US"/>
        </w:rPr>
        <w:t xml:space="preserve"> damaged. DfE would not expect to </w:t>
      </w:r>
      <w:r w:rsidR="00E215F1" w:rsidRPr="00393CF5">
        <w:rPr>
          <w:rFonts w:eastAsia="Calibri"/>
          <w:lang w:eastAsia="en-US"/>
        </w:rPr>
        <w:t>fund the replacement of</w:t>
      </w:r>
      <w:r w:rsidR="00A467AA" w:rsidRPr="00393CF5">
        <w:rPr>
          <w:rFonts w:eastAsia="Calibri"/>
          <w:lang w:eastAsia="en-US"/>
        </w:rPr>
        <w:t xml:space="preserve"> that CAT6 cable, even though the standard calls for CAT6A, but </w:t>
      </w:r>
      <w:r w:rsidR="007718BD" w:rsidRPr="00393CF5">
        <w:rPr>
          <w:rFonts w:eastAsia="Calibri"/>
          <w:lang w:eastAsia="en-US"/>
        </w:rPr>
        <w:t>if</w:t>
      </w:r>
      <w:r w:rsidR="00A467AA" w:rsidRPr="00393CF5">
        <w:rPr>
          <w:rFonts w:eastAsia="Calibri"/>
          <w:lang w:eastAsia="en-US"/>
        </w:rPr>
        <w:t xml:space="preserve"> a new cable run was made to the access point, </w:t>
      </w:r>
      <w:r w:rsidR="007718BD" w:rsidRPr="00393CF5">
        <w:rPr>
          <w:rFonts w:eastAsia="Calibri"/>
          <w:lang w:eastAsia="en-US"/>
        </w:rPr>
        <w:t xml:space="preserve">DfE </w:t>
      </w:r>
      <w:r w:rsidR="00A467AA" w:rsidRPr="00393CF5">
        <w:rPr>
          <w:rFonts w:eastAsia="Calibri"/>
          <w:lang w:eastAsia="en-US"/>
        </w:rPr>
        <w:t>would expect that to be CAT6A.</w:t>
      </w:r>
    </w:p>
    <w:p w14:paraId="70996821" w14:textId="55971D77" w:rsidR="00C14B2F" w:rsidRPr="00393CF5" w:rsidRDefault="00D56E8D" w:rsidP="00C90437">
      <w:pPr>
        <w:rPr>
          <w:rFonts w:eastAsia="Calibri"/>
          <w:lang w:eastAsia="en-US"/>
        </w:rPr>
      </w:pPr>
      <w:r w:rsidRPr="00393CF5">
        <w:rPr>
          <w:rFonts w:eastAsia="Calibri"/>
          <w:b/>
          <w:bCs/>
          <w:lang w:eastAsia="en-US"/>
        </w:rPr>
        <w:t>SKUs and pricing</w:t>
      </w:r>
    </w:p>
    <w:p w14:paraId="2EA00F5C" w14:textId="52C7B61A" w:rsidR="00E17363" w:rsidRPr="00393CF5" w:rsidRDefault="00D56E8D" w:rsidP="009A17EF">
      <w:r w:rsidRPr="00393CF5">
        <w:rPr>
          <w:rFonts w:eastAsia="Calibri"/>
          <w:lang w:eastAsia="en-US"/>
        </w:rPr>
        <w:t xml:space="preserve">Some manufacturers have put in place specific prices and SKUs that they know to be compliant </w:t>
      </w:r>
      <w:r w:rsidR="00097735" w:rsidRPr="00393CF5">
        <w:rPr>
          <w:rFonts w:eastAsia="Calibri"/>
          <w:lang w:eastAsia="en-US"/>
        </w:rPr>
        <w:t xml:space="preserve">with the output specification. They have also made available license packs that </w:t>
      </w:r>
      <w:r w:rsidR="006F4D5D" w:rsidRPr="00393CF5">
        <w:rPr>
          <w:rFonts w:eastAsia="Calibri"/>
          <w:lang w:eastAsia="en-US"/>
        </w:rPr>
        <w:t xml:space="preserve">provide for the equipment to operate without a revenue cost to the school for up to ten years. Where DfE are aware of such an offer, we will not approve quotations that do not take advantage of </w:t>
      </w:r>
      <w:r w:rsidR="00286F0C" w:rsidRPr="00393CF5">
        <w:rPr>
          <w:rFonts w:eastAsia="Calibri"/>
          <w:lang w:eastAsia="en-US"/>
        </w:rPr>
        <w:t>this</w:t>
      </w:r>
      <w:r w:rsidR="006F4D5D" w:rsidRPr="00393CF5">
        <w:rPr>
          <w:rFonts w:eastAsia="Calibri"/>
          <w:lang w:eastAsia="en-US"/>
        </w:rPr>
        <w:t>.</w:t>
      </w:r>
      <w:r w:rsidR="0069680D" w:rsidRPr="00393CF5">
        <w:rPr>
          <w:rFonts w:eastAsia="Calibri"/>
          <w:lang w:eastAsia="en-US"/>
        </w:rPr>
        <w:t xml:space="preserve"> When preparing </w:t>
      </w:r>
      <w:r w:rsidR="008127AF" w:rsidRPr="00393CF5">
        <w:rPr>
          <w:rFonts w:eastAsia="Calibri"/>
          <w:lang w:eastAsia="en-US"/>
        </w:rPr>
        <w:t xml:space="preserve">quotations, </w:t>
      </w:r>
      <w:r w:rsidR="0069680D" w:rsidRPr="00393CF5">
        <w:rPr>
          <w:rFonts w:eastAsia="Calibri"/>
          <w:lang w:eastAsia="en-US"/>
        </w:rPr>
        <w:t>we</w:t>
      </w:r>
      <w:r w:rsidR="002E3037" w:rsidRPr="00393CF5">
        <w:rPr>
          <w:rFonts w:eastAsia="Calibri"/>
          <w:lang w:eastAsia="en-US"/>
        </w:rPr>
        <w:t xml:space="preserve"> </w:t>
      </w:r>
      <w:r w:rsidR="00286F0C" w:rsidRPr="00393CF5">
        <w:rPr>
          <w:rFonts w:eastAsia="Calibri"/>
          <w:lang w:eastAsia="en-US"/>
        </w:rPr>
        <w:t xml:space="preserve">recommend that </w:t>
      </w:r>
      <w:r w:rsidR="0069680D" w:rsidRPr="00393CF5">
        <w:rPr>
          <w:rFonts w:eastAsia="Calibri"/>
          <w:lang w:eastAsia="en-US"/>
        </w:rPr>
        <w:t xml:space="preserve">suppliers ensure they reference </w:t>
      </w:r>
      <w:r w:rsidR="008127AF" w:rsidRPr="00393CF5">
        <w:rPr>
          <w:rFonts w:eastAsia="Calibri"/>
          <w:lang w:eastAsia="en-US"/>
        </w:rPr>
        <w:t xml:space="preserve">these specific </w:t>
      </w:r>
      <w:r w:rsidR="00A42B1E" w:rsidRPr="00393CF5">
        <w:rPr>
          <w:rFonts w:eastAsia="Calibri"/>
          <w:lang w:eastAsia="en-US"/>
        </w:rPr>
        <w:t xml:space="preserve">SKUs or pricing that </w:t>
      </w:r>
      <w:r w:rsidR="00140622" w:rsidRPr="00393CF5">
        <w:rPr>
          <w:rFonts w:eastAsia="Calibri"/>
          <w:lang w:eastAsia="en-US"/>
        </w:rPr>
        <w:t xml:space="preserve">are available to those </w:t>
      </w:r>
      <w:r w:rsidR="00CF5945" w:rsidRPr="00393CF5">
        <w:rPr>
          <w:rFonts w:eastAsia="Calibri"/>
          <w:lang w:eastAsia="en-US"/>
        </w:rPr>
        <w:t xml:space="preserve">schools within the </w:t>
      </w:r>
      <w:r w:rsidR="00B71AD0" w:rsidRPr="00393CF5">
        <w:rPr>
          <w:rFonts w:eastAsia="Calibri"/>
          <w:lang w:eastAsia="en-US"/>
        </w:rPr>
        <w:t>Connect the Classroom</w:t>
      </w:r>
      <w:r w:rsidR="00CF5945" w:rsidRPr="00393CF5">
        <w:rPr>
          <w:rFonts w:eastAsia="Calibri"/>
          <w:lang w:eastAsia="en-US"/>
        </w:rPr>
        <w:t xml:space="preserve"> Programme</w:t>
      </w:r>
    </w:p>
    <w:p w14:paraId="506F78B7" w14:textId="3BF60CB6" w:rsidR="00CB4BED" w:rsidRPr="00393CF5" w:rsidRDefault="00CB4BED" w:rsidP="00C90437">
      <w:pPr>
        <w:rPr>
          <w:rFonts w:eastAsia="Calibri"/>
          <w:lang w:eastAsia="en-US"/>
        </w:rPr>
      </w:pPr>
      <w:r w:rsidRPr="00393CF5">
        <w:rPr>
          <w:rFonts w:eastAsia="Calibri"/>
          <w:lang w:eastAsia="en-US"/>
        </w:rPr>
        <w:lastRenderedPageBreak/>
        <w:t xml:space="preserve">You are asked to include within Document 3 (Cost Matrix and </w:t>
      </w:r>
      <w:r w:rsidR="00A57D34" w:rsidRPr="00393CF5">
        <w:rPr>
          <w:rFonts w:eastAsia="Calibri"/>
          <w:lang w:eastAsia="en-US"/>
        </w:rPr>
        <w:t>Technical Summary) details of the equipment that will allow DfE to confirm to the school that the system proposed is compliant and can be funded.</w:t>
      </w:r>
    </w:p>
    <w:p w14:paraId="23DD6AB1" w14:textId="1954D982" w:rsidR="00C90437" w:rsidRPr="00393CF5" w:rsidRDefault="00C90437" w:rsidP="00C90437">
      <w:r w:rsidRPr="00393CF5">
        <w:rPr>
          <w:rFonts w:eastAsia="Calibri"/>
          <w:lang w:eastAsia="en-US"/>
        </w:rPr>
        <w:t xml:space="preserve">If you have any questions about the </w:t>
      </w:r>
      <w:r w:rsidR="005078D6" w:rsidRPr="00393CF5">
        <w:rPr>
          <w:rFonts w:eastAsia="Calibri"/>
          <w:lang w:eastAsia="en-US"/>
        </w:rPr>
        <w:t>requirements</w:t>
      </w:r>
      <w:r w:rsidR="00A43823" w:rsidRPr="00393CF5">
        <w:rPr>
          <w:rFonts w:eastAsia="Calibri"/>
          <w:lang w:eastAsia="en-US"/>
        </w:rPr>
        <w:t xml:space="preserve"> – technical or otherwise</w:t>
      </w:r>
      <w:r w:rsidR="000E38BA" w:rsidRPr="00393CF5">
        <w:rPr>
          <w:rFonts w:eastAsia="Calibri"/>
          <w:lang w:eastAsia="en-US"/>
        </w:rPr>
        <w:t xml:space="preserve"> - </w:t>
      </w:r>
      <w:r w:rsidRPr="00393CF5">
        <w:rPr>
          <w:rFonts w:eastAsia="Calibri"/>
          <w:lang w:eastAsia="en-US"/>
        </w:rPr>
        <w:t xml:space="preserve">you can contact </w:t>
      </w:r>
      <w:r w:rsidR="000E38BA" w:rsidRPr="00393CF5">
        <w:rPr>
          <w:rFonts w:eastAsia="Calibri"/>
          <w:lang w:eastAsia="en-US"/>
        </w:rPr>
        <w:t>the DfE Team</w:t>
      </w:r>
      <w:r w:rsidRPr="00393CF5">
        <w:rPr>
          <w:rFonts w:eastAsia="Calibri"/>
          <w:lang w:eastAsia="en-US"/>
        </w:rPr>
        <w:t xml:space="preserve"> at </w:t>
      </w:r>
      <w:hyperlink r:id="rId13">
        <w:r w:rsidR="6108638F" w:rsidRPr="00393CF5">
          <w:rPr>
            <w:rStyle w:val="Hyperlink"/>
          </w:rPr>
          <w:t>ConnectTheClassroom.DfEICT@education.gov.uk</w:t>
        </w:r>
      </w:hyperlink>
      <w:r w:rsidRPr="00393CF5">
        <w:t xml:space="preserve"> either with specific queries, or to join one of our webinars for potential suppliers.</w:t>
      </w:r>
    </w:p>
    <w:sectPr w:rsidR="00C90437" w:rsidRPr="00393C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F9D0" w14:textId="77777777" w:rsidR="0092576A" w:rsidRDefault="0092576A" w:rsidP="00C90437">
      <w:pPr>
        <w:spacing w:after="0" w:line="240" w:lineRule="auto"/>
      </w:pPr>
      <w:r>
        <w:separator/>
      </w:r>
    </w:p>
  </w:endnote>
  <w:endnote w:type="continuationSeparator" w:id="0">
    <w:p w14:paraId="07D833AF" w14:textId="77777777" w:rsidR="0092576A" w:rsidRDefault="0092576A" w:rsidP="00C90437">
      <w:pPr>
        <w:spacing w:after="0" w:line="240" w:lineRule="auto"/>
      </w:pPr>
      <w:r>
        <w:continuationSeparator/>
      </w:r>
    </w:p>
  </w:endnote>
  <w:endnote w:type="continuationNotice" w:id="1">
    <w:p w14:paraId="1323E442" w14:textId="77777777" w:rsidR="0092576A" w:rsidRDefault="00925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3E66" w14:textId="77777777" w:rsidR="0092576A" w:rsidRDefault="0092576A" w:rsidP="00C90437">
      <w:pPr>
        <w:spacing w:after="0" w:line="240" w:lineRule="auto"/>
      </w:pPr>
      <w:r>
        <w:separator/>
      </w:r>
    </w:p>
  </w:footnote>
  <w:footnote w:type="continuationSeparator" w:id="0">
    <w:p w14:paraId="60017CC4" w14:textId="77777777" w:rsidR="0092576A" w:rsidRDefault="0092576A" w:rsidP="00C90437">
      <w:pPr>
        <w:spacing w:after="0" w:line="240" w:lineRule="auto"/>
      </w:pPr>
      <w:r>
        <w:continuationSeparator/>
      </w:r>
    </w:p>
  </w:footnote>
  <w:footnote w:type="continuationNotice" w:id="1">
    <w:p w14:paraId="3D2C962D" w14:textId="77777777" w:rsidR="0092576A" w:rsidRDefault="009257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B1D"/>
    <w:multiLevelType w:val="hybridMultilevel"/>
    <w:tmpl w:val="BF7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F1F4E"/>
    <w:multiLevelType w:val="hybridMultilevel"/>
    <w:tmpl w:val="607E3C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52B2E57"/>
    <w:multiLevelType w:val="hybridMultilevel"/>
    <w:tmpl w:val="EA926E9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A2D47"/>
    <w:multiLevelType w:val="hybridMultilevel"/>
    <w:tmpl w:val="D6E4A92A"/>
    <w:lvl w:ilvl="0" w:tplc="763C6624">
      <w:start w:val="9"/>
      <w:numFmt w:val="bullet"/>
      <w:lvlText w:val=""/>
      <w:lvlJc w:val="left"/>
      <w:pPr>
        <w:ind w:left="1335" w:hanging="360"/>
      </w:pPr>
      <w:rPr>
        <w:rFonts w:ascii="Symbol" w:eastAsia="Times New Roman" w:hAnsi="Symbol" w:cs="Aria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5" w15:restartNumberingAfterBreak="0">
    <w:nsid w:val="2E012809"/>
    <w:multiLevelType w:val="hybridMultilevel"/>
    <w:tmpl w:val="930804C0"/>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0E1C25"/>
    <w:multiLevelType w:val="hybridMultilevel"/>
    <w:tmpl w:val="E15E73D2"/>
    <w:lvl w:ilvl="0" w:tplc="687CB400">
      <w:start w:val="1"/>
      <w:numFmt w:val="bullet"/>
      <w:pStyle w:val="ListParagraph"/>
      <w:lvlText w:val=""/>
      <w:lvlJc w:val="left"/>
      <w:pPr>
        <w:ind w:left="360" w:hanging="360"/>
      </w:pPr>
      <w:rPr>
        <w:rFonts w:ascii="Symbol" w:hAnsi="Symbol" w:hint="default"/>
      </w:rPr>
    </w:lvl>
    <w:lvl w:ilvl="1" w:tplc="88A6CB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1D5146"/>
    <w:multiLevelType w:val="hybridMultilevel"/>
    <w:tmpl w:val="3F1E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E5BF2"/>
    <w:multiLevelType w:val="hybridMultilevel"/>
    <w:tmpl w:val="2942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85FE5"/>
    <w:multiLevelType w:val="hybridMultilevel"/>
    <w:tmpl w:val="3B32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CBB756D"/>
    <w:multiLevelType w:val="hybridMultilevel"/>
    <w:tmpl w:val="724E75FC"/>
    <w:lvl w:ilvl="0" w:tplc="C708F5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214B2F"/>
    <w:multiLevelType w:val="hybridMultilevel"/>
    <w:tmpl w:val="3B72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C62CE"/>
    <w:multiLevelType w:val="hybridMultilevel"/>
    <w:tmpl w:val="8F28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131F4"/>
    <w:multiLevelType w:val="hybridMultilevel"/>
    <w:tmpl w:val="FFFFFFFF"/>
    <w:lvl w:ilvl="0" w:tplc="33163022">
      <w:start w:val="1"/>
      <w:numFmt w:val="bullet"/>
      <w:lvlText w:val=""/>
      <w:lvlJc w:val="left"/>
      <w:pPr>
        <w:ind w:left="720" w:hanging="360"/>
      </w:pPr>
      <w:rPr>
        <w:rFonts w:ascii="Symbol" w:hAnsi="Symbol" w:hint="default"/>
      </w:rPr>
    </w:lvl>
    <w:lvl w:ilvl="1" w:tplc="0A5476DA">
      <w:start w:val="1"/>
      <w:numFmt w:val="bullet"/>
      <w:lvlText w:val="o"/>
      <w:lvlJc w:val="left"/>
      <w:pPr>
        <w:ind w:left="1440" w:hanging="360"/>
      </w:pPr>
      <w:rPr>
        <w:rFonts w:ascii="Courier New" w:hAnsi="Courier New" w:hint="default"/>
      </w:rPr>
    </w:lvl>
    <w:lvl w:ilvl="2" w:tplc="1A4AC7F2">
      <w:start w:val="1"/>
      <w:numFmt w:val="bullet"/>
      <w:lvlText w:val=""/>
      <w:lvlJc w:val="left"/>
      <w:pPr>
        <w:ind w:left="2160" w:hanging="360"/>
      </w:pPr>
      <w:rPr>
        <w:rFonts w:ascii="Wingdings" w:hAnsi="Wingdings" w:hint="default"/>
      </w:rPr>
    </w:lvl>
    <w:lvl w:ilvl="3" w:tplc="1AD82A46">
      <w:start w:val="1"/>
      <w:numFmt w:val="bullet"/>
      <w:lvlText w:val=""/>
      <w:lvlJc w:val="left"/>
      <w:pPr>
        <w:ind w:left="2880" w:hanging="360"/>
      </w:pPr>
      <w:rPr>
        <w:rFonts w:ascii="Symbol" w:hAnsi="Symbol" w:hint="default"/>
      </w:rPr>
    </w:lvl>
    <w:lvl w:ilvl="4" w:tplc="4DC29464">
      <w:start w:val="1"/>
      <w:numFmt w:val="bullet"/>
      <w:lvlText w:val="o"/>
      <w:lvlJc w:val="left"/>
      <w:pPr>
        <w:ind w:left="3600" w:hanging="360"/>
      </w:pPr>
      <w:rPr>
        <w:rFonts w:ascii="Courier New" w:hAnsi="Courier New" w:hint="default"/>
      </w:rPr>
    </w:lvl>
    <w:lvl w:ilvl="5" w:tplc="4010FB10">
      <w:start w:val="1"/>
      <w:numFmt w:val="bullet"/>
      <w:lvlText w:val=""/>
      <w:lvlJc w:val="left"/>
      <w:pPr>
        <w:ind w:left="4320" w:hanging="360"/>
      </w:pPr>
      <w:rPr>
        <w:rFonts w:ascii="Wingdings" w:hAnsi="Wingdings" w:hint="default"/>
      </w:rPr>
    </w:lvl>
    <w:lvl w:ilvl="6" w:tplc="1A06DE0C">
      <w:start w:val="1"/>
      <w:numFmt w:val="bullet"/>
      <w:lvlText w:val=""/>
      <w:lvlJc w:val="left"/>
      <w:pPr>
        <w:ind w:left="5040" w:hanging="360"/>
      </w:pPr>
      <w:rPr>
        <w:rFonts w:ascii="Symbol" w:hAnsi="Symbol" w:hint="default"/>
      </w:rPr>
    </w:lvl>
    <w:lvl w:ilvl="7" w:tplc="2FDA268A">
      <w:start w:val="1"/>
      <w:numFmt w:val="bullet"/>
      <w:lvlText w:val="o"/>
      <w:lvlJc w:val="left"/>
      <w:pPr>
        <w:ind w:left="5760" w:hanging="360"/>
      </w:pPr>
      <w:rPr>
        <w:rFonts w:ascii="Courier New" w:hAnsi="Courier New" w:hint="default"/>
      </w:rPr>
    </w:lvl>
    <w:lvl w:ilvl="8" w:tplc="0756E370">
      <w:start w:val="1"/>
      <w:numFmt w:val="bullet"/>
      <w:lvlText w:val=""/>
      <w:lvlJc w:val="left"/>
      <w:pPr>
        <w:ind w:left="6480" w:hanging="360"/>
      </w:pPr>
      <w:rPr>
        <w:rFonts w:ascii="Wingdings" w:hAnsi="Wingdings" w:hint="default"/>
      </w:rPr>
    </w:lvl>
  </w:abstractNum>
  <w:abstractNum w:abstractNumId="15" w15:restartNumberingAfterBreak="0">
    <w:nsid w:val="6EAD3F2B"/>
    <w:multiLevelType w:val="multilevel"/>
    <w:tmpl w:val="5C7099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09226A"/>
    <w:multiLevelType w:val="multilevel"/>
    <w:tmpl w:val="082CD8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71684909">
    <w:abstractNumId w:val="6"/>
  </w:num>
  <w:num w:numId="2" w16cid:durableId="1622226094">
    <w:abstractNumId w:val="5"/>
  </w:num>
  <w:num w:numId="3" w16cid:durableId="645672303">
    <w:abstractNumId w:val="1"/>
  </w:num>
  <w:num w:numId="4" w16cid:durableId="1706443292">
    <w:abstractNumId w:val="9"/>
  </w:num>
  <w:num w:numId="5" w16cid:durableId="974259096">
    <w:abstractNumId w:val="0"/>
  </w:num>
  <w:num w:numId="6" w16cid:durableId="68120668">
    <w:abstractNumId w:val="16"/>
  </w:num>
  <w:num w:numId="7" w16cid:durableId="367485633">
    <w:abstractNumId w:val="7"/>
  </w:num>
  <w:num w:numId="8" w16cid:durableId="2066297287">
    <w:abstractNumId w:val="8"/>
  </w:num>
  <w:num w:numId="9" w16cid:durableId="674378481">
    <w:abstractNumId w:val="15"/>
  </w:num>
  <w:num w:numId="10" w16cid:durableId="202250191">
    <w:abstractNumId w:val="2"/>
  </w:num>
  <w:num w:numId="11" w16cid:durableId="1413159602">
    <w:abstractNumId w:val="11"/>
  </w:num>
  <w:num w:numId="12" w16cid:durableId="968704942">
    <w:abstractNumId w:val="10"/>
  </w:num>
  <w:num w:numId="13" w16cid:durableId="1279020892">
    <w:abstractNumId w:val="4"/>
  </w:num>
  <w:num w:numId="14" w16cid:durableId="928462138">
    <w:abstractNumId w:val="13"/>
  </w:num>
  <w:num w:numId="15" w16cid:durableId="149568002">
    <w:abstractNumId w:val="3"/>
  </w:num>
  <w:num w:numId="16" w16cid:durableId="443428845">
    <w:abstractNumId w:val="14"/>
  </w:num>
  <w:num w:numId="17" w16cid:durableId="16107457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37"/>
    <w:rsid w:val="0000146F"/>
    <w:rsid w:val="00001FC3"/>
    <w:rsid w:val="0000276B"/>
    <w:rsid w:val="000036DD"/>
    <w:rsid w:val="00003D80"/>
    <w:rsid w:val="00007EF4"/>
    <w:rsid w:val="00016CDC"/>
    <w:rsid w:val="000349E4"/>
    <w:rsid w:val="000448BA"/>
    <w:rsid w:val="000456A3"/>
    <w:rsid w:val="00051888"/>
    <w:rsid w:val="00057498"/>
    <w:rsid w:val="0006020A"/>
    <w:rsid w:val="00060AAF"/>
    <w:rsid w:val="000648CE"/>
    <w:rsid w:val="0006518B"/>
    <w:rsid w:val="00066CB7"/>
    <w:rsid w:val="0007384F"/>
    <w:rsid w:val="00074068"/>
    <w:rsid w:val="00082DDA"/>
    <w:rsid w:val="000942B5"/>
    <w:rsid w:val="00097735"/>
    <w:rsid w:val="000B0451"/>
    <w:rsid w:val="000B32F6"/>
    <w:rsid w:val="000B3A0D"/>
    <w:rsid w:val="000C3563"/>
    <w:rsid w:val="000C5AAC"/>
    <w:rsid w:val="000D6AB7"/>
    <w:rsid w:val="000E38BA"/>
    <w:rsid w:val="000E738E"/>
    <w:rsid w:val="000F136F"/>
    <w:rsid w:val="000F22AF"/>
    <w:rsid w:val="000F582F"/>
    <w:rsid w:val="000F743F"/>
    <w:rsid w:val="0010306A"/>
    <w:rsid w:val="0011110E"/>
    <w:rsid w:val="001132CB"/>
    <w:rsid w:val="00122EC4"/>
    <w:rsid w:val="0012413E"/>
    <w:rsid w:val="001271AA"/>
    <w:rsid w:val="0013020D"/>
    <w:rsid w:val="001324DD"/>
    <w:rsid w:val="00140622"/>
    <w:rsid w:val="00143ACA"/>
    <w:rsid w:val="00145490"/>
    <w:rsid w:val="00153E10"/>
    <w:rsid w:val="00153F86"/>
    <w:rsid w:val="00157E25"/>
    <w:rsid w:val="00161603"/>
    <w:rsid w:val="0016192E"/>
    <w:rsid w:val="00165B2C"/>
    <w:rsid w:val="00165CD4"/>
    <w:rsid w:val="0017371B"/>
    <w:rsid w:val="00185AC4"/>
    <w:rsid w:val="00192C12"/>
    <w:rsid w:val="00193F8A"/>
    <w:rsid w:val="00195A8B"/>
    <w:rsid w:val="00197FA0"/>
    <w:rsid w:val="001A2590"/>
    <w:rsid w:val="001A5B29"/>
    <w:rsid w:val="001B4270"/>
    <w:rsid w:val="001B5326"/>
    <w:rsid w:val="001C60D3"/>
    <w:rsid w:val="001D6140"/>
    <w:rsid w:val="001E1604"/>
    <w:rsid w:val="001E1BE7"/>
    <w:rsid w:val="001F4C85"/>
    <w:rsid w:val="0020071F"/>
    <w:rsid w:val="002023A9"/>
    <w:rsid w:val="00205566"/>
    <w:rsid w:val="0021319C"/>
    <w:rsid w:val="002326C1"/>
    <w:rsid w:val="002453E4"/>
    <w:rsid w:val="00251A11"/>
    <w:rsid w:val="00260554"/>
    <w:rsid w:val="00261A15"/>
    <w:rsid w:val="00275571"/>
    <w:rsid w:val="00276B24"/>
    <w:rsid w:val="00277AE3"/>
    <w:rsid w:val="00280C4C"/>
    <w:rsid w:val="00284194"/>
    <w:rsid w:val="00286C79"/>
    <w:rsid w:val="00286F0C"/>
    <w:rsid w:val="002A6059"/>
    <w:rsid w:val="002C1E0F"/>
    <w:rsid w:val="002C2AD8"/>
    <w:rsid w:val="002D0198"/>
    <w:rsid w:val="002D2141"/>
    <w:rsid w:val="002D56EA"/>
    <w:rsid w:val="002E0D05"/>
    <w:rsid w:val="002E3037"/>
    <w:rsid w:val="002F5E49"/>
    <w:rsid w:val="002F70B0"/>
    <w:rsid w:val="00300A04"/>
    <w:rsid w:val="00301379"/>
    <w:rsid w:val="0030434D"/>
    <w:rsid w:val="003066AD"/>
    <w:rsid w:val="003074E2"/>
    <w:rsid w:val="003128AB"/>
    <w:rsid w:val="00315897"/>
    <w:rsid w:val="003271BB"/>
    <w:rsid w:val="00332F77"/>
    <w:rsid w:val="00335073"/>
    <w:rsid w:val="00360150"/>
    <w:rsid w:val="0036060B"/>
    <w:rsid w:val="00361DCD"/>
    <w:rsid w:val="00363C50"/>
    <w:rsid w:val="00365C56"/>
    <w:rsid w:val="003703A9"/>
    <w:rsid w:val="00393CF5"/>
    <w:rsid w:val="003956F0"/>
    <w:rsid w:val="003A25F9"/>
    <w:rsid w:val="003A3B8A"/>
    <w:rsid w:val="003A4632"/>
    <w:rsid w:val="003A6180"/>
    <w:rsid w:val="003B1353"/>
    <w:rsid w:val="003B1A37"/>
    <w:rsid w:val="003B28F1"/>
    <w:rsid w:val="003B2B97"/>
    <w:rsid w:val="003C02F5"/>
    <w:rsid w:val="003C1823"/>
    <w:rsid w:val="003C4228"/>
    <w:rsid w:val="003D0C96"/>
    <w:rsid w:val="003D2070"/>
    <w:rsid w:val="003D2367"/>
    <w:rsid w:val="003D2470"/>
    <w:rsid w:val="003D578D"/>
    <w:rsid w:val="003F0724"/>
    <w:rsid w:val="003F2ACB"/>
    <w:rsid w:val="00404714"/>
    <w:rsid w:val="00404FB4"/>
    <w:rsid w:val="00415047"/>
    <w:rsid w:val="00415C7F"/>
    <w:rsid w:val="00433E80"/>
    <w:rsid w:val="004356A9"/>
    <w:rsid w:val="00437761"/>
    <w:rsid w:val="004460C2"/>
    <w:rsid w:val="004630CC"/>
    <w:rsid w:val="00465458"/>
    <w:rsid w:val="0047127C"/>
    <w:rsid w:val="004725C8"/>
    <w:rsid w:val="004846AF"/>
    <w:rsid w:val="0048669A"/>
    <w:rsid w:val="00490585"/>
    <w:rsid w:val="00494C90"/>
    <w:rsid w:val="004A1F4F"/>
    <w:rsid w:val="004C317C"/>
    <w:rsid w:val="004D563A"/>
    <w:rsid w:val="004D5F72"/>
    <w:rsid w:val="004E71EE"/>
    <w:rsid w:val="004F150F"/>
    <w:rsid w:val="004F681F"/>
    <w:rsid w:val="004F6F4D"/>
    <w:rsid w:val="00502D89"/>
    <w:rsid w:val="00504A8C"/>
    <w:rsid w:val="005078D6"/>
    <w:rsid w:val="0051328D"/>
    <w:rsid w:val="00520214"/>
    <w:rsid w:val="00520CE4"/>
    <w:rsid w:val="00521378"/>
    <w:rsid w:val="00525662"/>
    <w:rsid w:val="00532A11"/>
    <w:rsid w:val="00540D72"/>
    <w:rsid w:val="00543F63"/>
    <w:rsid w:val="005470B9"/>
    <w:rsid w:val="00547B14"/>
    <w:rsid w:val="00563627"/>
    <w:rsid w:val="00567565"/>
    <w:rsid w:val="00572EF8"/>
    <w:rsid w:val="00575114"/>
    <w:rsid w:val="00593A68"/>
    <w:rsid w:val="005A5249"/>
    <w:rsid w:val="005B0F64"/>
    <w:rsid w:val="005B4F3C"/>
    <w:rsid w:val="005B671C"/>
    <w:rsid w:val="005D7E66"/>
    <w:rsid w:val="005E0A3A"/>
    <w:rsid w:val="005F55F2"/>
    <w:rsid w:val="006035A0"/>
    <w:rsid w:val="006126E0"/>
    <w:rsid w:val="0062136A"/>
    <w:rsid w:val="00623063"/>
    <w:rsid w:val="00632614"/>
    <w:rsid w:val="00635B5C"/>
    <w:rsid w:val="00640C5D"/>
    <w:rsid w:val="00641D2A"/>
    <w:rsid w:val="00646E22"/>
    <w:rsid w:val="00650F09"/>
    <w:rsid w:val="00651C02"/>
    <w:rsid w:val="006562AD"/>
    <w:rsid w:val="00670A2B"/>
    <w:rsid w:val="00672505"/>
    <w:rsid w:val="006757E0"/>
    <w:rsid w:val="00677025"/>
    <w:rsid w:val="00680898"/>
    <w:rsid w:val="00681D84"/>
    <w:rsid w:val="00681F08"/>
    <w:rsid w:val="006849EE"/>
    <w:rsid w:val="006852AE"/>
    <w:rsid w:val="00694DC3"/>
    <w:rsid w:val="0069680D"/>
    <w:rsid w:val="006B0F15"/>
    <w:rsid w:val="006B605E"/>
    <w:rsid w:val="006B77E3"/>
    <w:rsid w:val="006C2869"/>
    <w:rsid w:val="006D5523"/>
    <w:rsid w:val="006D5C50"/>
    <w:rsid w:val="006D6287"/>
    <w:rsid w:val="006D6792"/>
    <w:rsid w:val="006E1E0C"/>
    <w:rsid w:val="006E3024"/>
    <w:rsid w:val="006E6C07"/>
    <w:rsid w:val="006E76F0"/>
    <w:rsid w:val="006F2AE4"/>
    <w:rsid w:val="006F4D5D"/>
    <w:rsid w:val="006F5072"/>
    <w:rsid w:val="0070475A"/>
    <w:rsid w:val="00715B62"/>
    <w:rsid w:val="00720BB3"/>
    <w:rsid w:val="00722A6B"/>
    <w:rsid w:val="00723788"/>
    <w:rsid w:val="00725940"/>
    <w:rsid w:val="007354CA"/>
    <w:rsid w:val="0074141F"/>
    <w:rsid w:val="00742EE1"/>
    <w:rsid w:val="00744E89"/>
    <w:rsid w:val="00755231"/>
    <w:rsid w:val="00756FAA"/>
    <w:rsid w:val="007718BD"/>
    <w:rsid w:val="00781FA0"/>
    <w:rsid w:val="007929EE"/>
    <w:rsid w:val="007A0313"/>
    <w:rsid w:val="007A4C69"/>
    <w:rsid w:val="007B26F5"/>
    <w:rsid w:val="007B3F7F"/>
    <w:rsid w:val="007B7CA4"/>
    <w:rsid w:val="007C2AF9"/>
    <w:rsid w:val="007D1918"/>
    <w:rsid w:val="007D62C5"/>
    <w:rsid w:val="007E5100"/>
    <w:rsid w:val="007E51E0"/>
    <w:rsid w:val="007F3BCB"/>
    <w:rsid w:val="007F50A4"/>
    <w:rsid w:val="00810C02"/>
    <w:rsid w:val="008127AF"/>
    <w:rsid w:val="0082163B"/>
    <w:rsid w:val="00827A74"/>
    <w:rsid w:val="00827F31"/>
    <w:rsid w:val="00832A31"/>
    <w:rsid w:val="008351AD"/>
    <w:rsid w:val="00840950"/>
    <w:rsid w:val="00840ACE"/>
    <w:rsid w:val="00843BE9"/>
    <w:rsid w:val="0084623E"/>
    <w:rsid w:val="00847F5E"/>
    <w:rsid w:val="008509BC"/>
    <w:rsid w:val="00855C48"/>
    <w:rsid w:val="008560AF"/>
    <w:rsid w:val="00861E4A"/>
    <w:rsid w:val="008742E3"/>
    <w:rsid w:val="00882D4C"/>
    <w:rsid w:val="00884CB4"/>
    <w:rsid w:val="008A2252"/>
    <w:rsid w:val="008B450E"/>
    <w:rsid w:val="008B4A41"/>
    <w:rsid w:val="008B6DF2"/>
    <w:rsid w:val="008B78D0"/>
    <w:rsid w:val="008C04E9"/>
    <w:rsid w:val="008C476C"/>
    <w:rsid w:val="008C6191"/>
    <w:rsid w:val="008C7621"/>
    <w:rsid w:val="008D09A9"/>
    <w:rsid w:val="008D25A2"/>
    <w:rsid w:val="008E626D"/>
    <w:rsid w:val="008F2EC3"/>
    <w:rsid w:val="008F6AD5"/>
    <w:rsid w:val="00902DDE"/>
    <w:rsid w:val="00906603"/>
    <w:rsid w:val="00911E29"/>
    <w:rsid w:val="00912696"/>
    <w:rsid w:val="00925684"/>
    <w:rsid w:val="0092576A"/>
    <w:rsid w:val="00930A74"/>
    <w:rsid w:val="0093798F"/>
    <w:rsid w:val="00944F5E"/>
    <w:rsid w:val="00951154"/>
    <w:rsid w:val="00953A61"/>
    <w:rsid w:val="009541D4"/>
    <w:rsid w:val="00972AB8"/>
    <w:rsid w:val="00975030"/>
    <w:rsid w:val="00987260"/>
    <w:rsid w:val="009907C9"/>
    <w:rsid w:val="009A17EF"/>
    <w:rsid w:val="009B5FA1"/>
    <w:rsid w:val="009B6CA2"/>
    <w:rsid w:val="009C18C3"/>
    <w:rsid w:val="009C5309"/>
    <w:rsid w:val="009D5E7F"/>
    <w:rsid w:val="009E6422"/>
    <w:rsid w:val="009F272E"/>
    <w:rsid w:val="00A04C70"/>
    <w:rsid w:val="00A056AD"/>
    <w:rsid w:val="00A05CAC"/>
    <w:rsid w:val="00A079E4"/>
    <w:rsid w:val="00A131A8"/>
    <w:rsid w:val="00A14886"/>
    <w:rsid w:val="00A15633"/>
    <w:rsid w:val="00A25D1A"/>
    <w:rsid w:val="00A26592"/>
    <w:rsid w:val="00A27612"/>
    <w:rsid w:val="00A353C9"/>
    <w:rsid w:val="00A35BD1"/>
    <w:rsid w:val="00A40C8B"/>
    <w:rsid w:val="00A424BE"/>
    <w:rsid w:val="00A42629"/>
    <w:rsid w:val="00A42B1E"/>
    <w:rsid w:val="00A43823"/>
    <w:rsid w:val="00A43E53"/>
    <w:rsid w:val="00A467AA"/>
    <w:rsid w:val="00A5318C"/>
    <w:rsid w:val="00A53F32"/>
    <w:rsid w:val="00A57D34"/>
    <w:rsid w:val="00A63030"/>
    <w:rsid w:val="00A67EF9"/>
    <w:rsid w:val="00A72868"/>
    <w:rsid w:val="00A7328D"/>
    <w:rsid w:val="00A82E8E"/>
    <w:rsid w:val="00A96353"/>
    <w:rsid w:val="00AA0AA7"/>
    <w:rsid w:val="00AA2962"/>
    <w:rsid w:val="00AA41D9"/>
    <w:rsid w:val="00AC42D8"/>
    <w:rsid w:val="00AD598C"/>
    <w:rsid w:val="00AF1843"/>
    <w:rsid w:val="00B07030"/>
    <w:rsid w:val="00B110BD"/>
    <w:rsid w:val="00B13617"/>
    <w:rsid w:val="00B21204"/>
    <w:rsid w:val="00B24D77"/>
    <w:rsid w:val="00B25F79"/>
    <w:rsid w:val="00B2720C"/>
    <w:rsid w:val="00B32116"/>
    <w:rsid w:val="00B4042E"/>
    <w:rsid w:val="00B42AE7"/>
    <w:rsid w:val="00B441BF"/>
    <w:rsid w:val="00B44584"/>
    <w:rsid w:val="00B51F93"/>
    <w:rsid w:val="00B53DB6"/>
    <w:rsid w:val="00B6706C"/>
    <w:rsid w:val="00B679E2"/>
    <w:rsid w:val="00B7155F"/>
    <w:rsid w:val="00B71AD0"/>
    <w:rsid w:val="00B734A7"/>
    <w:rsid w:val="00B86AE3"/>
    <w:rsid w:val="00B87CDE"/>
    <w:rsid w:val="00B978BA"/>
    <w:rsid w:val="00BA1A74"/>
    <w:rsid w:val="00BA51FD"/>
    <w:rsid w:val="00BA7890"/>
    <w:rsid w:val="00BB212B"/>
    <w:rsid w:val="00BC6857"/>
    <w:rsid w:val="00BC6EE1"/>
    <w:rsid w:val="00BE14A5"/>
    <w:rsid w:val="00BE5F4F"/>
    <w:rsid w:val="00BF2808"/>
    <w:rsid w:val="00C11088"/>
    <w:rsid w:val="00C14B2F"/>
    <w:rsid w:val="00C16F97"/>
    <w:rsid w:val="00C26A77"/>
    <w:rsid w:val="00C3032F"/>
    <w:rsid w:val="00C322EE"/>
    <w:rsid w:val="00C35C3D"/>
    <w:rsid w:val="00C433D3"/>
    <w:rsid w:val="00C46035"/>
    <w:rsid w:val="00C5453A"/>
    <w:rsid w:val="00C545A8"/>
    <w:rsid w:val="00C55BC1"/>
    <w:rsid w:val="00C76842"/>
    <w:rsid w:val="00C812C6"/>
    <w:rsid w:val="00C83135"/>
    <w:rsid w:val="00C90437"/>
    <w:rsid w:val="00C908B6"/>
    <w:rsid w:val="00C94051"/>
    <w:rsid w:val="00CB4BED"/>
    <w:rsid w:val="00CB7A4F"/>
    <w:rsid w:val="00CD0514"/>
    <w:rsid w:val="00CD1827"/>
    <w:rsid w:val="00CD18AE"/>
    <w:rsid w:val="00CD44F5"/>
    <w:rsid w:val="00CF1BF8"/>
    <w:rsid w:val="00CF5945"/>
    <w:rsid w:val="00CF636D"/>
    <w:rsid w:val="00D01575"/>
    <w:rsid w:val="00D04F55"/>
    <w:rsid w:val="00D15C0F"/>
    <w:rsid w:val="00D22D3B"/>
    <w:rsid w:val="00D268DA"/>
    <w:rsid w:val="00D33C7E"/>
    <w:rsid w:val="00D5570C"/>
    <w:rsid w:val="00D56E8D"/>
    <w:rsid w:val="00D67132"/>
    <w:rsid w:val="00D678CA"/>
    <w:rsid w:val="00D717A5"/>
    <w:rsid w:val="00D87A4B"/>
    <w:rsid w:val="00D91F41"/>
    <w:rsid w:val="00D94456"/>
    <w:rsid w:val="00DA54B5"/>
    <w:rsid w:val="00DB6F30"/>
    <w:rsid w:val="00DC0AB8"/>
    <w:rsid w:val="00DC1728"/>
    <w:rsid w:val="00DC57C5"/>
    <w:rsid w:val="00DC5ED5"/>
    <w:rsid w:val="00DD5637"/>
    <w:rsid w:val="00DE1A41"/>
    <w:rsid w:val="00DF26A9"/>
    <w:rsid w:val="00E008B8"/>
    <w:rsid w:val="00E02D26"/>
    <w:rsid w:val="00E06EF7"/>
    <w:rsid w:val="00E16709"/>
    <w:rsid w:val="00E17363"/>
    <w:rsid w:val="00E215F1"/>
    <w:rsid w:val="00E2208C"/>
    <w:rsid w:val="00E22232"/>
    <w:rsid w:val="00E22A01"/>
    <w:rsid w:val="00E24BCC"/>
    <w:rsid w:val="00E2748E"/>
    <w:rsid w:val="00E31608"/>
    <w:rsid w:val="00E34C55"/>
    <w:rsid w:val="00E37FE9"/>
    <w:rsid w:val="00E524CA"/>
    <w:rsid w:val="00E53037"/>
    <w:rsid w:val="00E53988"/>
    <w:rsid w:val="00E54C60"/>
    <w:rsid w:val="00E6141A"/>
    <w:rsid w:val="00E72ED9"/>
    <w:rsid w:val="00E73253"/>
    <w:rsid w:val="00E80E66"/>
    <w:rsid w:val="00E93D13"/>
    <w:rsid w:val="00E94ECA"/>
    <w:rsid w:val="00E95796"/>
    <w:rsid w:val="00E976B5"/>
    <w:rsid w:val="00EB0F29"/>
    <w:rsid w:val="00EC0A51"/>
    <w:rsid w:val="00EC126E"/>
    <w:rsid w:val="00ED71F2"/>
    <w:rsid w:val="00EE581C"/>
    <w:rsid w:val="00EF4F4D"/>
    <w:rsid w:val="00F14345"/>
    <w:rsid w:val="00F1707A"/>
    <w:rsid w:val="00F2280C"/>
    <w:rsid w:val="00F2594A"/>
    <w:rsid w:val="00F336FC"/>
    <w:rsid w:val="00F33D1A"/>
    <w:rsid w:val="00F47675"/>
    <w:rsid w:val="00F740E6"/>
    <w:rsid w:val="00F74C40"/>
    <w:rsid w:val="00F773CE"/>
    <w:rsid w:val="00F834F6"/>
    <w:rsid w:val="00F85209"/>
    <w:rsid w:val="00F87AB0"/>
    <w:rsid w:val="00F903FF"/>
    <w:rsid w:val="00F94C32"/>
    <w:rsid w:val="00F957C0"/>
    <w:rsid w:val="00F95E1F"/>
    <w:rsid w:val="00FA4766"/>
    <w:rsid w:val="00FB6C19"/>
    <w:rsid w:val="00FC4015"/>
    <w:rsid w:val="00FC61D6"/>
    <w:rsid w:val="00FC7485"/>
    <w:rsid w:val="00FD64CC"/>
    <w:rsid w:val="00FF570C"/>
    <w:rsid w:val="02244ACA"/>
    <w:rsid w:val="0235A879"/>
    <w:rsid w:val="0253D802"/>
    <w:rsid w:val="02ED0879"/>
    <w:rsid w:val="05629AFD"/>
    <w:rsid w:val="065A5809"/>
    <w:rsid w:val="07F39E3C"/>
    <w:rsid w:val="07FFD40F"/>
    <w:rsid w:val="082FF5AD"/>
    <w:rsid w:val="0838CEAD"/>
    <w:rsid w:val="089CA7C9"/>
    <w:rsid w:val="08B4A136"/>
    <w:rsid w:val="08F99825"/>
    <w:rsid w:val="0902665A"/>
    <w:rsid w:val="0AFD128C"/>
    <w:rsid w:val="0B57A508"/>
    <w:rsid w:val="0B7C51E3"/>
    <w:rsid w:val="0B7CE7D5"/>
    <w:rsid w:val="0BCBD4C7"/>
    <w:rsid w:val="0C30A16F"/>
    <w:rsid w:val="0EC333B8"/>
    <w:rsid w:val="0F0289B3"/>
    <w:rsid w:val="0F202414"/>
    <w:rsid w:val="0F4F7F93"/>
    <w:rsid w:val="1039EAA0"/>
    <w:rsid w:val="112C25C1"/>
    <w:rsid w:val="132BC183"/>
    <w:rsid w:val="13E4147F"/>
    <w:rsid w:val="141778F8"/>
    <w:rsid w:val="14AAB804"/>
    <w:rsid w:val="15385CEC"/>
    <w:rsid w:val="1553584E"/>
    <w:rsid w:val="15C72EFD"/>
    <w:rsid w:val="165431D0"/>
    <w:rsid w:val="1663F854"/>
    <w:rsid w:val="17EB6FA5"/>
    <w:rsid w:val="18318372"/>
    <w:rsid w:val="19493983"/>
    <w:rsid w:val="19AB3836"/>
    <w:rsid w:val="1A2CBDBE"/>
    <w:rsid w:val="1AB76455"/>
    <w:rsid w:val="1DD371C2"/>
    <w:rsid w:val="1E122D6A"/>
    <w:rsid w:val="209E8404"/>
    <w:rsid w:val="2216C5D9"/>
    <w:rsid w:val="23D785A8"/>
    <w:rsid w:val="26F24D83"/>
    <w:rsid w:val="2998DAE1"/>
    <w:rsid w:val="29BABA12"/>
    <w:rsid w:val="2B1E3B41"/>
    <w:rsid w:val="2E44DCCA"/>
    <w:rsid w:val="2F3DC087"/>
    <w:rsid w:val="30178586"/>
    <w:rsid w:val="30212D13"/>
    <w:rsid w:val="30361606"/>
    <w:rsid w:val="310967A2"/>
    <w:rsid w:val="321C284A"/>
    <w:rsid w:val="33EF20A3"/>
    <w:rsid w:val="35BCA453"/>
    <w:rsid w:val="38A56E55"/>
    <w:rsid w:val="39743BCF"/>
    <w:rsid w:val="3C9B4F8A"/>
    <w:rsid w:val="3C9C4BA9"/>
    <w:rsid w:val="3D180963"/>
    <w:rsid w:val="3E2D8A2C"/>
    <w:rsid w:val="3E723116"/>
    <w:rsid w:val="3F47D37E"/>
    <w:rsid w:val="3F9BC9C1"/>
    <w:rsid w:val="408E720B"/>
    <w:rsid w:val="41709CCB"/>
    <w:rsid w:val="4340AA0B"/>
    <w:rsid w:val="43FB16AA"/>
    <w:rsid w:val="44D21272"/>
    <w:rsid w:val="4551C6D7"/>
    <w:rsid w:val="45C0FAC6"/>
    <w:rsid w:val="45D6647D"/>
    <w:rsid w:val="46F0FDD4"/>
    <w:rsid w:val="47215555"/>
    <w:rsid w:val="47DE99A9"/>
    <w:rsid w:val="48C876D8"/>
    <w:rsid w:val="49718065"/>
    <w:rsid w:val="4A28071E"/>
    <w:rsid w:val="4AAF262C"/>
    <w:rsid w:val="4AFE5B03"/>
    <w:rsid w:val="4C4AF68D"/>
    <w:rsid w:val="4C541E51"/>
    <w:rsid w:val="4D9395CE"/>
    <w:rsid w:val="4DE6C6EE"/>
    <w:rsid w:val="4E5A975A"/>
    <w:rsid w:val="4FB005C1"/>
    <w:rsid w:val="51AD6EE2"/>
    <w:rsid w:val="53EA793E"/>
    <w:rsid w:val="542F702D"/>
    <w:rsid w:val="579596BA"/>
    <w:rsid w:val="57EF447E"/>
    <w:rsid w:val="5805B030"/>
    <w:rsid w:val="592CDFDD"/>
    <w:rsid w:val="593A6FB7"/>
    <w:rsid w:val="597BCF94"/>
    <w:rsid w:val="59DC1088"/>
    <w:rsid w:val="5A334905"/>
    <w:rsid w:val="5CF85DDE"/>
    <w:rsid w:val="5FA7D72A"/>
    <w:rsid w:val="60381F9C"/>
    <w:rsid w:val="6108638F"/>
    <w:rsid w:val="627078D3"/>
    <w:rsid w:val="62A5125E"/>
    <w:rsid w:val="63B32216"/>
    <w:rsid w:val="645AF165"/>
    <w:rsid w:val="649C9006"/>
    <w:rsid w:val="674EA3A0"/>
    <w:rsid w:val="67BA01A3"/>
    <w:rsid w:val="67DF81EA"/>
    <w:rsid w:val="693725A5"/>
    <w:rsid w:val="6A613DF9"/>
    <w:rsid w:val="6B30AFB0"/>
    <w:rsid w:val="6BC68628"/>
    <w:rsid w:val="6BD09DC2"/>
    <w:rsid w:val="6EECBA41"/>
    <w:rsid w:val="70D10C67"/>
    <w:rsid w:val="71160356"/>
    <w:rsid w:val="71C6316A"/>
    <w:rsid w:val="7249BCDE"/>
    <w:rsid w:val="7496FBBD"/>
    <w:rsid w:val="75D67F53"/>
    <w:rsid w:val="76CACDA5"/>
    <w:rsid w:val="7717BF21"/>
    <w:rsid w:val="7DAD185A"/>
    <w:rsid w:val="7F3238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1BD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490585"/>
    <w:pPr>
      <w:spacing w:after="240" w:line="288" w:lineRule="auto"/>
    </w:pPr>
    <w:rPr>
      <w:rFonts w:ascii="Arial" w:eastAsia="Times New Roman" w:hAnsi="Arial" w:cs="Times New Roman"/>
      <w:color w:val="0D0D0D" w:themeColor="text1" w:themeTint="F2"/>
      <w:sz w:val="24"/>
      <w:szCs w:val="24"/>
      <w:lang w:eastAsia="en-GB"/>
    </w:rPr>
  </w:style>
  <w:style w:type="paragraph" w:styleId="Heading2">
    <w:name w:val="heading 2"/>
    <w:basedOn w:val="Normal"/>
    <w:next w:val="Normal"/>
    <w:link w:val="Heading2Char"/>
    <w:qFormat/>
    <w:rsid w:val="00C90437"/>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C90437"/>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437"/>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C90437"/>
    <w:rPr>
      <w:rFonts w:ascii="Arial" w:eastAsia="Times New Roman" w:hAnsi="Arial" w:cs="Times New Roman"/>
      <w:b/>
      <w:bCs/>
      <w:color w:val="104F75"/>
      <w:sz w:val="28"/>
      <w:szCs w:val="28"/>
      <w:lang w:eastAsia="en-GB"/>
    </w:rPr>
  </w:style>
  <w:style w:type="paragraph" w:styleId="ListParagraph">
    <w:name w:val="List Paragraph"/>
    <w:basedOn w:val="Normal"/>
    <w:uiPriority w:val="34"/>
    <w:qFormat/>
    <w:rsid w:val="00C90437"/>
    <w:pPr>
      <w:numPr>
        <w:numId w:val="1"/>
      </w:numPr>
      <w:contextualSpacing/>
    </w:pPr>
  </w:style>
  <w:style w:type="character" w:styleId="CommentReference">
    <w:name w:val="annotation reference"/>
    <w:basedOn w:val="DefaultParagraphFont"/>
    <w:uiPriority w:val="99"/>
    <w:unhideWhenUsed/>
    <w:rsid w:val="00C90437"/>
  </w:style>
  <w:style w:type="paragraph" w:styleId="CommentText">
    <w:name w:val="annotation text"/>
    <w:basedOn w:val="Normal"/>
    <w:link w:val="CommentTextChar"/>
    <w:uiPriority w:val="99"/>
    <w:unhideWhenUsed/>
    <w:rsid w:val="00C90437"/>
    <w:pPr>
      <w:spacing w:line="240" w:lineRule="auto"/>
    </w:pPr>
    <w:rPr>
      <w:sz w:val="20"/>
      <w:szCs w:val="20"/>
    </w:rPr>
  </w:style>
  <w:style w:type="character" w:customStyle="1" w:styleId="CommentTextChar">
    <w:name w:val="Comment Text Char"/>
    <w:basedOn w:val="DefaultParagraphFont"/>
    <w:link w:val="CommentText"/>
    <w:uiPriority w:val="99"/>
    <w:rsid w:val="00C90437"/>
    <w:rPr>
      <w:rFonts w:ascii="Arial" w:eastAsia="Times New Roman" w:hAnsi="Arial" w:cs="Times New Roman"/>
      <w:color w:val="0D0D0D" w:themeColor="text1" w:themeTint="F2"/>
      <w:sz w:val="20"/>
      <w:szCs w:val="20"/>
      <w:lang w:eastAsia="en-GB"/>
    </w:rPr>
  </w:style>
  <w:style w:type="character" w:styleId="Hyperlink">
    <w:name w:val="Hyperlink"/>
    <w:basedOn w:val="DefaultParagraphFont"/>
    <w:uiPriority w:val="99"/>
    <w:unhideWhenUsed/>
    <w:rsid w:val="00C90437"/>
    <w:rPr>
      <w:color w:val="0563C1" w:themeColor="hyperlink"/>
      <w:u w:val="single"/>
    </w:rPr>
  </w:style>
  <w:style w:type="character" w:styleId="UnresolvedMention">
    <w:name w:val="Unresolved Mention"/>
    <w:basedOn w:val="DefaultParagraphFont"/>
    <w:uiPriority w:val="99"/>
    <w:semiHidden/>
    <w:unhideWhenUsed/>
    <w:rsid w:val="00C90437"/>
    <w:rPr>
      <w:color w:val="605E5C"/>
      <w:shd w:val="clear" w:color="auto" w:fill="E1DFDD"/>
    </w:rPr>
  </w:style>
  <w:style w:type="paragraph" w:styleId="FootnoteText">
    <w:name w:val="footnote text"/>
    <w:basedOn w:val="Normal"/>
    <w:link w:val="FootnoteTextChar"/>
    <w:uiPriority w:val="99"/>
    <w:semiHidden/>
    <w:unhideWhenUsed/>
    <w:rsid w:val="00C90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37"/>
    <w:rPr>
      <w:rFonts w:ascii="Arial" w:eastAsia="Times New Roman" w:hAnsi="Arial" w:cs="Times New Roman"/>
      <w:color w:val="0D0D0D" w:themeColor="text1" w:themeTint="F2"/>
      <w:sz w:val="20"/>
      <w:szCs w:val="20"/>
      <w:lang w:eastAsia="en-GB"/>
    </w:rPr>
  </w:style>
  <w:style w:type="character" w:styleId="FootnoteReference">
    <w:name w:val="footnote reference"/>
    <w:basedOn w:val="DefaultParagraphFont"/>
    <w:uiPriority w:val="99"/>
    <w:semiHidden/>
    <w:unhideWhenUsed/>
    <w:rsid w:val="00C90437"/>
    <w:rPr>
      <w:vertAlign w:val="superscript"/>
    </w:rPr>
  </w:style>
  <w:style w:type="paragraph" w:styleId="Header">
    <w:name w:val="header"/>
    <w:basedOn w:val="Normal"/>
    <w:link w:val="HeaderChar"/>
    <w:uiPriority w:val="99"/>
    <w:unhideWhenUsed/>
    <w:rsid w:val="00332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F77"/>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332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F77"/>
    <w:rPr>
      <w:rFonts w:ascii="Arial" w:eastAsia="Times New Roman" w:hAnsi="Arial" w:cs="Times New Roman"/>
      <w:color w:val="0D0D0D" w:themeColor="text1" w:themeTint="F2"/>
      <w:sz w:val="24"/>
      <w:szCs w:val="24"/>
      <w:lang w:eastAsia="en-GB"/>
    </w:rPr>
  </w:style>
  <w:style w:type="paragraph" w:customStyle="1" w:styleId="TitleText">
    <w:name w:val="TitleText"/>
    <w:basedOn w:val="Normal"/>
    <w:link w:val="TitleTextChar"/>
    <w:unhideWhenUsed/>
    <w:qFormat/>
    <w:rsid w:val="0000276B"/>
    <w:pPr>
      <w:spacing w:before="3600" w:line="240" w:lineRule="auto"/>
    </w:pPr>
    <w:rPr>
      <w:rFonts w:cs="Arial"/>
      <w:b/>
      <w:color w:val="104F75"/>
      <w:sz w:val="92"/>
      <w:szCs w:val="92"/>
    </w:rPr>
  </w:style>
  <w:style w:type="character" w:customStyle="1" w:styleId="TitleTextChar">
    <w:name w:val="TitleText Char"/>
    <w:link w:val="TitleText"/>
    <w:rsid w:val="0000276B"/>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00276B"/>
    <w:pPr>
      <w:spacing w:after="1520"/>
    </w:pPr>
    <w:rPr>
      <w:rFonts w:cs="Arial"/>
      <w:b/>
      <w:color w:val="104F75"/>
      <w:sz w:val="48"/>
      <w:szCs w:val="48"/>
    </w:rPr>
  </w:style>
  <w:style w:type="character" w:customStyle="1" w:styleId="SubtitleTextChar">
    <w:name w:val="SubtitleText Char"/>
    <w:link w:val="SubtitleText"/>
    <w:rsid w:val="0000276B"/>
    <w:rPr>
      <w:rFonts w:ascii="Arial" w:eastAsia="Times New Roman" w:hAnsi="Arial" w:cs="Arial"/>
      <w:b/>
      <w:color w:val="104F75"/>
      <w:sz w:val="48"/>
      <w:szCs w:val="48"/>
      <w:lang w:eastAsia="en-GB"/>
    </w:rPr>
  </w:style>
  <w:style w:type="table" w:styleId="TableGrid">
    <w:name w:val="Table Grid"/>
    <w:basedOn w:val="TableNormal"/>
    <w:uiPriority w:val="59"/>
    <w:rsid w:val="0000276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link w:val="LogosChar"/>
    <w:rsid w:val="0000276B"/>
    <w:pPr>
      <w:pageBreakBefore/>
      <w:widowControl w:val="0"/>
    </w:pPr>
    <w:rPr>
      <w:noProof/>
    </w:rPr>
  </w:style>
  <w:style w:type="character" w:customStyle="1" w:styleId="LogosChar">
    <w:name w:val="Logos Char"/>
    <w:basedOn w:val="DefaultParagraphFont"/>
    <w:link w:val="Logos"/>
    <w:rsid w:val="0000276B"/>
    <w:rPr>
      <w:rFonts w:ascii="Arial" w:eastAsia="Times New Roman" w:hAnsi="Arial" w:cs="Times New Roman"/>
      <w:noProof/>
      <w:color w:val="0D0D0D" w:themeColor="text1" w:themeTint="F2"/>
      <w:sz w:val="24"/>
      <w:szCs w:val="24"/>
      <w:lang w:eastAsia="en-GB"/>
    </w:rPr>
  </w:style>
  <w:style w:type="paragraph" w:styleId="CommentSubject">
    <w:name w:val="annotation subject"/>
    <w:basedOn w:val="CommentText"/>
    <w:next w:val="CommentText"/>
    <w:link w:val="CommentSubjectChar"/>
    <w:uiPriority w:val="99"/>
    <w:semiHidden/>
    <w:unhideWhenUsed/>
    <w:rsid w:val="0000276B"/>
    <w:rPr>
      <w:b/>
      <w:bCs/>
    </w:rPr>
  </w:style>
  <w:style w:type="character" w:customStyle="1" w:styleId="CommentSubjectChar">
    <w:name w:val="Comment Subject Char"/>
    <w:basedOn w:val="CommentTextChar"/>
    <w:link w:val="CommentSubject"/>
    <w:uiPriority w:val="99"/>
    <w:semiHidden/>
    <w:rsid w:val="0000276B"/>
    <w:rPr>
      <w:rFonts w:ascii="Arial" w:eastAsia="Times New Roman" w:hAnsi="Arial" w:cs="Times New Roman"/>
      <w:b/>
      <w:bCs/>
      <w:color w:val="0D0D0D" w:themeColor="text1" w:themeTint="F2"/>
      <w:sz w:val="20"/>
      <w:szCs w:val="20"/>
      <w:lang w:eastAsia="en-GB"/>
    </w:rPr>
  </w:style>
  <w:style w:type="paragraph" w:customStyle="1" w:styleId="DfESOutNumbered">
    <w:name w:val="DfESOutNumbered"/>
    <w:basedOn w:val="Normal"/>
    <w:link w:val="DfESOutNumberedChar"/>
    <w:rsid w:val="00781FA0"/>
    <w:pPr>
      <w:widowControl w:val="0"/>
      <w:numPr>
        <w:numId w:val="10"/>
      </w:numPr>
      <w:overflowPunct w:val="0"/>
      <w:autoSpaceDE w:val="0"/>
      <w:autoSpaceDN w:val="0"/>
      <w:adjustRightInd w:val="0"/>
      <w:spacing w:line="240" w:lineRule="auto"/>
      <w:textAlignment w:val="baseline"/>
    </w:pPr>
    <w:rPr>
      <w:rFonts w:cs="Arial"/>
      <w:noProof/>
      <w:szCs w:val="20"/>
    </w:rPr>
  </w:style>
  <w:style w:type="character" w:customStyle="1" w:styleId="DfESOutNumberedChar">
    <w:name w:val="DfESOutNumbered Char"/>
    <w:basedOn w:val="LogosChar"/>
    <w:link w:val="DfESOutNumbered"/>
    <w:rsid w:val="00781FA0"/>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781FA0"/>
    <w:pPr>
      <w:widowControl w:val="0"/>
      <w:numPr>
        <w:numId w:val="12"/>
      </w:numPr>
      <w:overflowPunct w:val="0"/>
      <w:autoSpaceDE w:val="0"/>
      <w:autoSpaceDN w:val="0"/>
      <w:adjustRightInd w:val="0"/>
      <w:spacing w:line="240" w:lineRule="auto"/>
      <w:textAlignment w:val="baseline"/>
    </w:pPr>
    <w:rPr>
      <w:noProof/>
      <w:szCs w:val="20"/>
    </w:rPr>
  </w:style>
  <w:style w:type="character" w:customStyle="1" w:styleId="DeptBulletsChar">
    <w:name w:val="DeptBullets Char"/>
    <w:basedOn w:val="LogosChar"/>
    <w:link w:val="DeptBullets"/>
    <w:rsid w:val="00781FA0"/>
    <w:rPr>
      <w:rFonts w:ascii="Arial" w:eastAsia="Times New Roman" w:hAnsi="Arial" w:cs="Times New Roman"/>
      <w:noProof/>
      <w:color w:val="0D0D0D" w:themeColor="text1" w:themeTint="F2"/>
      <w:sz w:val="24"/>
      <w:szCs w:val="20"/>
      <w:lang w:eastAsia="en-GB"/>
    </w:rPr>
  </w:style>
  <w:style w:type="paragraph" w:styleId="BalloonText">
    <w:name w:val="Balloon Text"/>
    <w:basedOn w:val="Normal"/>
    <w:link w:val="BalloonTextChar"/>
    <w:uiPriority w:val="99"/>
    <w:semiHidden/>
    <w:unhideWhenUsed/>
    <w:rsid w:val="00781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FA0"/>
    <w:rPr>
      <w:rFonts w:ascii="Segoe UI" w:eastAsia="Times New Roman" w:hAnsi="Segoe UI" w:cs="Segoe UI"/>
      <w:color w:val="0D0D0D" w:themeColor="text1" w:themeTint="F2"/>
      <w:sz w:val="18"/>
      <w:szCs w:val="18"/>
      <w:lang w:eastAsia="en-GB"/>
    </w:rPr>
  </w:style>
  <w:style w:type="paragraph" w:styleId="Revision">
    <w:name w:val="Revision"/>
    <w:hidden/>
    <w:uiPriority w:val="99"/>
    <w:semiHidden/>
    <w:rsid w:val="00640C5D"/>
    <w:pPr>
      <w:spacing w:after="0" w:line="240" w:lineRule="auto"/>
    </w:pPr>
    <w:rPr>
      <w:rFonts w:ascii="Arial" w:eastAsia="Times New Roman" w:hAnsi="Arial" w:cs="Times New Roman"/>
      <w:color w:val="0D0D0D" w:themeColor="text1" w:themeTint="F2"/>
      <w:sz w:val="24"/>
      <w:szCs w:val="24"/>
      <w:lang w:eastAsia="en-GB"/>
    </w:rPr>
  </w:style>
  <w:style w:type="character" w:styleId="Mention">
    <w:name w:val="Mention"/>
    <w:basedOn w:val="DefaultParagraphFont"/>
    <w:uiPriority w:val="99"/>
    <w:unhideWhenUsed/>
    <w:rsid w:val="00840A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nectTheClassroom.DfEICT@educati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39186/Generic_Design_Brief_Nov_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utput-specification-generic-design-brief-and-technical-annex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C79758226F1F4785A8AF5DD96B579D" ma:contentTypeVersion="16" ma:contentTypeDescription="Create a new document." ma:contentTypeScope="" ma:versionID="c8d7026ed9b2948ac57914baf947877c">
  <xsd:schema xmlns:xsd="http://www.w3.org/2001/XMLSchema" xmlns:xs="http://www.w3.org/2001/XMLSchema" xmlns:p="http://schemas.microsoft.com/office/2006/metadata/properties" xmlns:ns2="845001af-0acc-4e0d-a27a-adbea2eda1c0" xmlns:ns3="6160bcdd-4348-4244-a908-e28b66161373" xmlns:ns4="8c566321-f672-4e06-a901-b5e72b4c4357" targetNamespace="http://schemas.microsoft.com/office/2006/metadata/properties" ma:root="true" ma:fieldsID="56bb88b6846fa0e0eee8d9043d98421e" ns2:_="" ns3:_="" ns4:_="">
    <xsd:import namespace="845001af-0acc-4e0d-a27a-adbea2eda1c0"/>
    <xsd:import namespace="6160bcdd-4348-4244-a908-e28b66161373"/>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001af-0acc-4e0d-a27a-adbea2eda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0bcdd-4348-4244-a908-e28b661613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3fff30-5657-482e-a849-9007840ad19c}" ma:internalName="TaxCatchAll" ma:showField="CatchAllData" ma:web="6160bcdd-4348-4244-a908-e28b66161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85DB2-8857-4CD3-A634-4832CC318986}">
  <ds:schemaRefs>
    <ds:schemaRef ds:uri="http://schemas.openxmlformats.org/officeDocument/2006/bibliography"/>
  </ds:schemaRefs>
</ds:datastoreItem>
</file>

<file path=customXml/itemProps2.xml><?xml version="1.0" encoding="utf-8"?>
<ds:datastoreItem xmlns:ds="http://schemas.openxmlformats.org/officeDocument/2006/customXml" ds:itemID="{B6C3BF00-F328-4066-AED6-6CEA62F03CBE}">
  <ds:schemaRefs>
    <ds:schemaRef ds:uri="http://schemas.microsoft.com/sharepoint/v3/contenttype/forms"/>
  </ds:schemaRefs>
</ds:datastoreItem>
</file>

<file path=customXml/itemProps3.xml><?xml version="1.0" encoding="utf-8"?>
<ds:datastoreItem xmlns:ds="http://schemas.openxmlformats.org/officeDocument/2006/customXml" ds:itemID="{47570010-A5FA-4D43-A05D-7E6642BC8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001af-0acc-4e0d-a27a-adbea2eda1c0"/>
    <ds:schemaRef ds:uri="6160bcdd-4348-4244-a908-e28b66161373"/>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Links>
    <vt:vector size="18" baseType="variant">
      <vt:variant>
        <vt:i4>6226044</vt:i4>
      </vt:variant>
      <vt:variant>
        <vt:i4>6</vt:i4>
      </vt:variant>
      <vt:variant>
        <vt:i4>0</vt:i4>
      </vt:variant>
      <vt:variant>
        <vt:i4>5</vt:i4>
      </vt:variant>
      <vt:variant>
        <vt:lpwstr>mailto:ConnectTheClassroom.DfEICT@education.gov.uk</vt:lpwstr>
      </vt:variant>
      <vt:variant>
        <vt:lpwstr/>
      </vt:variant>
      <vt:variant>
        <vt:i4>4259945</vt:i4>
      </vt:variant>
      <vt:variant>
        <vt:i4>3</vt:i4>
      </vt:variant>
      <vt:variant>
        <vt:i4>0</vt:i4>
      </vt:variant>
      <vt:variant>
        <vt:i4>5</vt:i4>
      </vt:variant>
      <vt:variant>
        <vt:lpwstr>https://assets.publishing.service.gov.uk/government/uploads/system/uploads/attachment_data/file/939186/Generic_Design_Brief_Nov_2020.pdf</vt:lpwstr>
      </vt:variant>
      <vt:variant>
        <vt:lpwstr/>
      </vt:variant>
      <vt:variant>
        <vt:i4>6291511</vt:i4>
      </vt:variant>
      <vt:variant>
        <vt:i4>0</vt:i4>
      </vt:variant>
      <vt:variant>
        <vt:i4>0</vt:i4>
      </vt:variant>
      <vt:variant>
        <vt:i4>5</vt:i4>
      </vt:variant>
      <vt:variant>
        <vt:lpwstr>https://www.gov.uk/government/publications/output-specification-generic-design-brief-and-technical-annexes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2022-10-31T14:52:00Z</dcterms:created>
  <dcterms:modified xsi:type="dcterms:W3CDTF">2022-10-31T14:52:00Z</dcterms:modified>
</cp:coreProperties>
</file>