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AC32" w14:textId="3DEE54DF" w:rsidR="00CF006A" w:rsidRDefault="00000000" w:rsidP="00CF006A">
      <w:pPr>
        <w:pStyle w:val="NoSpacing"/>
        <w:jc w:val="center"/>
        <w:rPr>
          <w:b/>
          <w:bCs/>
        </w:rPr>
      </w:pPr>
      <w:r w:rsidRPr="00C25BFF">
        <w:rPr>
          <w:b/>
          <w:bCs/>
        </w:rPr>
        <w:t>Music</w:t>
      </w:r>
      <w:r w:rsidRPr="00C25BFF">
        <w:rPr>
          <w:b/>
          <w:bCs/>
          <w:spacing w:val="-3"/>
        </w:rPr>
        <w:t xml:space="preserve"> </w:t>
      </w:r>
      <w:r>
        <w:rPr>
          <w:b/>
          <w:bCs/>
        </w:rPr>
        <w:t>D</w:t>
      </w:r>
      <w:r w:rsidRPr="00C25BFF">
        <w:rPr>
          <w:b/>
          <w:bCs/>
        </w:rPr>
        <w:t>evelopment</w:t>
      </w:r>
      <w:r w:rsidRPr="00C25BFF">
        <w:rPr>
          <w:b/>
          <w:bCs/>
          <w:spacing w:val="-2"/>
        </w:rPr>
        <w:t xml:space="preserve"> </w:t>
      </w:r>
      <w:r>
        <w:rPr>
          <w:b/>
          <w:bCs/>
        </w:rPr>
        <w:t>P</w:t>
      </w:r>
      <w:r w:rsidRPr="00C25BFF">
        <w:rPr>
          <w:b/>
          <w:bCs/>
        </w:rPr>
        <w:t>lan</w:t>
      </w:r>
      <w:r w:rsidRPr="00C25BFF">
        <w:rPr>
          <w:b/>
          <w:bCs/>
          <w:spacing w:val="-1"/>
        </w:rPr>
        <w:t xml:space="preserve"> </w:t>
      </w:r>
      <w:r>
        <w:rPr>
          <w:b/>
          <w:bCs/>
        </w:rPr>
        <w:t>S</w:t>
      </w:r>
      <w:r w:rsidRPr="00C25BFF">
        <w:rPr>
          <w:b/>
          <w:bCs/>
        </w:rPr>
        <w:t>ummary</w:t>
      </w:r>
      <w:r w:rsidR="1CD2767B" w:rsidRPr="00C25BFF">
        <w:rPr>
          <w:b/>
          <w:bCs/>
        </w:rPr>
        <w:t xml:space="preserve"> 2025 to 2026</w:t>
      </w:r>
    </w:p>
    <w:p w14:paraId="5002DEEE" w14:textId="77777777" w:rsidR="00CF006A" w:rsidRPr="00C25BFF" w:rsidRDefault="00CF006A" w:rsidP="00CF006A">
      <w:pPr>
        <w:pStyle w:val="NoSpacing"/>
        <w:jc w:val="center"/>
        <w:rPr>
          <w:b/>
          <w:bCs/>
        </w:rPr>
      </w:pPr>
    </w:p>
    <w:p w14:paraId="1BE4DA99" w14:textId="77777777" w:rsidR="00CF006A" w:rsidRDefault="00000000" w:rsidP="00CF006A">
      <w:pPr>
        <w:pStyle w:val="NoSpacing"/>
        <w:jc w:val="center"/>
        <w:rPr>
          <w:rFonts w:ascii="Arial"/>
          <w:b/>
          <w:sz w:val="41"/>
        </w:rPr>
      </w:pPr>
      <w:r>
        <w:rPr>
          <w:rFonts w:ascii="Arial"/>
          <w:b/>
          <w:sz w:val="41"/>
        </w:rPr>
        <w:t>Evergreen Academy</w:t>
      </w:r>
    </w:p>
    <w:p w14:paraId="35A2F0A8" w14:textId="77777777" w:rsidR="00CF006A" w:rsidRPr="00C25BFF" w:rsidRDefault="00000000" w:rsidP="00CF006A">
      <w:pPr>
        <w:pStyle w:val="NoSpacing"/>
        <w:rPr>
          <w:b/>
          <w:bCs/>
          <w:sz w:val="28"/>
          <w:szCs w:val="28"/>
        </w:rPr>
      </w:pPr>
      <w:r w:rsidRPr="00C25BFF">
        <w:rPr>
          <w:b/>
          <w:bCs/>
          <w:sz w:val="28"/>
          <w:szCs w:val="28"/>
        </w:rPr>
        <w:t>Overview</w:t>
      </w:r>
    </w:p>
    <w:p w14:paraId="46F7250A" w14:textId="77777777" w:rsidR="00CF006A" w:rsidRDefault="00CF006A" w:rsidP="00CF006A">
      <w:pPr>
        <w:pStyle w:val="NoSpacing"/>
        <w:rPr>
          <w:rFonts w:ascii="Arial"/>
          <w:b/>
          <w:sz w:val="21"/>
        </w:rPr>
      </w:pPr>
    </w:p>
    <w:tbl>
      <w:tblPr>
        <w:tblW w:w="96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1"/>
        <w:gridCol w:w="4138"/>
      </w:tblGrid>
      <w:tr w:rsidR="00462F3E" w14:paraId="78B9F5B2" w14:textId="77777777" w:rsidTr="2988FADA">
        <w:trPr>
          <w:trHeight w:val="395"/>
        </w:trPr>
        <w:tc>
          <w:tcPr>
            <w:tcW w:w="5511" w:type="dxa"/>
            <w:shd w:val="clear" w:color="auto" w:fill="92D050"/>
          </w:tcPr>
          <w:p w14:paraId="1254B977" w14:textId="77777777" w:rsidR="00CF006A" w:rsidRPr="00C25BFF" w:rsidRDefault="00000000" w:rsidP="003D1B3F">
            <w:pPr>
              <w:pStyle w:val="NoSpacing"/>
              <w:jc w:val="center"/>
              <w:rPr>
                <w:rFonts w:ascii="Arial"/>
                <w:b/>
              </w:rPr>
            </w:pPr>
            <w:r w:rsidRPr="00C25BFF">
              <w:rPr>
                <w:rFonts w:ascii="Arial"/>
                <w:b/>
                <w:color w:val="0D0D0D"/>
              </w:rPr>
              <w:t>Detail</w:t>
            </w:r>
          </w:p>
        </w:tc>
        <w:tc>
          <w:tcPr>
            <w:tcW w:w="4138" w:type="dxa"/>
            <w:shd w:val="clear" w:color="auto" w:fill="92D050"/>
          </w:tcPr>
          <w:p w14:paraId="575BD2FC" w14:textId="77777777" w:rsidR="00CF006A" w:rsidRPr="00C25BFF" w:rsidRDefault="00000000" w:rsidP="003D1B3F">
            <w:pPr>
              <w:pStyle w:val="NoSpacing"/>
              <w:jc w:val="center"/>
              <w:rPr>
                <w:rFonts w:ascii="Arial"/>
                <w:b/>
              </w:rPr>
            </w:pPr>
            <w:r w:rsidRPr="00C25BFF">
              <w:rPr>
                <w:rFonts w:ascii="Arial"/>
                <w:b/>
                <w:color w:val="0D0D0D"/>
              </w:rPr>
              <w:t>Information</w:t>
            </w:r>
          </w:p>
        </w:tc>
      </w:tr>
      <w:tr w:rsidR="00462F3E" w14:paraId="3F1FCF22" w14:textId="77777777" w:rsidTr="2988FADA">
        <w:trPr>
          <w:trHeight w:val="395"/>
        </w:trPr>
        <w:tc>
          <w:tcPr>
            <w:tcW w:w="5511" w:type="dxa"/>
          </w:tcPr>
          <w:p w14:paraId="111399F0" w14:textId="77777777" w:rsidR="00CF006A" w:rsidRPr="00C25BFF" w:rsidRDefault="00000000" w:rsidP="003D1B3F">
            <w:pPr>
              <w:pStyle w:val="NoSpacing"/>
            </w:pPr>
            <w:r w:rsidRPr="00C25BFF">
              <w:rPr>
                <w:color w:val="0D0D0D"/>
              </w:rPr>
              <w:t>The academic</w:t>
            </w:r>
            <w:r w:rsidRPr="00C25BFF">
              <w:rPr>
                <w:color w:val="0D0D0D"/>
                <w:spacing w:val="-3"/>
              </w:rPr>
              <w:t xml:space="preserve"> </w:t>
            </w:r>
            <w:r w:rsidRPr="00C25BFF">
              <w:rPr>
                <w:color w:val="0D0D0D"/>
              </w:rPr>
              <w:t>year</w:t>
            </w:r>
            <w:r w:rsidRPr="00C25BFF">
              <w:rPr>
                <w:color w:val="0D0D0D"/>
                <w:spacing w:val="-2"/>
              </w:rPr>
              <w:t xml:space="preserve"> </w:t>
            </w:r>
            <w:r w:rsidRPr="00C25BFF">
              <w:rPr>
                <w:color w:val="0D0D0D"/>
              </w:rPr>
              <w:t>that</w:t>
            </w:r>
            <w:r w:rsidRPr="00C25BFF">
              <w:rPr>
                <w:color w:val="0D0D0D"/>
                <w:spacing w:val="-2"/>
              </w:rPr>
              <w:t xml:space="preserve"> </w:t>
            </w:r>
            <w:r w:rsidRPr="00C25BFF">
              <w:rPr>
                <w:color w:val="0D0D0D"/>
              </w:rPr>
              <w:t>this</w:t>
            </w:r>
            <w:r w:rsidRPr="00C25BFF">
              <w:rPr>
                <w:color w:val="0D0D0D"/>
                <w:spacing w:val="-2"/>
              </w:rPr>
              <w:t xml:space="preserve"> </w:t>
            </w:r>
            <w:r w:rsidRPr="00C25BFF">
              <w:rPr>
                <w:color w:val="0D0D0D"/>
              </w:rPr>
              <w:t>summary</w:t>
            </w:r>
            <w:r w:rsidRPr="00C25BFF">
              <w:rPr>
                <w:color w:val="0D0D0D"/>
                <w:spacing w:val="-5"/>
              </w:rPr>
              <w:t xml:space="preserve"> </w:t>
            </w:r>
            <w:r w:rsidRPr="00C25BFF">
              <w:rPr>
                <w:color w:val="0D0D0D"/>
              </w:rPr>
              <w:t>covers</w:t>
            </w:r>
          </w:p>
        </w:tc>
        <w:tc>
          <w:tcPr>
            <w:tcW w:w="4138" w:type="dxa"/>
          </w:tcPr>
          <w:p w14:paraId="380551CC" w14:textId="6A360696" w:rsidR="00CF006A" w:rsidRPr="00C25BFF" w:rsidRDefault="00000000" w:rsidP="003D1B3F">
            <w:pPr>
              <w:pStyle w:val="NoSpacing"/>
              <w:jc w:val="center"/>
            </w:pPr>
            <w:r w:rsidRPr="00C25BFF">
              <w:rPr>
                <w:color w:val="0D0D0D"/>
              </w:rPr>
              <w:t>202</w:t>
            </w:r>
            <w:r w:rsidR="0F23F43A" w:rsidRPr="00C25BFF">
              <w:rPr>
                <w:color w:val="0D0D0D"/>
              </w:rPr>
              <w:t>5</w:t>
            </w:r>
            <w:r w:rsidRPr="00C25BFF">
              <w:rPr>
                <w:color w:val="0D0D0D"/>
                <w:spacing w:val="-1"/>
              </w:rPr>
              <w:t xml:space="preserve"> </w:t>
            </w:r>
            <w:r w:rsidRPr="00C25BFF">
              <w:rPr>
                <w:color w:val="0D0D0D"/>
              </w:rPr>
              <w:t>-</w:t>
            </w:r>
            <w:r w:rsidRPr="00C25BFF">
              <w:rPr>
                <w:color w:val="0D0D0D"/>
                <w:spacing w:val="-2"/>
              </w:rPr>
              <w:t xml:space="preserve"> </w:t>
            </w:r>
            <w:r w:rsidRPr="00C25BFF">
              <w:rPr>
                <w:color w:val="0D0D0D"/>
              </w:rPr>
              <w:t>202</w:t>
            </w:r>
            <w:r w:rsidR="39B43B6D" w:rsidRPr="00C25BFF">
              <w:rPr>
                <w:color w:val="0D0D0D"/>
              </w:rPr>
              <w:t>6</w:t>
            </w:r>
          </w:p>
        </w:tc>
      </w:tr>
      <w:tr w:rsidR="00462F3E" w14:paraId="778645C8" w14:textId="77777777" w:rsidTr="2988FADA">
        <w:trPr>
          <w:trHeight w:val="395"/>
        </w:trPr>
        <w:tc>
          <w:tcPr>
            <w:tcW w:w="5511" w:type="dxa"/>
          </w:tcPr>
          <w:p w14:paraId="425A24E4" w14:textId="77777777" w:rsidR="00CF006A" w:rsidRPr="00C25BFF" w:rsidRDefault="00000000" w:rsidP="003D1B3F">
            <w:pPr>
              <w:pStyle w:val="NoSpacing"/>
            </w:pPr>
            <w:r w:rsidRPr="00C25BFF">
              <w:rPr>
                <w:color w:val="0D0D0D"/>
              </w:rPr>
              <w:t>Date</w:t>
            </w:r>
            <w:r w:rsidRPr="00C25BFF">
              <w:rPr>
                <w:color w:val="0D0D0D"/>
                <w:spacing w:val="-2"/>
              </w:rPr>
              <w:t xml:space="preserve"> </w:t>
            </w:r>
            <w:r w:rsidRPr="00C25BFF">
              <w:rPr>
                <w:color w:val="0D0D0D"/>
              </w:rPr>
              <w:t>this</w:t>
            </w:r>
            <w:r w:rsidRPr="00C25BFF">
              <w:rPr>
                <w:color w:val="0D0D0D"/>
                <w:spacing w:val="-2"/>
              </w:rPr>
              <w:t xml:space="preserve"> </w:t>
            </w:r>
            <w:r w:rsidRPr="00C25BFF">
              <w:rPr>
                <w:color w:val="0D0D0D"/>
              </w:rPr>
              <w:t>summary</w:t>
            </w:r>
            <w:r w:rsidRPr="00C25BFF">
              <w:rPr>
                <w:color w:val="0D0D0D"/>
                <w:spacing w:val="-3"/>
              </w:rPr>
              <w:t xml:space="preserve"> </w:t>
            </w:r>
            <w:r w:rsidRPr="00C25BFF">
              <w:rPr>
                <w:color w:val="0D0D0D"/>
              </w:rPr>
              <w:t>was</w:t>
            </w:r>
            <w:r w:rsidRPr="00C25BFF">
              <w:rPr>
                <w:color w:val="0D0D0D"/>
                <w:spacing w:val="-2"/>
              </w:rPr>
              <w:t xml:space="preserve"> </w:t>
            </w:r>
            <w:r w:rsidRPr="00C25BFF">
              <w:rPr>
                <w:color w:val="0D0D0D"/>
              </w:rPr>
              <w:t>published</w:t>
            </w:r>
          </w:p>
        </w:tc>
        <w:tc>
          <w:tcPr>
            <w:tcW w:w="4138" w:type="dxa"/>
          </w:tcPr>
          <w:p w14:paraId="17461AFE" w14:textId="77777777" w:rsidR="00CF006A" w:rsidRPr="00C25BFF" w:rsidRDefault="0DCC75F3" w:rsidP="2988FADA">
            <w:pPr>
              <w:pStyle w:val="NoSpacing"/>
              <w:jc w:val="center"/>
              <w:rPr>
                <w:color w:val="0D0D0D" w:themeColor="text1" w:themeTint="F2"/>
              </w:rPr>
            </w:pPr>
            <w:r w:rsidRPr="00C25BFF">
              <w:rPr>
                <w:color w:val="0D0D0D"/>
              </w:rPr>
              <w:t>September 2025</w:t>
            </w:r>
          </w:p>
        </w:tc>
      </w:tr>
      <w:tr w:rsidR="00462F3E" w14:paraId="14D553D2" w14:textId="77777777" w:rsidTr="2988FADA">
        <w:trPr>
          <w:trHeight w:val="395"/>
        </w:trPr>
        <w:tc>
          <w:tcPr>
            <w:tcW w:w="5511" w:type="dxa"/>
          </w:tcPr>
          <w:p w14:paraId="752FFCBE" w14:textId="77777777" w:rsidR="00CF006A" w:rsidRPr="00C25BFF" w:rsidRDefault="00000000" w:rsidP="003D1B3F">
            <w:pPr>
              <w:pStyle w:val="NoSpacing"/>
            </w:pPr>
            <w:r w:rsidRPr="00C25BFF">
              <w:rPr>
                <w:color w:val="0D0D0D"/>
              </w:rPr>
              <w:t>Date</w:t>
            </w:r>
            <w:r w:rsidRPr="00C25BFF">
              <w:rPr>
                <w:color w:val="0D0D0D"/>
                <w:spacing w:val="-3"/>
              </w:rPr>
              <w:t xml:space="preserve"> </w:t>
            </w:r>
            <w:r w:rsidRPr="00C25BFF">
              <w:rPr>
                <w:color w:val="0D0D0D"/>
              </w:rPr>
              <w:t>this</w:t>
            </w:r>
            <w:r w:rsidRPr="00C25BFF">
              <w:rPr>
                <w:color w:val="0D0D0D"/>
                <w:spacing w:val="-2"/>
              </w:rPr>
              <w:t xml:space="preserve"> </w:t>
            </w:r>
            <w:r w:rsidRPr="00C25BFF">
              <w:rPr>
                <w:color w:val="0D0D0D"/>
              </w:rPr>
              <w:t>summary</w:t>
            </w:r>
            <w:r w:rsidRPr="00C25BFF">
              <w:rPr>
                <w:color w:val="0D0D0D"/>
                <w:spacing w:val="-3"/>
              </w:rPr>
              <w:t xml:space="preserve"> </w:t>
            </w:r>
            <w:r w:rsidRPr="00C25BFF">
              <w:rPr>
                <w:color w:val="0D0D0D"/>
              </w:rPr>
              <w:t>will</w:t>
            </w:r>
            <w:r w:rsidRPr="00C25BFF">
              <w:rPr>
                <w:color w:val="0D0D0D"/>
                <w:spacing w:val="-1"/>
              </w:rPr>
              <w:t xml:space="preserve"> </w:t>
            </w:r>
            <w:r w:rsidRPr="00C25BFF">
              <w:rPr>
                <w:color w:val="0D0D0D"/>
              </w:rPr>
              <w:t>be</w:t>
            </w:r>
            <w:r w:rsidRPr="00C25BFF">
              <w:rPr>
                <w:color w:val="0D0D0D"/>
                <w:spacing w:val="-3"/>
              </w:rPr>
              <w:t xml:space="preserve"> </w:t>
            </w:r>
            <w:r w:rsidRPr="00C25BFF">
              <w:rPr>
                <w:color w:val="0D0D0D"/>
              </w:rPr>
              <w:t>reviewed</w:t>
            </w:r>
          </w:p>
        </w:tc>
        <w:tc>
          <w:tcPr>
            <w:tcW w:w="4138" w:type="dxa"/>
          </w:tcPr>
          <w:p w14:paraId="4D00053A" w14:textId="77777777" w:rsidR="00CF006A" w:rsidRPr="00C25BFF" w:rsidRDefault="11156F1F" w:rsidP="2988FADA">
            <w:pPr>
              <w:pStyle w:val="NoSpacing"/>
              <w:jc w:val="center"/>
              <w:rPr>
                <w:color w:val="0D0D0D" w:themeColor="text1" w:themeTint="F2"/>
              </w:rPr>
            </w:pPr>
            <w:r w:rsidRPr="00C25BFF">
              <w:rPr>
                <w:color w:val="0D0D0D"/>
              </w:rPr>
              <w:t>September 2026</w:t>
            </w:r>
          </w:p>
        </w:tc>
      </w:tr>
      <w:tr w:rsidR="00462F3E" w14:paraId="36FF3941" w14:textId="77777777" w:rsidTr="2988FADA">
        <w:trPr>
          <w:trHeight w:val="398"/>
        </w:trPr>
        <w:tc>
          <w:tcPr>
            <w:tcW w:w="5511" w:type="dxa"/>
          </w:tcPr>
          <w:p w14:paraId="56FD5948" w14:textId="77777777" w:rsidR="00CF006A" w:rsidRPr="00C25BFF" w:rsidRDefault="00000000" w:rsidP="003D1B3F">
            <w:pPr>
              <w:pStyle w:val="NoSpacing"/>
            </w:pPr>
            <w:r w:rsidRPr="00C25BFF">
              <w:rPr>
                <w:color w:val="0D0D0D"/>
              </w:rPr>
              <w:t>Name</w:t>
            </w:r>
            <w:r w:rsidRPr="00C25BFF">
              <w:rPr>
                <w:color w:val="0D0D0D"/>
                <w:spacing w:val="-4"/>
              </w:rPr>
              <w:t xml:space="preserve"> </w:t>
            </w:r>
            <w:r w:rsidRPr="00C25BFF">
              <w:rPr>
                <w:color w:val="0D0D0D"/>
              </w:rPr>
              <w:t>of</w:t>
            </w:r>
            <w:r w:rsidRPr="00C25BFF">
              <w:rPr>
                <w:color w:val="0D0D0D"/>
                <w:spacing w:val="1"/>
              </w:rPr>
              <w:t xml:space="preserve"> </w:t>
            </w:r>
            <w:r w:rsidRPr="00C25BFF">
              <w:rPr>
                <w:color w:val="0D0D0D"/>
              </w:rPr>
              <w:t>the</w:t>
            </w:r>
            <w:r w:rsidRPr="00C25BFF">
              <w:rPr>
                <w:color w:val="0D0D0D"/>
                <w:spacing w:val="-1"/>
              </w:rPr>
              <w:t xml:space="preserve"> </w:t>
            </w:r>
            <w:r w:rsidRPr="00C25BFF">
              <w:rPr>
                <w:color w:val="0D0D0D"/>
              </w:rPr>
              <w:t>school</w:t>
            </w:r>
            <w:r w:rsidRPr="00C25BFF">
              <w:rPr>
                <w:color w:val="0D0D0D"/>
                <w:spacing w:val="-1"/>
              </w:rPr>
              <w:t xml:space="preserve"> </w:t>
            </w:r>
            <w:r w:rsidRPr="00C25BFF">
              <w:rPr>
                <w:color w:val="0D0D0D"/>
              </w:rPr>
              <w:t>music</w:t>
            </w:r>
            <w:r w:rsidRPr="00C25BFF">
              <w:rPr>
                <w:color w:val="0D0D0D"/>
                <w:spacing w:val="-2"/>
              </w:rPr>
              <w:t xml:space="preserve"> </w:t>
            </w:r>
            <w:r w:rsidRPr="00C25BFF">
              <w:rPr>
                <w:color w:val="0D0D0D"/>
              </w:rPr>
              <w:t>lead</w:t>
            </w:r>
          </w:p>
        </w:tc>
        <w:tc>
          <w:tcPr>
            <w:tcW w:w="4138" w:type="dxa"/>
          </w:tcPr>
          <w:p w14:paraId="50570F9F" w14:textId="77777777" w:rsidR="00CF006A" w:rsidRPr="00C25BFF" w:rsidRDefault="00000000" w:rsidP="003D1B3F">
            <w:pPr>
              <w:pStyle w:val="NoSpacing"/>
              <w:jc w:val="center"/>
            </w:pPr>
            <w:r w:rsidRPr="00C25BFF">
              <w:rPr>
                <w:color w:val="0D0D0D"/>
              </w:rPr>
              <w:t>James Marston</w:t>
            </w:r>
          </w:p>
        </w:tc>
      </w:tr>
      <w:tr w:rsidR="00462F3E" w14:paraId="0EA24179" w14:textId="77777777" w:rsidTr="2988FADA">
        <w:trPr>
          <w:trHeight w:val="395"/>
        </w:trPr>
        <w:tc>
          <w:tcPr>
            <w:tcW w:w="5511" w:type="dxa"/>
          </w:tcPr>
          <w:p w14:paraId="78443B11" w14:textId="77777777" w:rsidR="00CF006A" w:rsidRPr="00C25BFF" w:rsidRDefault="00000000" w:rsidP="003D1B3F">
            <w:pPr>
              <w:pStyle w:val="NoSpacing"/>
            </w:pPr>
            <w:r w:rsidRPr="00C25BFF">
              <w:rPr>
                <w:color w:val="0D0D0D"/>
              </w:rPr>
              <w:t>Name</w:t>
            </w:r>
            <w:r w:rsidRPr="00C25BFF">
              <w:rPr>
                <w:color w:val="0D0D0D"/>
                <w:spacing w:val="-4"/>
              </w:rPr>
              <w:t xml:space="preserve"> </w:t>
            </w:r>
            <w:r w:rsidRPr="00C25BFF">
              <w:rPr>
                <w:color w:val="0D0D0D"/>
              </w:rPr>
              <w:t>of</w:t>
            </w:r>
            <w:r w:rsidRPr="00C25BFF">
              <w:rPr>
                <w:color w:val="0D0D0D"/>
                <w:spacing w:val="1"/>
              </w:rPr>
              <w:t xml:space="preserve"> </w:t>
            </w:r>
            <w:r w:rsidRPr="00C25BFF">
              <w:rPr>
                <w:color w:val="0D0D0D"/>
              </w:rPr>
              <w:t>local</w:t>
            </w:r>
            <w:r w:rsidRPr="00C25BFF">
              <w:rPr>
                <w:color w:val="0D0D0D"/>
                <w:spacing w:val="-2"/>
              </w:rPr>
              <w:t xml:space="preserve"> </w:t>
            </w:r>
            <w:r w:rsidRPr="00C25BFF">
              <w:rPr>
                <w:color w:val="0D0D0D"/>
              </w:rPr>
              <w:t>music</w:t>
            </w:r>
            <w:r w:rsidRPr="00C25BFF">
              <w:rPr>
                <w:color w:val="0D0D0D"/>
                <w:spacing w:val="-1"/>
              </w:rPr>
              <w:t xml:space="preserve"> </w:t>
            </w:r>
            <w:r w:rsidRPr="00C25BFF">
              <w:rPr>
                <w:color w:val="0D0D0D"/>
              </w:rPr>
              <w:t>hub</w:t>
            </w:r>
          </w:p>
        </w:tc>
        <w:tc>
          <w:tcPr>
            <w:tcW w:w="4138" w:type="dxa"/>
          </w:tcPr>
          <w:p w14:paraId="6C9AEDD0" w14:textId="77777777" w:rsidR="00CF006A" w:rsidRPr="00C25BFF" w:rsidRDefault="00000000" w:rsidP="003D1B3F">
            <w:pPr>
              <w:pStyle w:val="NoSpacing"/>
              <w:jc w:val="center"/>
            </w:pPr>
            <w:r w:rsidRPr="00C25BFF">
              <w:rPr>
                <w:color w:val="0D0D0D"/>
              </w:rPr>
              <w:t>Wolverhampton</w:t>
            </w:r>
            <w:r w:rsidRPr="00C25BFF">
              <w:rPr>
                <w:color w:val="0D0D0D"/>
                <w:spacing w:val="-3"/>
              </w:rPr>
              <w:t xml:space="preserve"> </w:t>
            </w:r>
            <w:r w:rsidRPr="00C25BFF">
              <w:rPr>
                <w:color w:val="0D0D0D"/>
              </w:rPr>
              <w:t>Music</w:t>
            </w:r>
            <w:r w:rsidRPr="00C25BFF">
              <w:rPr>
                <w:color w:val="0D0D0D"/>
                <w:spacing w:val="-3"/>
              </w:rPr>
              <w:t xml:space="preserve"> </w:t>
            </w:r>
            <w:r w:rsidRPr="00C25BFF">
              <w:rPr>
                <w:color w:val="0D0D0D"/>
              </w:rPr>
              <w:t>Service</w:t>
            </w:r>
          </w:p>
        </w:tc>
      </w:tr>
    </w:tbl>
    <w:p w14:paraId="01B66AA5" w14:textId="77777777" w:rsidR="00CF006A" w:rsidRDefault="00CF006A" w:rsidP="00CF006A">
      <w:pPr>
        <w:pStyle w:val="NoSpacing"/>
        <w:rPr>
          <w:sz w:val="26"/>
        </w:rPr>
      </w:pPr>
    </w:p>
    <w:tbl>
      <w:tblPr>
        <w:tblStyle w:val="TableGrid"/>
        <w:tblW w:w="0" w:type="auto"/>
        <w:tblInd w:w="108" w:type="dxa"/>
        <w:tblLook w:val="04A0" w:firstRow="1" w:lastRow="0" w:firstColumn="1" w:lastColumn="0" w:noHBand="0" w:noVBand="1"/>
      </w:tblPr>
      <w:tblGrid>
        <w:gridCol w:w="9838"/>
      </w:tblGrid>
      <w:tr w:rsidR="00462F3E" w14:paraId="1FC65467" w14:textId="77777777" w:rsidTr="2988FADA">
        <w:tc>
          <w:tcPr>
            <w:tcW w:w="9838" w:type="dxa"/>
            <w:shd w:val="clear" w:color="auto" w:fill="92D050"/>
          </w:tcPr>
          <w:p w14:paraId="4E25EB72" w14:textId="77777777" w:rsidR="00CF006A" w:rsidRPr="003F2AF2" w:rsidRDefault="00000000" w:rsidP="003D1B3F">
            <w:pPr>
              <w:pStyle w:val="NoSpacing"/>
              <w:jc w:val="center"/>
              <w:rPr>
                <w:b/>
                <w:bCs/>
              </w:rPr>
            </w:pPr>
            <w:r w:rsidRPr="003F2AF2">
              <w:rPr>
                <w:b/>
                <w:bCs/>
              </w:rPr>
              <w:t>Music Curriculum</w:t>
            </w:r>
          </w:p>
        </w:tc>
      </w:tr>
      <w:tr w:rsidR="00462F3E" w14:paraId="2F762026" w14:textId="77777777" w:rsidTr="2988FADA">
        <w:tc>
          <w:tcPr>
            <w:tcW w:w="9838" w:type="dxa"/>
          </w:tcPr>
          <w:p w14:paraId="16A0B1B0" w14:textId="5E7BBEEB" w:rsidR="00CF006A" w:rsidRDefault="00000000" w:rsidP="003D1B3F">
            <w:pPr>
              <w:pStyle w:val="NoSpacing"/>
            </w:pPr>
            <w:r>
              <w:t>Children at Evergreen are supported and challenged to:</w:t>
            </w:r>
          </w:p>
          <w:p w14:paraId="2DCD5E3E" w14:textId="77777777" w:rsidR="00CF006A" w:rsidRDefault="00CF006A" w:rsidP="003D1B3F">
            <w:pPr>
              <w:pStyle w:val="NoSpacing"/>
            </w:pPr>
          </w:p>
          <w:p w14:paraId="3AA537EE" w14:textId="77777777" w:rsidR="00CF006A" w:rsidRPr="00C25BFF" w:rsidRDefault="00000000" w:rsidP="00CF006A">
            <w:pPr>
              <w:pStyle w:val="NoSpacing"/>
              <w:numPr>
                <w:ilvl w:val="0"/>
                <w:numId w:val="1"/>
              </w:numPr>
              <w:rPr>
                <w:sz w:val="26"/>
              </w:rPr>
            </w:pPr>
            <w:r>
              <w:t xml:space="preserve">Use their voices expressively and creatively by singing songs speaking chants and rhymes play instruments. </w:t>
            </w:r>
          </w:p>
          <w:p w14:paraId="6F5F8345" w14:textId="77777777" w:rsidR="00CF006A" w:rsidRPr="00C25BFF" w:rsidRDefault="00000000" w:rsidP="00CF006A">
            <w:pPr>
              <w:pStyle w:val="NoSpacing"/>
              <w:numPr>
                <w:ilvl w:val="0"/>
                <w:numId w:val="1"/>
              </w:numPr>
              <w:rPr>
                <w:sz w:val="26"/>
              </w:rPr>
            </w:pPr>
            <w:r>
              <w:t>Listen to and understand a range of high-quality live and recorded music and experiment with, create, select and combine sounds using the interrelated dimensions of music.</w:t>
            </w:r>
          </w:p>
          <w:p w14:paraId="3E3BD7CA" w14:textId="77777777" w:rsidR="00CF006A" w:rsidRPr="00C25BFF" w:rsidRDefault="00000000" w:rsidP="00CF006A">
            <w:pPr>
              <w:pStyle w:val="NoSpacing"/>
              <w:numPr>
                <w:ilvl w:val="0"/>
                <w:numId w:val="1"/>
              </w:numPr>
              <w:rPr>
                <w:sz w:val="26"/>
              </w:rPr>
            </w:pPr>
            <w:r>
              <w:t>Sing and play musical instruments with increasing confidence and control.</w:t>
            </w:r>
          </w:p>
          <w:p w14:paraId="18D2459D" w14:textId="77777777" w:rsidR="00CF006A" w:rsidRPr="000D581A" w:rsidRDefault="00000000" w:rsidP="00CF006A">
            <w:pPr>
              <w:pStyle w:val="NoSpacing"/>
              <w:numPr>
                <w:ilvl w:val="0"/>
                <w:numId w:val="1"/>
              </w:numPr>
              <w:rPr>
                <w:sz w:val="26"/>
              </w:rPr>
            </w:pPr>
            <w:r>
              <w:t xml:space="preserve">Develop an understanding of musical composition, </w:t>
            </w:r>
            <w:proofErr w:type="spellStart"/>
            <w:r>
              <w:t>organising</w:t>
            </w:r>
            <w:proofErr w:type="spellEnd"/>
            <w:r>
              <w:t xml:space="preserve"> and manipulating ideas within musical structures and reproducing sounds from aural memory. </w:t>
            </w:r>
          </w:p>
          <w:p w14:paraId="55C55AB8" w14:textId="77777777" w:rsidR="00CF006A" w:rsidRPr="000D581A" w:rsidRDefault="00000000" w:rsidP="00CF006A">
            <w:pPr>
              <w:pStyle w:val="NoSpacing"/>
              <w:numPr>
                <w:ilvl w:val="0"/>
                <w:numId w:val="1"/>
              </w:numPr>
              <w:rPr>
                <w:sz w:val="26"/>
              </w:rPr>
            </w:pPr>
            <w:r>
              <w:t xml:space="preserve">To play and </w:t>
            </w:r>
            <w:proofErr w:type="gramStart"/>
            <w:r>
              <w:t>perform in</w:t>
            </w:r>
            <w:proofErr w:type="gramEnd"/>
            <w:r>
              <w:t xml:space="preserve"> solo and ensemble contexts, using their voices and playing musical instruments with increasing accuracy, fluency, control and expression.</w:t>
            </w:r>
          </w:p>
          <w:p w14:paraId="0F363803" w14:textId="77777777" w:rsidR="00CF006A" w:rsidRPr="000D581A" w:rsidRDefault="00000000" w:rsidP="00CF006A">
            <w:pPr>
              <w:pStyle w:val="NoSpacing"/>
              <w:numPr>
                <w:ilvl w:val="0"/>
                <w:numId w:val="1"/>
              </w:numPr>
              <w:rPr>
                <w:sz w:val="26"/>
              </w:rPr>
            </w:pPr>
            <w:r>
              <w:t>To improvise and compose music for a range of purposes and wider curriculum focuses, topics and themes.</w:t>
            </w:r>
          </w:p>
          <w:p w14:paraId="2E0F8589" w14:textId="77777777" w:rsidR="00CF006A" w:rsidRPr="00BC75B4" w:rsidRDefault="00000000" w:rsidP="00CF006A">
            <w:pPr>
              <w:pStyle w:val="NoSpacing"/>
              <w:numPr>
                <w:ilvl w:val="0"/>
                <w:numId w:val="1"/>
              </w:numPr>
              <w:rPr>
                <w:sz w:val="26"/>
              </w:rPr>
            </w:pPr>
            <w:r>
              <w:t>To listen to and recall sounds with increasing aural memory.</w:t>
            </w:r>
          </w:p>
          <w:p w14:paraId="2482A653" w14:textId="77777777" w:rsidR="00CF006A" w:rsidRPr="00BC75B4" w:rsidRDefault="00000000" w:rsidP="00CF006A">
            <w:pPr>
              <w:pStyle w:val="NoSpacing"/>
              <w:numPr>
                <w:ilvl w:val="0"/>
                <w:numId w:val="1"/>
              </w:numPr>
              <w:rPr>
                <w:sz w:val="26"/>
              </w:rPr>
            </w:pPr>
            <w:r>
              <w:t xml:space="preserve">To appreciate and understand a wide range of live and recorded music drawn from different traditions and great composers and musicians </w:t>
            </w:r>
          </w:p>
          <w:p w14:paraId="4333718E" w14:textId="77777777" w:rsidR="00CF006A" w:rsidRPr="00BC75B4" w:rsidRDefault="00000000" w:rsidP="00CF006A">
            <w:pPr>
              <w:pStyle w:val="NoSpacing"/>
              <w:numPr>
                <w:ilvl w:val="0"/>
                <w:numId w:val="1"/>
              </w:numPr>
              <w:rPr>
                <w:sz w:val="26"/>
              </w:rPr>
            </w:pPr>
            <w:r>
              <w:t xml:space="preserve">To develop an understanding of the history of music. </w:t>
            </w:r>
          </w:p>
          <w:p w14:paraId="27981F4B" w14:textId="77777777" w:rsidR="00CF006A" w:rsidRPr="00BC75B4" w:rsidRDefault="00000000" w:rsidP="00CF006A">
            <w:pPr>
              <w:pStyle w:val="NoSpacing"/>
              <w:numPr>
                <w:ilvl w:val="0"/>
                <w:numId w:val="1"/>
              </w:numPr>
              <w:rPr>
                <w:sz w:val="26"/>
              </w:rPr>
            </w:pPr>
            <w:r>
              <w:t>To explore and use media and materials.</w:t>
            </w:r>
          </w:p>
          <w:p w14:paraId="11F53765" w14:textId="77777777" w:rsidR="00CF006A" w:rsidRPr="00BC75B4" w:rsidRDefault="00CF006A" w:rsidP="003D1B3F">
            <w:pPr>
              <w:pStyle w:val="NoSpacing"/>
              <w:rPr>
                <w:sz w:val="26"/>
              </w:rPr>
            </w:pPr>
          </w:p>
          <w:p w14:paraId="075AEB8C" w14:textId="77777777" w:rsidR="00CF006A" w:rsidRDefault="00000000" w:rsidP="003D1B3F">
            <w:pPr>
              <w:pStyle w:val="NoSpacing"/>
            </w:pPr>
            <w:r>
              <w:t>At Evergreen children sing songs, make music and dance, and experiment with ways of changing them. They safely use and explore a variety of materials, tools and techniques, experimenting with form and function. At Evergreen, being imaginative is fundamental, especially as most children at Evergreen have had less opportunity to explore the curriculum and themselves than their peers. Children are supported and challenged to represent their ideas, thoughts and feelings through music.</w:t>
            </w:r>
          </w:p>
          <w:p w14:paraId="460B02C5" w14:textId="77777777" w:rsidR="00CF006A" w:rsidRDefault="00CF006A" w:rsidP="003D1B3F">
            <w:pPr>
              <w:pStyle w:val="NoSpacing"/>
              <w:rPr>
                <w:sz w:val="26"/>
              </w:rPr>
            </w:pPr>
          </w:p>
        </w:tc>
      </w:tr>
    </w:tbl>
    <w:p w14:paraId="61BC30D0" w14:textId="77777777" w:rsidR="00CF006A" w:rsidRDefault="00CF006A" w:rsidP="00CF006A"/>
    <w:tbl>
      <w:tblPr>
        <w:tblStyle w:val="TableGrid"/>
        <w:tblW w:w="0" w:type="auto"/>
        <w:tblInd w:w="108" w:type="dxa"/>
        <w:tblLook w:val="04A0" w:firstRow="1" w:lastRow="0" w:firstColumn="1" w:lastColumn="0" w:noHBand="0" w:noVBand="1"/>
      </w:tblPr>
      <w:tblGrid>
        <w:gridCol w:w="9838"/>
      </w:tblGrid>
      <w:tr w:rsidR="00462F3E" w14:paraId="00E12CE2" w14:textId="77777777" w:rsidTr="2988FADA">
        <w:tc>
          <w:tcPr>
            <w:tcW w:w="9838" w:type="dxa"/>
            <w:shd w:val="clear" w:color="auto" w:fill="92D050"/>
          </w:tcPr>
          <w:p w14:paraId="0BA981B1" w14:textId="77777777" w:rsidR="00CF006A" w:rsidRPr="003F2AF2" w:rsidRDefault="00000000" w:rsidP="003D1B3F">
            <w:pPr>
              <w:pStyle w:val="NoSpacing"/>
              <w:jc w:val="center"/>
              <w:rPr>
                <w:b/>
                <w:bCs/>
              </w:rPr>
            </w:pPr>
            <w:r w:rsidRPr="003F2AF2">
              <w:rPr>
                <w:b/>
                <w:bCs/>
              </w:rPr>
              <w:t>Musical Offer</w:t>
            </w:r>
          </w:p>
        </w:tc>
      </w:tr>
      <w:tr w:rsidR="00462F3E" w14:paraId="1FB89E68" w14:textId="77777777" w:rsidTr="2988FADA">
        <w:tc>
          <w:tcPr>
            <w:tcW w:w="9838" w:type="dxa"/>
          </w:tcPr>
          <w:p w14:paraId="59839BD0" w14:textId="77777777" w:rsidR="00CF006A" w:rsidRDefault="00000000" w:rsidP="003D1B3F">
            <w:pPr>
              <w:pStyle w:val="NoSpacing"/>
            </w:pPr>
            <w:r w:rsidRPr="00354B83">
              <w:t>At Evergreen we offer the following:</w:t>
            </w:r>
          </w:p>
          <w:p w14:paraId="28FD5FDE" w14:textId="77777777" w:rsidR="00CF006A" w:rsidRPr="00354B83" w:rsidRDefault="00CF006A" w:rsidP="003D1B3F">
            <w:pPr>
              <w:pStyle w:val="NoSpacing"/>
            </w:pPr>
          </w:p>
          <w:p w14:paraId="1B539CC5" w14:textId="77777777" w:rsidR="00CF006A" w:rsidRDefault="00000000" w:rsidP="00CF006A">
            <w:pPr>
              <w:pStyle w:val="NoSpacing"/>
              <w:numPr>
                <w:ilvl w:val="0"/>
                <w:numId w:val="2"/>
              </w:numPr>
            </w:pPr>
            <w:r>
              <w:t>Opportunity to sing within lessons, assemblies and extra-curricular opportunities such as a Christmas play and regular thematic days.</w:t>
            </w:r>
          </w:p>
          <w:p w14:paraId="71B1F23A" w14:textId="77777777" w:rsidR="00CF006A" w:rsidRDefault="00000000" w:rsidP="00CF006A">
            <w:pPr>
              <w:pStyle w:val="NoSpacing"/>
              <w:numPr>
                <w:ilvl w:val="0"/>
                <w:numId w:val="2"/>
              </w:numPr>
            </w:pPr>
            <w:r>
              <w:t>Opportunity to partake in weekly music lessons, linked to curriculum topics and areas of study.</w:t>
            </w:r>
          </w:p>
          <w:p w14:paraId="52A691E8" w14:textId="77777777" w:rsidR="00CF006A" w:rsidRDefault="00000000" w:rsidP="00CF006A">
            <w:pPr>
              <w:pStyle w:val="NoSpacing"/>
              <w:numPr>
                <w:ilvl w:val="0"/>
                <w:numId w:val="2"/>
              </w:numPr>
            </w:pPr>
            <w:r>
              <w:t>Opportunities to dance and sing during cool kids' sessions.</w:t>
            </w:r>
          </w:p>
          <w:p w14:paraId="5B384E6A" w14:textId="093EE605" w:rsidR="00CF006A" w:rsidRDefault="00000000" w:rsidP="00CF006A">
            <w:pPr>
              <w:pStyle w:val="NoSpacing"/>
              <w:numPr>
                <w:ilvl w:val="0"/>
                <w:numId w:val="2"/>
              </w:numPr>
            </w:pPr>
            <w:r>
              <w:t xml:space="preserve">Opportunities to play a range of instruments. </w:t>
            </w:r>
          </w:p>
          <w:p w14:paraId="1A25303F" w14:textId="77777777" w:rsidR="00CF006A" w:rsidRPr="00354B83" w:rsidRDefault="00CF006A" w:rsidP="003D1B3F">
            <w:pPr>
              <w:pStyle w:val="NoSpacing"/>
              <w:ind w:left="720"/>
            </w:pPr>
          </w:p>
        </w:tc>
      </w:tr>
    </w:tbl>
    <w:p w14:paraId="08A1B422" w14:textId="77777777" w:rsidR="00CF006A" w:rsidRDefault="00CF006A" w:rsidP="2988FADA">
      <w:pPr>
        <w:pStyle w:val="NoSpacing"/>
        <w:rPr>
          <w:sz w:val="26"/>
          <w:szCs w:val="26"/>
        </w:rPr>
      </w:pPr>
    </w:p>
    <w:p w14:paraId="05F8FF40" w14:textId="0246C3BC" w:rsidR="2988FADA" w:rsidRDefault="2988FADA" w:rsidP="2988FADA">
      <w:pPr>
        <w:pStyle w:val="NoSpacing"/>
        <w:rPr>
          <w:sz w:val="26"/>
          <w:szCs w:val="26"/>
        </w:rPr>
      </w:pPr>
    </w:p>
    <w:p w14:paraId="3E88203E" w14:textId="77777777" w:rsidR="00CF006A" w:rsidRDefault="00CF006A" w:rsidP="00CF006A">
      <w:pPr>
        <w:pStyle w:val="NoSpacing"/>
        <w:rPr>
          <w:sz w:val="26"/>
        </w:rPr>
      </w:pPr>
    </w:p>
    <w:tbl>
      <w:tblPr>
        <w:tblStyle w:val="TableGrid"/>
        <w:tblW w:w="0" w:type="auto"/>
        <w:tblInd w:w="108" w:type="dxa"/>
        <w:tblLook w:val="04A0" w:firstRow="1" w:lastRow="0" w:firstColumn="1" w:lastColumn="0" w:noHBand="0" w:noVBand="1"/>
      </w:tblPr>
      <w:tblGrid>
        <w:gridCol w:w="9838"/>
      </w:tblGrid>
      <w:tr w:rsidR="00462F3E" w14:paraId="34079512" w14:textId="77777777" w:rsidTr="2988FADA">
        <w:trPr>
          <w:trHeight w:val="375"/>
        </w:trPr>
        <w:tc>
          <w:tcPr>
            <w:tcW w:w="9838" w:type="dxa"/>
            <w:shd w:val="clear" w:color="auto" w:fill="92D050"/>
          </w:tcPr>
          <w:p w14:paraId="0749C497" w14:textId="77777777" w:rsidR="00CF006A" w:rsidRPr="003F2AF2" w:rsidRDefault="00000000" w:rsidP="003D1B3F">
            <w:pPr>
              <w:pStyle w:val="NoSpacing"/>
              <w:jc w:val="center"/>
              <w:rPr>
                <w:b/>
                <w:bCs/>
              </w:rPr>
            </w:pPr>
            <w:r w:rsidRPr="003F2AF2">
              <w:rPr>
                <w:b/>
                <w:bCs/>
              </w:rPr>
              <w:t>Extra-Curricular Music</w:t>
            </w:r>
          </w:p>
        </w:tc>
      </w:tr>
      <w:tr w:rsidR="00462F3E" w14:paraId="11896C4F" w14:textId="77777777" w:rsidTr="2988FADA">
        <w:tc>
          <w:tcPr>
            <w:tcW w:w="9838" w:type="dxa"/>
          </w:tcPr>
          <w:p w14:paraId="5A92AA06" w14:textId="1F969258" w:rsidR="00CF006A" w:rsidRDefault="00000000" w:rsidP="00CF006A">
            <w:pPr>
              <w:pStyle w:val="NoSpacing"/>
              <w:numPr>
                <w:ilvl w:val="0"/>
                <w:numId w:val="3"/>
              </w:numPr>
            </w:pPr>
            <w:r>
              <w:t>Annual school performance for all children across Evergreen</w:t>
            </w:r>
          </w:p>
          <w:p w14:paraId="47918FBB" w14:textId="77777777" w:rsidR="00CF006A" w:rsidRDefault="00000000" w:rsidP="00CF006A">
            <w:pPr>
              <w:pStyle w:val="NoSpacing"/>
              <w:numPr>
                <w:ilvl w:val="0"/>
                <w:numId w:val="3"/>
              </w:numPr>
            </w:pPr>
            <w:r>
              <w:t xml:space="preserve">Musical opportunity for children in cool </w:t>
            </w:r>
            <w:proofErr w:type="gramStart"/>
            <w:r>
              <w:t>kids</w:t>
            </w:r>
            <w:proofErr w:type="gramEnd"/>
            <w:r>
              <w:t xml:space="preserve"> sessions</w:t>
            </w:r>
          </w:p>
          <w:p w14:paraId="3643D3D3" w14:textId="77777777" w:rsidR="00CF006A" w:rsidRDefault="00000000" w:rsidP="00CF006A">
            <w:pPr>
              <w:pStyle w:val="NoSpacing"/>
              <w:numPr>
                <w:ilvl w:val="0"/>
                <w:numId w:val="3"/>
              </w:numPr>
            </w:pPr>
            <w:r>
              <w:t xml:space="preserve">Whole school </w:t>
            </w:r>
            <w:proofErr w:type="gramStart"/>
            <w:r>
              <w:t>singing</w:t>
            </w:r>
            <w:proofErr w:type="gramEnd"/>
            <w:r>
              <w:t xml:space="preserve"> and performance opportunities.</w:t>
            </w:r>
          </w:p>
          <w:p w14:paraId="632205CA" w14:textId="6F81A1BD" w:rsidR="00CF006A" w:rsidRDefault="00000000" w:rsidP="00CF006A">
            <w:pPr>
              <w:pStyle w:val="NoSpacing"/>
              <w:numPr>
                <w:ilvl w:val="0"/>
                <w:numId w:val="3"/>
              </w:numPr>
            </w:pPr>
            <w:r>
              <w:t>Music sessions</w:t>
            </w:r>
          </w:p>
          <w:p w14:paraId="2B4502CE" w14:textId="77777777" w:rsidR="00CF006A" w:rsidRPr="00354B83" w:rsidRDefault="00CF006A" w:rsidP="003D1B3F">
            <w:pPr>
              <w:pStyle w:val="NoSpacing"/>
              <w:ind w:left="720"/>
            </w:pPr>
          </w:p>
        </w:tc>
      </w:tr>
    </w:tbl>
    <w:p w14:paraId="600CD383" w14:textId="77777777" w:rsidR="00CF006A" w:rsidRDefault="00CF006A" w:rsidP="00CF006A"/>
    <w:tbl>
      <w:tblPr>
        <w:tblStyle w:val="TableGrid"/>
        <w:tblW w:w="0" w:type="auto"/>
        <w:tblInd w:w="108" w:type="dxa"/>
        <w:tblLook w:val="04A0" w:firstRow="1" w:lastRow="0" w:firstColumn="1" w:lastColumn="0" w:noHBand="0" w:noVBand="1"/>
      </w:tblPr>
      <w:tblGrid>
        <w:gridCol w:w="9838"/>
      </w:tblGrid>
      <w:tr w:rsidR="00462F3E" w14:paraId="17B3FFBF" w14:textId="77777777" w:rsidTr="2988FADA">
        <w:tc>
          <w:tcPr>
            <w:tcW w:w="9838" w:type="dxa"/>
            <w:shd w:val="clear" w:color="auto" w:fill="92D050"/>
          </w:tcPr>
          <w:p w14:paraId="671B26FF" w14:textId="77777777" w:rsidR="00CF006A" w:rsidRPr="003F2AF2" w:rsidRDefault="00000000" w:rsidP="003D1B3F">
            <w:pPr>
              <w:pStyle w:val="NoSpacing"/>
              <w:jc w:val="center"/>
              <w:rPr>
                <w:b/>
                <w:bCs/>
              </w:rPr>
            </w:pPr>
            <w:r w:rsidRPr="003F2AF2">
              <w:rPr>
                <w:b/>
                <w:bCs/>
              </w:rPr>
              <w:t>Musical Experiences</w:t>
            </w:r>
          </w:p>
        </w:tc>
      </w:tr>
      <w:tr w:rsidR="00462F3E" w14:paraId="69D276F0" w14:textId="77777777" w:rsidTr="2988FADA">
        <w:tc>
          <w:tcPr>
            <w:tcW w:w="9838" w:type="dxa"/>
          </w:tcPr>
          <w:p w14:paraId="6F670692" w14:textId="77777777" w:rsidR="00CF006A" w:rsidRDefault="00000000" w:rsidP="00CF006A">
            <w:pPr>
              <w:pStyle w:val="NoSpacing"/>
              <w:numPr>
                <w:ilvl w:val="0"/>
                <w:numId w:val="4"/>
              </w:numPr>
            </w:pPr>
            <w:r>
              <w:t>To</w:t>
            </w:r>
            <w:r>
              <w:rPr>
                <w:spacing w:val="-3"/>
              </w:rPr>
              <w:t xml:space="preserve"> </w:t>
            </w:r>
            <w:r>
              <w:t>perform</w:t>
            </w:r>
            <w:r>
              <w:rPr>
                <w:spacing w:val="-1"/>
              </w:rPr>
              <w:t xml:space="preserve"> </w:t>
            </w:r>
            <w:r>
              <w:t>in</w:t>
            </w:r>
            <w:r>
              <w:rPr>
                <w:spacing w:val="-3"/>
              </w:rPr>
              <w:t xml:space="preserve"> </w:t>
            </w:r>
            <w:r>
              <w:t>assemblies.</w:t>
            </w:r>
          </w:p>
          <w:p w14:paraId="5E73F41E" w14:textId="77777777" w:rsidR="00CF006A" w:rsidRDefault="00000000" w:rsidP="00CF006A">
            <w:pPr>
              <w:pStyle w:val="NoSpacing"/>
              <w:numPr>
                <w:ilvl w:val="0"/>
                <w:numId w:val="4"/>
              </w:numPr>
            </w:pPr>
            <w:r>
              <w:t>To</w:t>
            </w:r>
            <w:r>
              <w:rPr>
                <w:spacing w:val="-2"/>
              </w:rPr>
              <w:t xml:space="preserve"> </w:t>
            </w:r>
            <w:r>
              <w:t>perform in</w:t>
            </w:r>
            <w:r>
              <w:rPr>
                <w:spacing w:val="-3"/>
              </w:rPr>
              <w:t xml:space="preserve"> </w:t>
            </w:r>
            <w:r>
              <w:t>musical</w:t>
            </w:r>
            <w:r>
              <w:rPr>
                <w:spacing w:val="-2"/>
              </w:rPr>
              <w:t xml:space="preserve"> </w:t>
            </w:r>
            <w:r>
              <w:t>plays in</w:t>
            </w:r>
            <w:r>
              <w:rPr>
                <w:spacing w:val="-1"/>
              </w:rPr>
              <w:t xml:space="preserve"> </w:t>
            </w:r>
            <w:r>
              <w:t>school.</w:t>
            </w:r>
          </w:p>
          <w:p w14:paraId="2168FE17" w14:textId="77777777" w:rsidR="00CF006A" w:rsidRDefault="00000000" w:rsidP="00CF006A">
            <w:pPr>
              <w:pStyle w:val="NoSpacing"/>
              <w:numPr>
                <w:ilvl w:val="0"/>
                <w:numId w:val="4"/>
              </w:numPr>
            </w:pPr>
            <w:r>
              <w:t>To</w:t>
            </w:r>
            <w:r>
              <w:rPr>
                <w:spacing w:val="-4"/>
              </w:rPr>
              <w:t xml:space="preserve"> </w:t>
            </w:r>
            <w:r>
              <w:t>have</w:t>
            </w:r>
            <w:r>
              <w:rPr>
                <w:spacing w:val="-2"/>
              </w:rPr>
              <w:t xml:space="preserve"> </w:t>
            </w:r>
            <w:r>
              <w:t>a</w:t>
            </w:r>
            <w:r>
              <w:rPr>
                <w:spacing w:val="-1"/>
              </w:rPr>
              <w:t xml:space="preserve"> </w:t>
            </w:r>
            <w:r>
              <w:t>visiting</w:t>
            </w:r>
            <w:r>
              <w:rPr>
                <w:spacing w:val="-4"/>
              </w:rPr>
              <w:t xml:space="preserve"> </w:t>
            </w:r>
            <w:r>
              <w:t>musical</w:t>
            </w:r>
            <w:r>
              <w:rPr>
                <w:spacing w:val="-2"/>
              </w:rPr>
              <w:t xml:space="preserve"> </w:t>
            </w:r>
            <w:r>
              <w:t>performance</w:t>
            </w:r>
            <w:r>
              <w:rPr>
                <w:spacing w:val="-2"/>
              </w:rPr>
              <w:t xml:space="preserve"> </w:t>
            </w:r>
            <w:r>
              <w:t>within</w:t>
            </w:r>
            <w:r>
              <w:rPr>
                <w:spacing w:val="-2"/>
              </w:rPr>
              <w:t xml:space="preserve"> </w:t>
            </w:r>
            <w:r>
              <w:t>the school.</w:t>
            </w:r>
          </w:p>
          <w:p w14:paraId="53E86E01" w14:textId="6963D436" w:rsidR="00CF006A" w:rsidRDefault="00000000" w:rsidP="00CF006A">
            <w:pPr>
              <w:pStyle w:val="NoSpacing"/>
              <w:numPr>
                <w:ilvl w:val="0"/>
                <w:numId w:val="4"/>
              </w:numPr>
            </w:pPr>
            <w:r>
              <w:t>Musi</w:t>
            </w:r>
            <w:r w:rsidR="2A5B2D1C">
              <w:t>c</w:t>
            </w:r>
            <w:r>
              <w:t xml:space="preserve"> sessions</w:t>
            </w:r>
          </w:p>
          <w:p w14:paraId="16D0F84E" w14:textId="77777777" w:rsidR="00CF006A" w:rsidRPr="00354B83" w:rsidRDefault="00CF006A" w:rsidP="003D1B3F">
            <w:pPr>
              <w:pStyle w:val="NoSpacing"/>
              <w:ind w:left="720"/>
            </w:pPr>
          </w:p>
        </w:tc>
      </w:tr>
    </w:tbl>
    <w:p w14:paraId="4A29D4A4" w14:textId="77777777" w:rsidR="00CF006A" w:rsidRPr="003F2AF2" w:rsidRDefault="00CF006A" w:rsidP="00CF006A">
      <w:pPr>
        <w:pStyle w:val="NoSpacing"/>
      </w:pPr>
    </w:p>
    <w:tbl>
      <w:tblPr>
        <w:tblStyle w:val="TableGrid"/>
        <w:tblW w:w="0" w:type="auto"/>
        <w:tblInd w:w="108" w:type="dxa"/>
        <w:tblLook w:val="04A0" w:firstRow="1" w:lastRow="0" w:firstColumn="1" w:lastColumn="0" w:noHBand="0" w:noVBand="1"/>
      </w:tblPr>
      <w:tblGrid>
        <w:gridCol w:w="9838"/>
      </w:tblGrid>
      <w:tr w:rsidR="00462F3E" w14:paraId="4E13C97B" w14:textId="77777777" w:rsidTr="2988FADA">
        <w:tc>
          <w:tcPr>
            <w:tcW w:w="9838" w:type="dxa"/>
            <w:shd w:val="clear" w:color="auto" w:fill="92D050"/>
          </w:tcPr>
          <w:p w14:paraId="41CF704B" w14:textId="77777777" w:rsidR="00CF006A" w:rsidRPr="003F2AF2" w:rsidRDefault="00000000" w:rsidP="003D1B3F">
            <w:pPr>
              <w:pStyle w:val="NoSpacing"/>
              <w:jc w:val="center"/>
              <w:rPr>
                <w:b/>
                <w:bCs/>
              </w:rPr>
            </w:pPr>
            <w:r w:rsidRPr="003F2AF2">
              <w:rPr>
                <w:b/>
                <w:bCs/>
              </w:rPr>
              <w:t>Development of Music at Evergreen</w:t>
            </w:r>
          </w:p>
        </w:tc>
      </w:tr>
      <w:tr w:rsidR="00462F3E" w14:paraId="50AA05AF" w14:textId="77777777" w:rsidTr="2988FADA">
        <w:tc>
          <w:tcPr>
            <w:tcW w:w="9838" w:type="dxa"/>
          </w:tcPr>
          <w:p w14:paraId="58C55584" w14:textId="6CAFE48D" w:rsidR="00CF006A" w:rsidRDefault="00000000" w:rsidP="003D1B3F">
            <w:pPr>
              <w:pStyle w:val="NoSpacing"/>
            </w:pPr>
            <w:r>
              <w:t xml:space="preserve">Ensure children have access to quality and adequate resources and equipment. </w:t>
            </w:r>
          </w:p>
          <w:p w14:paraId="256E9D78" w14:textId="77777777" w:rsidR="00CF006A" w:rsidRDefault="00CF006A" w:rsidP="003D1B3F">
            <w:pPr>
              <w:pStyle w:val="NoSpacing"/>
            </w:pPr>
          </w:p>
          <w:p w14:paraId="1F9BC961" w14:textId="77777777" w:rsidR="00CF006A" w:rsidRDefault="00000000" w:rsidP="003D1B3F">
            <w:pPr>
              <w:pStyle w:val="NoSpacing"/>
            </w:pPr>
            <w:r>
              <w:t xml:space="preserve">Develop staff knowledge of the practical, and theoretical knowledge of music alongside the required components and sequences so that staff successfully adapt teaching and learning to deliver important concepts and anticipate and address misconceptions so that our children can close gaps with their mainstream peers. </w:t>
            </w:r>
          </w:p>
          <w:p w14:paraId="36895E56" w14:textId="77777777" w:rsidR="00CF006A" w:rsidRDefault="00CF006A" w:rsidP="003D1B3F">
            <w:pPr>
              <w:pStyle w:val="NoSpacing"/>
            </w:pPr>
          </w:p>
          <w:p w14:paraId="4EF4E9C0" w14:textId="77777777" w:rsidR="00CF006A" w:rsidRDefault="00000000" w:rsidP="003D1B3F">
            <w:pPr>
              <w:pStyle w:val="NoSpacing"/>
            </w:pPr>
            <w:r>
              <w:t xml:space="preserve">Develop and forge links with mainstream and peripatetic partners so that our children can engage with their peers in mainstream and special settings and ultimately support collaborative working and support transition.  </w:t>
            </w:r>
          </w:p>
          <w:p w14:paraId="24B842CB" w14:textId="77777777" w:rsidR="00CF006A" w:rsidRDefault="00CF006A" w:rsidP="003D1B3F">
            <w:pPr>
              <w:pStyle w:val="NoSpacing"/>
            </w:pPr>
          </w:p>
          <w:p w14:paraId="4BE729A1" w14:textId="77777777" w:rsidR="00CF006A" w:rsidRDefault="00000000" w:rsidP="003D1B3F">
            <w:pPr>
              <w:pStyle w:val="NoSpacing"/>
            </w:pPr>
            <w:r>
              <w:t xml:space="preserve">Undertake more bespoke subject-specific theme days so that children can apply previous learning and engage in new learning in more creative and immersive learning opportunities and contexts.  </w:t>
            </w:r>
          </w:p>
          <w:p w14:paraId="7E34F50E" w14:textId="77777777" w:rsidR="00CF006A" w:rsidRPr="003F2AF2" w:rsidRDefault="00CF006A" w:rsidP="003D1B3F">
            <w:pPr>
              <w:pStyle w:val="NoSpacing"/>
            </w:pPr>
          </w:p>
        </w:tc>
      </w:tr>
    </w:tbl>
    <w:p w14:paraId="69923C72" w14:textId="77777777" w:rsidR="00CF006A" w:rsidRDefault="00CF006A"/>
    <w:sectPr w:rsidR="00CF006A" w:rsidSect="00CF00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1289"/>
    <w:multiLevelType w:val="hybridMultilevel"/>
    <w:tmpl w:val="786E8156"/>
    <w:lvl w:ilvl="0" w:tplc="4A46B480">
      <w:start w:val="1"/>
      <w:numFmt w:val="bullet"/>
      <w:lvlText w:val=""/>
      <w:lvlJc w:val="left"/>
      <w:pPr>
        <w:ind w:left="720" w:hanging="360"/>
      </w:pPr>
      <w:rPr>
        <w:rFonts w:ascii="Symbol" w:hAnsi="Symbol" w:hint="default"/>
      </w:rPr>
    </w:lvl>
    <w:lvl w:ilvl="1" w:tplc="2B84D9D4" w:tentative="1">
      <w:start w:val="1"/>
      <w:numFmt w:val="bullet"/>
      <w:lvlText w:val="o"/>
      <w:lvlJc w:val="left"/>
      <w:pPr>
        <w:ind w:left="1440" w:hanging="360"/>
      </w:pPr>
      <w:rPr>
        <w:rFonts w:ascii="Courier New" w:hAnsi="Courier New" w:cs="Courier New" w:hint="default"/>
      </w:rPr>
    </w:lvl>
    <w:lvl w:ilvl="2" w:tplc="3362AED8" w:tentative="1">
      <w:start w:val="1"/>
      <w:numFmt w:val="bullet"/>
      <w:lvlText w:val=""/>
      <w:lvlJc w:val="left"/>
      <w:pPr>
        <w:ind w:left="2160" w:hanging="360"/>
      </w:pPr>
      <w:rPr>
        <w:rFonts w:ascii="Wingdings" w:hAnsi="Wingdings" w:hint="default"/>
      </w:rPr>
    </w:lvl>
    <w:lvl w:ilvl="3" w:tplc="2AC6579C" w:tentative="1">
      <w:start w:val="1"/>
      <w:numFmt w:val="bullet"/>
      <w:lvlText w:val=""/>
      <w:lvlJc w:val="left"/>
      <w:pPr>
        <w:ind w:left="2880" w:hanging="360"/>
      </w:pPr>
      <w:rPr>
        <w:rFonts w:ascii="Symbol" w:hAnsi="Symbol" w:hint="default"/>
      </w:rPr>
    </w:lvl>
    <w:lvl w:ilvl="4" w:tplc="65444C3A" w:tentative="1">
      <w:start w:val="1"/>
      <w:numFmt w:val="bullet"/>
      <w:lvlText w:val="o"/>
      <w:lvlJc w:val="left"/>
      <w:pPr>
        <w:ind w:left="3600" w:hanging="360"/>
      </w:pPr>
      <w:rPr>
        <w:rFonts w:ascii="Courier New" w:hAnsi="Courier New" w:cs="Courier New" w:hint="default"/>
      </w:rPr>
    </w:lvl>
    <w:lvl w:ilvl="5" w:tplc="E4DC4DB8" w:tentative="1">
      <w:start w:val="1"/>
      <w:numFmt w:val="bullet"/>
      <w:lvlText w:val=""/>
      <w:lvlJc w:val="left"/>
      <w:pPr>
        <w:ind w:left="4320" w:hanging="360"/>
      </w:pPr>
      <w:rPr>
        <w:rFonts w:ascii="Wingdings" w:hAnsi="Wingdings" w:hint="default"/>
      </w:rPr>
    </w:lvl>
    <w:lvl w:ilvl="6" w:tplc="F6D83FA2" w:tentative="1">
      <w:start w:val="1"/>
      <w:numFmt w:val="bullet"/>
      <w:lvlText w:val=""/>
      <w:lvlJc w:val="left"/>
      <w:pPr>
        <w:ind w:left="5040" w:hanging="360"/>
      </w:pPr>
      <w:rPr>
        <w:rFonts w:ascii="Symbol" w:hAnsi="Symbol" w:hint="default"/>
      </w:rPr>
    </w:lvl>
    <w:lvl w:ilvl="7" w:tplc="7FCAC8F8" w:tentative="1">
      <w:start w:val="1"/>
      <w:numFmt w:val="bullet"/>
      <w:lvlText w:val="o"/>
      <w:lvlJc w:val="left"/>
      <w:pPr>
        <w:ind w:left="5760" w:hanging="360"/>
      </w:pPr>
      <w:rPr>
        <w:rFonts w:ascii="Courier New" w:hAnsi="Courier New" w:cs="Courier New" w:hint="default"/>
      </w:rPr>
    </w:lvl>
    <w:lvl w:ilvl="8" w:tplc="66428102" w:tentative="1">
      <w:start w:val="1"/>
      <w:numFmt w:val="bullet"/>
      <w:lvlText w:val=""/>
      <w:lvlJc w:val="left"/>
      <w:pPr>
        <w:ind w:left="6480" w:hanging="360"/>
      </w:pPr>
      <w:rPr>
        <w:rFonts w:ascii="Wingdings" w:hAnsi="Wingdings" w:hint="default"/>
      </w:rPr>
    </w:lvl>
  </w:abstractNum>
  <w:abstractNum w:abstractNumId="1" w15:restartNumberingAfterBreak="0">
    <w:nsid w:val="2D3D3F32"/>
    <w:multiLevelType w:val="hybridMultilevel"/>
    <w:tmpl w:val="39B667C4"/>
    <w:lvl w:ilvl="0" w:tplc="8848D64E">
      <w:start w:val="1"/>
      <w:numFmt w:val="bullet"/>
      <w:lvlText w:val=""/>
      <w:lvlJc w:val="left"/>
      <w:pPr>
        <w:ind w:left="720" w:hanging="360"/>
      </w:pPr>
      <w:rPr>
        <w:rFonts w:ascii="Symbol" w:hAnsi="Symbol" w:hint="default"/>
      </w:rPr>
    </w:lvl>
    <w:lvl w:ilvl="1" w:tplc="2E5856CC" w:tentative="1">
      <w:start w:val="1"/>
      <w:numFmt w:val="bullet"/>
      <w:lvlText w:val="o"/>
      <w:lvlJc w:val="left"/>
      <w:pPr>
        <w:ind w:left="1440" w:hanging="360"/>
      </w:pPr>
      <w:rPr>
        <w:rFonts w:ascii="Courier New" w:hAnsi="Courier New" w:cs="Courier New" w:hint="default"/>
      </w:rPr>
    </w:lvl>
    <w:lvl w:ilvl="2" w:tplc="417CC5F0" w:tentative="1">
      <w:start w:val="1"/>
      <w:numFmt w:val="bullet"/>
      <w:lvlText w:val=""/>
      <w:lvlJc w:val="left"/>
      <w:pPr>
        <w:ind w:left="2160" w:hanging="360"/>
      </w:pPr>
      <w:rPr>
        <w:rFonts w:ascii="Wingdings" w:hAnsi="Wingdings" w:hint="default"/>
      </w:rPr>
    </w:lvl>
    <w:lvl w:ilvl="3" w:tplc="1E4CC32A" w:tentative="1">
      <w:start w:val="1"/>
      <w:numFmt w:val="bullet"/>
      <w:lvlText w:val=""/>
      <w:lvlJc w:val="left"/>
      <w:pPr>
        <w:ind w:left="2880" w:hanging="360"/>
      </w:pPr>
      <w:rPr>
        <w:rFonts w:ascii="Symbol" w:hAnsi="Symbol" w:hint="default"/>
      </w:rPr>
    </w:lvl>
    <w:lvl w:ilvl="4" w:tplc="A24E301E" w:tentative="1">
      <w:start w:val="1"/>
      <w:numFmt w:val="bullet"/>
      <w:lvlText w:val="o"/>
      <w:lvlJc w:val="left"/>
      <w:pPr>
        <w:ind w:left="3600" w:hanging="360"/>
      </w:pPr>
      <w:rPr>
        <w:rFonts w:ascii="Courier New" w:hAnsi="Courier New" w:cs="Courier New" w:hint="default"/>
      </w:rPr>
    </w:lvl>
    <w:lvl w:ilvl="5" w:tplc="6C54746A" w:tentative="1">
      <w:start w:val="1"/>
      <w:numFmt w:val="bullet"/>
      <w:lvlText w:val=""/>
      <w:lvlJc w:val="left"/>
      <w:pPr>
        <w:ind w:left="4320" w:hanging="360"/>
      </w:pPr>
      <w:rPr>
        <w:rFonts w:ascii="Wingdings" w:hAnsi="Wingdings" w:hint="default"/>
      </w:rPr>
    </w:lvl>
    <w:lvl w:ilvl="6" w:tplc="8774E7F6" w:tentative="1">
      <w:start w:val="1"/>
      <w:numFmt w:val="bullet"/>
      <w:lvlText w:val=""/>
      <w:lvlJc w:val="left"/>
      <w:pPr>
        <w:ind w:left="5040" w:hanging="360"/>
      </w:pPr>
      <w:rPr>
        <w:rFonts w:ascii="Symbol" w:hAnsi="Symbol" w:hint="default"/>
      </w:rPr>
    </w:lvl>
    <w:lvl w:ilvl="7" w:tplc="4408788A" w:tentative="1">
      <w:start w:val="1"/>
      <w:numFmt w:val="bullet"/>
      <w:lvlText w:val="o"/>
      <w:lvlJc w:val="left"/>
      <w:pPr>
        <w:ind w:left="5760" w:hanging="360"/>
      </w:pPr>
      <w:rPr>
        <w:rFonts w:ascii="Courier New" w:hAnsi="Courier New" w:cs="Courier New" w:hint="default"/>
      </w:rPr>
    </w:lvl>
    <w:lvl w:ilvl="8" w:tplc="C2966598" w:tentative="1">
      <w:start w:val="1"/>
      <w:numFmt w:val="bullet"/>
      <w:lvlText w:val=""/>
      <w:lvlJc w:val="left"/>
      <w:pPr>
        <w:ind w:left="6480" w:hanging="360"/>
      </w:pPr>
      <w:rPr>
        <w:rFonts w:ascii="Wingdings" w:hAnsi="Wingdings" w:hint="default"/>
      </w:rPr>
    </w:lvl>
  </w:abstractNum>
  <w:abstractNum w:abstractNumId="2" w15:restartNumberingAfterBreak="0">
    <w:nsid w:val="579A6A74"/>
    <w:multiLevelType w:val="hybridMultilevel"/>
    <w:tmpl w:val="4A6C9C46"/>
    <w:lvl w:ilvl="0" w:tplc="90CC8748">
      <w:start w:val="1"/>
      <w:numFmt w:val="bullet"/>
      <w:lvlText w:val=""/>
      <w:lvlJc w:val="left"/>
      <w:pPr>
        <w:ind w:left="720" w:hanging="360"/>
      </w:pPr>
      <w:rPr>
        <w:rFonts w:ascii="Symbol" w:hAnsi="Symbol" w:hint="default"/>
      </w:rPr>
    </w:lvl>
    <w:lvl w:ilvl="1" w:tplc="7DF8370C" w:tentative="1">
      <w:start w:val="1"/>
      <w:numFmt w:val="bullet"/>
      <w:lvlText w:val="o"/>
      <w:lvlJc w:val="left"/>
      <w:pPr>
        <w:ind w:left="1440" w:hanging="360"/>
      </w:pPr>
      <w:rPr>
        <w:rFonts w:ascii="Courier New" w:hAnsi="Courier New" w:cs="Courier New" w:hint="default"/>
      </w:rPr>
    </w:lvl>
    <w:lvl w:ilvl="2" w:tplc="18803C02" w:tentative="1">
      <w:start w:val="1"/>
      <w:numFmt w:val="bullet"/>
      <w:lvlText w:val=""/>
      <w:lvlJc w:val="left"/>
      <w:pPr>
        <w:ind w:left="2160" w:hanging="360"/>
      </w:pPr>
      <w:rPr>
        <w:rFonts w:ascii="Wingdings" w:hAnsi="Wingdings" w:hint="default"/>
      </w:rPr>
    </w:lvl>
    <w:lvl w:ilvl="3" w:tplc="9A82DF7C" w:tentative="1">
      <w:start w:val="1"/>
      <w:numFmt w:val="bullet"/>
      <w:lvlText w:val=""/>
      <w:lvlJc w:val="left"/>
      <w:pPr>
        <w:ind w:left="2880" w:hanging="360"/>
      </w:pPr>
      <w:rPr>
        <w:rFonts w:ascii="Symbol" w:hAnsi="Symbol" w:hint="default"/>
      </w:rPr>
    </w:lvl>
    <w:lvl w:ilvl="4" w:tplc="1E285604" w:tentative="1">
      <w:start w:val="1"/>
      <w:numFmt w:val="bullet"/>
      <w:lvlText w:val="o"/>
      <w:lvlJc w:val="left"/>
      <w:pPr>
        <w:ind w:left="3600" w:hanging="360"/>
      </w:pPr>
      <w:rPr>
        <w:rFonts w:ascii="Courier New" w:hAnsi="Courier New" w:cs="Courier New" w:hint="default"/>
      </w:rPr>
    </w:lvl>
    <w:lvl w:ilvl="5" w:tplc="3C4A6750" w:tentative="1">
      <w:start w:val="1"/>
      <w:numFmt w:val="bullet"/>
      <w:lvlText w:val=""/>
      <w:lvlJc w:val="left"/>
      <w:pPr>
        <w:ind w:left="4320" w:hanging="360"/>
      </w:pPr>
      <w:rPr>
        <w:rFonts w:ascii="Wingdings" w:hAnsi="Wingdings" w:hint="default"/>
      </w:rPr>
    </w:lvl>
    <w:lvl w:ilvl="6" w:tplc="03902E58" w:tentative="1">
      <w:start w:val="1"/>
      <w:numFmt w:val="bullet"/>
      <w:lvlText w:val=""/>
      <w:lvlJc w:val="left"/>
      <w:pPr>
        <w:ind w:left="5040" w:hanging="360"/>
      </w:pPr>
      <w:rPr>
        <w:rFonts w:ascii="Symbol" w:hAnsi="Symbol" w:hint="default"/>
      </w:rPr>
    </w:lvl>
    <w:lvl w:ilvl="7" w:tplc="342A877E" w:tentative="1">
      <w:start w:val="1"/>
      <w:numFmt w:val="bullet"/>
      <w:lvlText w:val="o"/>
      <w:lvlJc w:val="left"/>
      <w:pPr>
        <w:ind w:left="5760" w:hanging="360"/>
      </w:pPr>
      <w:rPr>
        <w:rFonts w:ascii="Courier New" w:hAnsi="Courier New" w:cs="Courier New" w:hint="default"/>
      </w:rPr>
    </w:lvl>
    <w:lvl w:ilvl="8" w:tplc="6356567A" w:tentative="1">
      <w:start w:val="1"/>
      <w:numFmt w:val="bullet"/>
      <w:lvlText w:val=""/>
      <w:lvlJc w:val="left"/>
      <w:pPr>
        <w:ind w:left="6480" w:hanging="360"/>
      </w:pPr>
      <w:rPr>
        <w:rFonts w:ascii="Wingdings" w:hAnsi="Wingdings" w:hint="default"/>
      </w:rPr>
    </w:lvl>
  </w:abstractNum>
  <w:abstractNum w:abstractNumId="3" w15:restartNumberingAfterBreak="0">
    <w:nsid w:val="7B6E7051"/>
    <w:multiLevelType w:val="hybridMultilevel"/>
    <w:tmpl w:val="59C8D272"/>
    <w:lvl w:ilvl="0" w:tplc="1CECC8B2">
      <w:start w:val="1"/>
      <w:numFmt w:val="bullet"/>
      <w:lvlText w:val=""/>
      <w:lvlJc w:val="left"/>
      <w:pPr>
        <w:ind w:left="720" w:hanging="360"/>
      </w:pPr>
      <w:rPr>
        <w:rFonts w:ascii="Symbol" w:hAnsi="Symbol" w:hint="default"/>
      </w:rPr>
    </w:lvl>
    <w:lvl w:ilvl="1" w:tplc="DE44993E" w:tentative="1">
      <w:start w:val="1"/>
      <w:numFmt w:val="bullet"/>
      <w:lvlText w:val="o"/>
      <w:lvlJc w:val="left"/>
      <w:pPr>
        <w:ind w:left="1440" w:hanging="360"/>
      </w:pPr>
      <w:rPr>
        <w:rFonts w:ascii="Courier New" w:hAnsi="Courier New" w:cs="Courier New" w:hint="default"/>
      </w:rPr>
    </w:lvl>
    <w:lvl w:ilvl="2" w:tplc="89E6A30E" w:tentative="1">
      <w:start w:val="1"/>
      <w:numFmt w:val="bullet"/>
      <w:lvlText w:val=""/>
      <w:lvlJc w:val="left"/>
      <w:pPr>
        <w:ind w:left="2160" w:hanging="360"/>
      </w:pPr>
      <w:rPr>
        <w:rFonts w:ascii="Wingdings" w:hAnsi="Wingdings" w:hint="default"/>
      </w:rPr>
    </w:lvl>
    <w:lvl w:ilvl="3" w:tplc="FC001264" w:tentative="1">
      <w:start w:val="1"/>
      <w:numFmt w:val="bullet"/>
      <w:lvlText w:val=""/>
      <w:lvlJc w:val="left"/>
      <w:pPr>
        <w:ind w:left="2880" w:hanging="360"/>
      </w:pPr>
      <w:rPr>
        <w:rFonts w:ascii="Symbol" w:hAnsi="Symbol" w:hint="default"/>
      </w:rPr>
    </w:lvl>
    <w:lvl w:ilvl="4" w:tplc="E66AF282" w:tentative="1">
      <w:start w:val="1"/>
      <w:numFmt w:val="bullet"/>
      <w:lvlText w:val="o"/>
      <w:lvlJc w:val="left"/>
      <w:pPr>
        <w:ind w:left="3600" w:hanging="360"/>
      </w:pPr>
      <w:rPr>
        <w:rFonts w:ascii="Courier New" w:hAnsi="Courier New" w:cs="Courier New" w:hint="default"/>
      </w:rPr>
    </w:lvl>
    <w:lvl w:ilvl="5" w:tplc="2D987548" w:tentative="1">
      <w:start w:val="1"/>
      <w:numFmt w:val="bullet"/>
      <w:lvlText w:val=""/>
      <w:lvlJc w:val="left"/>
      <w:pPr>
        <w:ind w:left="4320" w:hanging="360"/>
      </w:pPr>
      <w:rPr>
        <w:rFonts w:ascii="Wingdings" w:hAnsi="Wingdings" w:hint="default"/>
      </w:rPr>
    </w:lvl>
    <w:lvl w:ilvl="6" w:tplc="C11AB000" w:tentative="1">
      <w:start w:val="1"/>
      <w:numFmt w:val="bullet"/>
      <w:lvlText w:val=""/>
      <w:lvlJc w:val="left"/>
      <w:pPr>
        <w:ind w:left="5040" w:hanging="360"/>
      </w:pPr>
      <w:rPr>
        <w:rFonts w:ascii="Symbol" w:hAnsi="Symbol" w:hint="default"/>
      </w:rPr>
    </w:lvl>
    <w:lvl w:ilvl="7" w:tplc="8374928A" w:tentative="1">
      <w:start w:val="1"/>
      <w:numFmt w:val="bullet"/>
      <w:lvlText w:val="o"/>
      <w:lvlJc w:val="left"/>
      <w:pPr>
        <w:ind w:left="5760" w:hanging="360"/>
      </w:pPr>
      <w:rPr>
        <w:rFonts w:ascii="Courier New" w:hAnsi="Courier New" w:cs="Courier New" w:hint="default"/>
      </w:rPr>
    </w:lvl>
    <w:lvl w:ilvl="8" w:tplc="54BADF3A" w:tentative="1">
      <w:start w:val="1"/>
      <w:numFmt w:val="bullet"/>
      <w:lvlText w:val=""/>
      <w:lvlJc w:val="left"/>
      <w:pPr>
        <w:ind w:left="6480" w:hanging="360"/>
      </w:pPr>
      <w:rPr>
        <w:rFonts w:ascii="Wingdings" w:hAnsi="Wingdings" w:hint="default"/>
      </w:rPr>
    </w:lvl>
  </w:abstractNum>
  <w:num w:numId="1" w16cid:durableId="1379745726">
    <w:abstractNumId w:val="0"/>
  </w:num>
  <w:num w:numId="2" w16cid:durableId="708147656">
    <w:abstractNumId w:val="1"/>
  </w:num>
  <w:num w:numId="3" w16cid:durableId="1501190970">
    <w:abstractNumId w:val="3"/>
  </w:num>
  <w:num w:numId="4" w16cid:durableId="865168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6A"/>
    <w:rsid w:val="000D581A"/>
    <w:rsid w:val="00354B83"/>
    <w:rsid w:val="003D1B3F"/>
    <w:rsid w:val="003F2AF2"/>
    <w:rsid w:val="00462F3E"/>
    <w:rsid w:val="00721971"/>
    <w:rsid w:val="008B20F9"/>
    <w:rsid w:val="008B5666"/>
    <w:rsid w:val="00A16ABB"/>
    <w:rsid w:val="00A92EF4"/>
    <w:rsid w:val="00BC75B4"/>
    <w:rsid w:val="00C25BFF"/>
    <w:rsid w:val="00CF006A"/>
    <w:rsid w:val="00DE4BBD"/>
    <w:rsid w:val="00FB37F5"/>
    <w:rsid w:val="0DCC75F3"/>
    <w:rsid w:val="0F23F43A"/>
    <w:rsid w:val="11156F1F"/>
    <w:rsid w:val="196DAB9E"/>
    <w:rsid w:val="1CD2767B"/>
    <w:rsid w:val="2988FADA"/>
    <w:rsid w:val="2A5B2D1C"/>
    <w:rsid w:val="35790E52"/>
    <w:rsid w:val="3996224E"/>
    <w:rsid w:val="39B43B6D"/>
    <w:rsid w:val="3A88DC6C"/>
    <w:rsid w:val="7B888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5919"/>
  <w15:chartTrackingRefBased/>
  <w15:docId w15:val="{D4885B7C-3E10-4220-B522-EDFB2F46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6A"/>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styleId="Heading1">
    <w:name w:val="heading 1"/>
    <w:basedOn w:val="Normal"/>
    <w:next w:val="Normal"/>
    <w:link w:val="Heading1Char"/>
    <w:uiPriority w:val="9"/>
    <w:qFormat/>
    <w:rsid w:val="00CF0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06A"/>
    <w:rPr>
      <w:rFonts w:eastAsiaTheme="majorEastAsia" w:cstheme="majorBidi"/>
      <w:color w:val="272727" w:themeColor="text1" w:themeTint="D8"/>
    </w:rPr>
  </w:style>
  <w:style w:type="paragraph" w:styleId="Title">
    <w:name w:val="Title"/>
    <w:basedOn w:val="Normal"/>
    <w:next w:val="Normal"/>
    <w:link w:val="TitleChar"/>
    <w:uiPriority w:val="10"/>
    <w:qFormat/>
    <w:rsid w:val="00CF0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06A"/>
    <w:pPr>
      <w:spacing w:before="160"/>
      <w:jc w:val="center"/>
    </w:pPr>
    <w:rPr>
      <w:i/>
      <w:iCs/>
      <w:color w:val="404040" w:themeColor="text1" w:themeTint="BF"/>
    </w:rPr>
  </w:style>
  <w:style w:type="character" w:customStyle="1" w:styleId="QuoteChar">
    <w:name w:val="Quote Char"/>
    <w:basedOn w:val="DefaultParagraphFont"/>
    <w:link w:val="Quote"/>
    <w:uiPriority w:val="29"/>
    <w:rsid w:val="00CF006A"/>
    <w:rPr>
      <w:i/>
      <w:iCs/>
      <w:color w:val="404040" w:themeColor="text1" w:themeTint="BF"/>
    </w:rPr>
  </w:style>
  <w:style w:type="paragraph" w:styleId="ListParagraph">
    <w:name w:val="List Paragraph"/>
    <w:basedOn w:val="Normal"/>
    <w:uiPriority w:val="34"/>
    <w:qFormat/>
    <w:rsid w:val="00CF006A"/>
    <w:pPr>
      <w:ind w:left="720"/>
      <w:contextualSpacing/>
    </w:pPr>
  </w:style>
  <w:style w:type="character" w:styleId="IntenseEmphasis">
    <w:name w:val="Intense Emphasis"/>
    <w:basedOn w:val="DefaultParagraphFont"/>
    <w:uiPriority w:val="21"/>
    <w:qFormat/>
    <w:rsid w:val="00CF006A"/>
    <w:rPr>
      <w:i/>
      <w:iCs/>
      <w:color w:val="0F4761" w:themeColor="accent1" w:themeShade="BF"/>
    </w:rPr>
  </w:style>
  <w:style w:type="paragraph" w:styleId="IntenseQuote">
    <w:name w:val="Intense Quote"/>
    <w:basedOn w:val="Normal"/>
    <w:next w:val="Normal"/>
    <w:link w:val="IntenseQuoteChar"/>
    <w:uiPriority w:val="30"/>
    <w:qFormat/>
    <w:rsid w:val="00CF0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06A"/>
    <w:rPr>
      <w:i/>
      <w:iCs/>
      <w:color w:val="0F4761" w:themeColor="accent1" w:themeShade="BF"/>
    </w:rPr>
  </w:style>
  <w:style w:type="character" w:styleId="IntenseReference">
    <w:name w:val="Intense Reference"/>
    <w:basedOn w:val="DefaultParagraphFont"/>
    <w:uiPriority w:val="32"/>
    <w:qFormat/>
    <w:rsid w:val="00CF006A"/>
    <w:rPr>
      <w:b/>
      <w:bCs/>
      <w:smallCaps/>
      <w:color w:val="0F4761" w:themeColor="accent1" w:themeShade="BF"/>
      <w:spacing w:val="5"/>
    </w:rPr>
  </w:style>
  <w:style w:type="paragraph" w:styleId="NoSpacing">
    <w:name w:val="No Spacing"/>
    <w:uiPriority w:val="1"/>
    <w:qFormat/>
    <w:rsid w:val="00CF006A"/>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table" w:styleId="TableGrid">
    <w:name w:val="Table Grid"/>
    <w:basedOn w:val="TableNormal"/>
    <w:uiPriority w:val="39"/>
    <w:rsid w:val="00CF006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Dickon Taylor (Pine Green Staff)</dc:creator>
  <cp:lastModifiedBy>Dickon Taylor (Pine Green Staff)</cp:lastModifiedBy>
  <cp:revision>2</cp:revision>
  <dcterms:created xsi:type="dcterms:W3CDTF">2025-09-29T10:18:00Z</dcterms:created>
  <dcterms:modified xsi:type="dcterms:W3CDTF">2025-09-29T10:18:00Z</dcterms:modified>
</cp:coreProperties>
</file>