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189"/>
        <w:tblW w:w="0" w:type="auto"/>
        <w:tblLook w:val="04A0" w:firstRow="1" w:lastRow="0" w:firstColumn="1" w:lastColumn="0" w:noHBand="0" w:noVBand="1"/>
      </w:tblPr>
      <w:tblGrid>
        <w:gridCol w:w="4390"/>
        <w:gridCol w:w="5386"/>
        <w:gridCol w:w="5612"/>
      </w:tblGrid>
      <w:tr w:rsidR="004F0F6A" w14:paraId="4F5DD74B" w14:textId="77777777" w:rsidTr="00A26FEE">
        <w:tc>
          <w:tcPr>
            <w:tcW w:w="15388" w:type="dxa"/>
            <w:gridSpan w:val="3"/>
            <w:shd w:val="clear" w:color="auto" w:fill="B3E5A1" w:themeFill="accent6" w:themeFillTint="66"/>
          </w:tcPr>
          <w:p w14:paraId="06A6FDA8" w14:textId="2586693D" w:rsidR="004F0F6A" w:rsidRPr="00A26FEE" w:rsidRDefault="004F0F6A" w:rsidP="00A26FEE">
            <w:pPr>
              <w:jc w:val="center"/>
              <w:rPr>
                <w:b/>
                <w:bCs/>
              </w:rPr>
            </w:pPr>
            <w:r w:rsidRPr="00A26FEE">
              <w:rPr>
                <w:b/>
                <w:bCs/>
              </w:rPr>
              <w:t xml:space="preserve">Planning and Delivery </w:t>
            </w:r>
            <w:r w:rsidR="000164D7" w:rsidRPr="00A26FEE">
              <w:rPr>
                <w:b/>
                <w:bCs/>
              </w:rPr>
              <w:t>of</w:t>
            </w:r>
            <w:r w:rsidRPr="00A26FEE">
              <w:rPr>
                <w:b/>
                <w:bCs/>
              </w:rPr>
              <w:t xml:space="preserve"> English through Cornerstones </w:t>
            </w:r>
          </w:p>
        </w:tc>
      </w:tr>
      <w:tr w:rsidR="004F0F6A" w14:paraId="356F6073" w14:textId="77777777" w:rsidTr="00A26FEE">
        <w:tc>
          <w:tcPr>
            <w:tcW w:w="15388" w:type="dxa"/>
            <w:gridSpan w:val="3"/>
          </w:tcPr>
          <w:p w14:paraId="2C480FB8" w14:textId="0F6881CE" w:rsidR="004F0F6A" w:rsidRDefault="004F0F6A" w:rsidP="00A26FEE">
            <w:r w:rsidRPr="004F0F6A">
              <w:t xml:space="preserve">Cornerstones English planning is based on </w:t>
            </w:r>
            <w:r>
              <w:t xml:space="preserve">and delivers </w:t>
            </w:r>
            <w:r w:rsidRPr="004F0F6A">
              <w:t xml:space="preserve">the national curriculum for English. </w:t>
            </w:r>
            <w:r>
              <w:t>Using Cornerstones</w:t>
            </w:r>
            <w:r>
              <w:t xml:space="preserve"> English</w:t>
            </w:r>
            <w:r>
              <w:t xml:space="preserve"> resources</w:t>
            </w:r>
            <w:r w:rsidR="00B53568">
              <w:t>,</w:t>
            </w:r>
            <w:r>
              <w:t xml:space="preserve"> as outlined in our English Curriculum Overview</w:t>
            </w:r>
            <w:r w:rsidR="00B53568">
              <w:t xml:space="preserve">, </w:t>
            </w:r>
            <w:r w:rsidR="00A26FEE">
              <w:t xml:space="preserve">Evergreen has the </w:t>
            </w:r>
            <w:r w:rsidRPr="004F0F6A">
              <w:t xml:space="preserve">flexibility to </w:t>
            </w:r>
            <w:r>
              <w:t xml:space="preserve">adapt </w:t>
            </w:r>
            <w:r w:rsidRPr="004F0F6A">
              <w:t xml:space="preserve">planning </w:t>
            </w:r>
            <w:r>
              <w:t>and delivery to meet the needs of our children</w:t>
            </w:r>
            <w:r w:rsidRPr="004F0F6A">
              <w:t>.</w:t>
            </w:r>
            <w:r>
              <w:t xml:space="preserve"> </w:t>
            </w:r>
          </w:p>
          <w:p w14:paraId="1EC4CDEF" w14:textId="77777777" w:rsidR="004F0F6A" w:rsidRDefault="004F0F6A" w:rsidP="00A26FEE"/>
          <w:p w14:paraId="08571AE1" w14:textId="37487635" w:rsidR="00E817F3" w:rsidRDefault="00E817F3" w:rsidP="00A26FEE">
            <w:r>
              <w:t xml:space="preserve">Cornerstones </w:t>
            </w:r>
            <w:r w:rsidR="004F0F6A" w:rsidRPr="004F0F6A">
              <w:t xml:space="preserve">English </w:t>
            </w:r>
            <w:r>
              <w:t xml:space="preserve">is delivered through the Engage, Develop, Innovate and Express philosophy. Through this approach </w:t>
            </w:r>
            <w:r w:rsidR="00A26FEE">
              <w:t>teachers</w:t>
            </w:r>
            <w:r>
              <w:t xml:space="preserve"> </w:t>
            </w:r>
            <w:proofErr w:type="gramStart"/>
            <w:r>
              <w:t>are able to</w:t>
            </w:r>
            <w:proofErr w:type="gramEnd"/>
            <w:r>
              <w:t xml:space="preserve"> </w:t>
            </w:r>
            <w:r w:rsidR="004F0F6A" w:rsidRPr="004F0F6A">
              <w:t xml:space="preserve">ignite children’s interest in English, expose them to rich, challenging texts and give them the opportunity to write across a range of genres that link to their learning across the curriculum. </w:t>
            </w:r>
          </w:p>
          <w:p w14:paraId="1D587073" w14:textId="77777777" w:rsidR="00E817F3" w:rsidRDefault="00E817F3" w:rsidP="00A26FEE"/>
          <w:p w14:paraId="3FE50AB2" w14:textId="745D8E73" w:rsidR="00E817F3" w:rsidRDefault="00E817F3" w:rsidP="00A26FEE">
            <w:r>
              <w:t xml:space="preserve">Teaching English through Cornerstones provides </w:t>
            </w:r>
            <w:r w:rsidR="00A26FEE">
              <w:t>teachers</w:t>
            </w:r>
            <w:r>
              <w:t xml:space="preserve"> with </w:t>
            </w:r>
            <w:r w:rsidR="000164D7">
              <w:t xml:space="preserve">connected, </w:t>
            </w:r>
            <w:r w:rsidR="004F0F6A" w:rsidRPr="004F0F6A">
              <w:t>high-quality, language-rich resources, planning frameworks, checklists and model texts</w:t>
            </w:r>
            <w:r w:rsidR="000164D7">
              <w:t xml:space="preserve"> which benefits our children and their complex needs</w:t>
            </w:r>
            <w:r w:rsidR="00A26FEE">
              <w:t>. This is delivered</w:t>
            </w:r>
            <w:r w:rsidR="004F0F6A" w:rsidRPr="004F0F6A">
              <w:t xml:space="preserve"> across a range of fiction, non-fiction and poetry genres that match the age-related expectations for each year group.</w:t>
            </w:r>
          </w:p>
          <w:p w14:paraId="11401B66" w14:textId="77777777" w:rsidR="00E817F3" w:rsidRDefault="00E817F3" w:rsidP="00A26FEE"/>
          <w:p w14:paraId="0C069330" w14:textId="5437508C" w:rsidR="004F0F6A" w:rsidRDefault="00E817F3" w:rsidP="00A26FEE">
            <w:r>
              <w:t>S</w:t>
            </w:r>
            <w:r w:rsidR="004F0F6A" w:rsidRPr="004F0F6A">
              <w:t>uggested</w:t>
            </w:r>
            <w:r>
              <w:t xml:space="preserve">, </w:t>
            </w:r>
            <w:r w:rsidR="000164D7">
              <w:t>age-appropriate</w:t>
            </w:r>
            <w:r>
              <w:t xml:space="preserve"> </w:t>
            </w:r>
            <w:r w:rsidR="004F0F6A" w:rsidRPr="004F0F6A">
              <w:t>books and novels,</w:t>
            </w:r>
            <w:r>
              <w:t xml:space="preserve"> poetry texts, writing outcomes and writing enrichment opportunities, opportunities for speaking and listening are outlined in our English Overview</w:t>
            </w:r>
            <w:r w:rsidR="00A26FEE">
              <w:t>. This</w:t>
            </w:r>
            <w:r>
              <w:t xml:space="preserve"> relate</w:t>
            </w:r>
            <w:r w:rsidR="00A26FEE">
              <w:t>s</w:t>
            </w:r>
            <w:r>
              <w:t xml:space="preserve"> directly to the Cornerstones projects and topics. Our English overview enables </w:t>
            </w:r>
            <w:r w:rsidR="00A26FEE">
              <w:t>staff</w:t>
            </w:r>
            <w:r>
              <w:t xml:space="preserve"> to quickly reference learning activities and resources </w:t>
            </w:r>
            <w:r w:rsidR="004F0F6A" w:rsidRPr="004F0F6A">
              <w:t xml:space="preserve">resource </w:t>
            </w:r>
            <w:r>
              <w:t xml:space="preserve">linked to a </w:t>
            </w:r>
            <w:r w:rsidR="004F0F6A" w:rsidRPr="004F0F6A">
              <w:t>range of relevant and challenging fiction and non-fiction texts</w:t>
            </w:r>
            <w:r w:rsidR="00435F8C">
              <w:t xml:space="preserve">, </w:t>
            </w:r>
            <w:r w:rsidR="004F0F6A" w:rsidRPr="004F0F6A">
              <w:t>genres, such as explanations, reports and recounts</w:t>
            </w:r>
            <w:r w:rsidR="00435F8C">
              <w:t xml:space="preserve">. </w:t>
            </w:r>
          </w:p>
          <w:p w14:paraId="08D6D9D4" w14:textId="1A833BA7" w:rsidR="00A26FEE" w:rsidRDefault="00A26FEE" w:rsidP="00A26FEE"/>
        </w:tc>
      </w:tr>
      <w:tr w:rsidR="00435F8C" w14:paraId="5F29725C" w14:textId="77777777" w:rsidTr="00A26FEE">
        <w:tc>
          <w:tcPr>
            <w:tcW w:w="15388" w:type="dxa"/>
            <w:gridSpan w:val="3"/>
            <w:shd w:val="clear" w:color="auto" w:fill="B3E5A1" w:themeFill="accent6" w:themeFillTint="66"/>
          </w:tcPr>
          <w:p w14:paraId="39071124" w14:textId="780F4063" w:rsidR="00435F8C" w:rsidRPr="00A26FEE" w:rsidRDefault="00B53568" w:rsidP="00A2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  <w:r w:rsidR="00435F8C" w:rsidRPr="00A26FEE">
              <w:rPr>
                <w:b/>
                <w:bCs/>
              </w:rPr>
              <w:t xml:space="preserve"> structure and the delivery of English through the Cornerstones philosophy and approach</w:t>
            </w:r>
          </w:p>
        </w:tc>
      </w:tr>
      <w:tr w:rsidR="00BC368E" w14:paraId="209FE0A1" w14:textId="7B15FFB2" w:rsidTr="00A26FEE">
        <w:tc>
          <w:tcPr>
            <w:tcW w:w="4390" w:type="dxa"/>
          </w:tcPr>
          <w:p w14:paraId="54151CEC" w14:textId="1E843BCA" w:rsidR="00BC368E" w:rsidRPr="00BC368E" w:rsidRDefault="00BC368E" w:rsidP="00A26FEE">
            <w:pPr>
              <w:jc w:val="center"/>
              <w:rPr>
                <w:color w:val="FFC000"/>
              </w:rPr>
            </w:pPr>
            <w:r w:rsidRPr="00BC368E">
              <w:rPr>
                <w:color w:val="FFC000"/>
              </w:rPr>
              <w:t>Week One</w:t>
            </w:r>
          </w:p>
        </w:tc>
        <w:tc>
          <w:tcPr>
            <w:tcW w:w="5386" w:type="dxa"/>
          </w:tcPr>
          <w:p w14:paraId="490359FB" w14:textId="79B8AC7D" w:rsidR="00BC368E" w:rsidRPr="00BC368E" w:rsidRDefault="00BC368E" w:rsidP="00A26FEE">
            <w:pPr>
              <w:jc w:val="center"/>
              <w:rPr>
                <w:color w:val="FFC000"/>
              </w:rPr>
            </w:pPr>
            <w:r w:rsidRPr="00BC368E">
              <w:rPr>
                <w:color w:val="FFC000"/>
              </w:rPr>
              <w:t>Engage</w:t>
            </w:r>
          </w:p>
        </w:tc>
        <w:tc>
          <w:tcPr>
            <w:tcW w:w="5612" w:type="dxa"/>
          </w:tcPr>
          <w:p w14:paraId="15FF374B" w14:textId="02A995F7" w:rsidR="00BC368E" w:rsidRPr="00BC368E" w:rsidRDefault="00BC368E" w:rsidP="00A26FEE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Introduce the content</w:t>
            </w:r>
          </w:p>
        </w:tc>
      </w:tr>
      <w:tr w:rsidR="00BC368E" w14:paraId="4C9D0F7A" w14:textId="4564E593" w:rsidTr="00A26FEE">
        <w:tc>
          <w:tcPr>
            <w:tcW w:w="4390" w:type="dxa"/>
          </w:tcPr>
          <w:p w14:paraId="3079504A" w14:textId="50F7991C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 w:rsidRPr="00BC368E">
              <w:rPr>
                <w:color w:val="77206D" w:themeColor="accent5" w:themeShade="BF"/>
              </w:rPr>
              <w:t>Week Two</w:t>
            </w:r>
          </w:p>
        </w:tc>
        <w:tc>
          <w:tcPr>
            <w:tcW w:w="5386" w:type="dxa"/>
          </w:tcPr>
          <w:p w14:paraId="3909EB85" w14:textId="59933D47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 w:rsidRPr="00BC368E">
              <w:rPr>
                <w:color w:val="77206D" w:themeColor="accent5" w:themeShade="BF"/>
              </w:rPr>
              <w:t>Develop One</w:t>
            </w:r>
          </w:p>
        </w:tc>
        <w:tc>
          <w:tcPr>
            <w:tcW w:w="5612" w:type="dxa"/>
          </w:tcPr>
          <w:p w14:paraId="4AC81CBB" w14:textId="54FE28F3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>
              <w:rPr>
                <w:color w:val="77206D" w:themeColor="accent5" w:themeShade="BF"/>
              </w:rPr>
              <w:t>Develop</w:t>
            </w:r>
          </w:p>
        </w:tc>
      </w:tr>
      <w:tr w:rsidR="00BC368E" w14:paraId="2F9B3F4F" w14:textId="0574E318" w:rsidTr="00A26FEE">
        <w:tc>
          <w:tcPr>
            <w:tcW w:w="4390" w:type="dxa"/>
          </w:tcPr>
          <w:p w14:paraId="4067A412" w14:textId="2F2C742A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 w:rsidRPr="00BC368E">
              <w:rPr>
                <w:color w:val="77206D" w:themeColor="accent5" w:themeShade="BF"/>
              </w:rPr>
              <w:t>Week Three</w:t>
            </w:r>
          </w:p>
        </w:tc>
        <w:tc>
          <w:tcPr>
            <w:tcW w:w="5386" w:type="dxa"/>
          </w:tcPr>
          <w:p w14:paraId="630E1DD4" w14:textId="6F7B9726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 w:rsidRPr="00BC368E">
              <w:rPr>
                <w:color w:val="77206D" w:themeColor="accent5" w:themeShade="BF"/>
              </w:rPr>
              <w:t>Develop Two</w:t>
            </w:r>
          </w:p>
        </w:tc>
        <w:tc>
          <w:tcPr>
            <w:tcW w:w="5612" w:type="dxa"/>
          </w:tcPr>
          <w:p w14:paraId="7038C5F7" w14:textId="6887C9A2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>
              <w:rPr>
                <w:color w:val="77206D" w:themeColor="accent5" w:themeShade="BF"/>
              </w:rPr>
              <w:t>Dig Deeper</w:t>
            </w:r>
          </w:p>
        </w:tc>
      </w:tr>
      <w:tr w:rsidR="00BC368E" w14:paraId="110A1854" w14:textId="51915536" w:rsidTr="00A26FEE">
        <w:tc>
          <w:tcPr>
            <w:tcW w:w="4390" w:type="dxa"/>
          </w:tcPr>
          <w:p w14:paraId="310ACB24" w14:textId="04D537F0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 w:rsidRPr="00BC368E">
              <w:rPr>
                <w:color w:val="77206D" w:themeColor="accent5" w:themeShade="BF"/>
              </w:rPr>
              <w:t>Week Four</w:t>
            </w:r>
          </w:p>
        </w:tc>
        <w:tc>
          <w:tcPr>
            <w:tcW w:w="5386" w:type="dxa"/>
          </w:tcPr>
          <w:p w14:paraId="061FE7BE" w14:textId="3DB4FCF9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 w:rsidRPr="00BC368E">
              <w:rPr>
                <w:color w:val="77206D" w:themeColor="accent5" w:themeShade="BF"/>
              </w:rPr>
              <w:t>Develop Three</w:t>
            </w:r>
          </w:p>
        </w:tc>
        <w:tc>
          <w:tcPr>
            <w:tcW w:w="5612" w:type="dxa"/>
          </w:tcPr>
          <w:p w14:paraId="4F7EDF91" w14:textId="7C3234F0" w:rsidR="00BC368E" w:rsidRPr="00BC368E" w:rsidRDefault="00BC368E" w:rsidP="00A26FEE">
            <w:pPr>
              <w:jc w:val="center"/>
              <w:rPr>
                <w:color w:val="77206D" w:themeColor="accent5" w:themeShade="BF"/>
              </w:rPr>
            </w:pPr>
            <w:r>
              <w:rPr>
                <w:color w:val="77206D" w:themeColor="accent5" w:themeShade="BF"/>
              </w:rPr>
              <w:t>Master</w:t>
            </w:r>
          </w:p>
        </w:tc>
      </w:tr>
      <w:tr w:rsidR="00BC368E" w14:paraId="225D7659" w14:textId="302D00B4" w:rsidTr="00A26FEE">
        <w:tc>
          <w:tcPr>
            <w:tcW w:w="4390" w:type="dxa"/>
          </w:tcPr>
          <w:p w14:paraId="10832355" w14:textId="1D10687A" w:rsidR="00BC368E" w:rsidRPr="00BC368E" w:rsidRDefault="00BC368E" w:rsidP="00A26FEE">
            <w:pPr>
              <w:jc w:val="center"/>
              <w:rPr>
                <w:color w:val="4C94D8" w:themeColor="text2" w:themeTint="80"/>
              </w:rPr>
            </w:pPr>
            <w:r w:rsidRPr="00BC368E">
              <w:rPr>
                <w:color w:val="4C94D8" w:themeColor="text2" w:themeTint="80"/>
              </w:rPr>
              <w:t>Week Five</w:t>
            </w:r>
          </w:p>
        </w:tc>
        <w:tc>
          <w:tcPr>
            <w:tcW w:w="5386" w:type="dxa"/>
          </w:tcPr>
          <w:p w14:paraId="11EF3F56" w14:textId="2D6D4DAE" w:rsidR="00BC368E" w:rsidRPr="00BC368E" w:rsidRDefault="00BC368E" w:rsidP="00A26FEE">
            <w:pPr>
              <w:jc w:val="center"/>
              <w:rPr>
                <w:color w:val="4C94D8" w:themeColor="text2" w:themeTint="80"/>
              </w:rPr>
            </w:pPr>
            <w:r w:rsidRPr="00BC368E">
              <w:rPr>
                <w:color w:val="4C94D8" w:themeColor="text2" w:themeTint="80"/>
              </w:rPr>
              <w:t>Innovate</w:t>
            </w:r>
          </w:p>
        </w:tc>
        <w:tc>
          <w:tcPr>
            <w:tcW w:w="5612" w:type="dxa"/>
          </w:tcPr>
          <w:p w14:paraId="4980C18C" w14:textId="3E3AD7E0" w:rsidR="00BC368E" w:rsidRPr="00BC368E" w:rsidRDefault="00BC368E" w:rsidP="00A26FEE">
            <w:pPr>
              <w:jc w:val="center"/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Revisit and apply</w:t>
            </w:r>
          </w:p>
        </w:tc>
      </w:tr>
      <w:tr w:rsidR="00BC368E" w14:paraId="0C5F0190" w14:textId="52D9C4C2" w:rsidTr="00A26FEE">
        <w:tc>
          <w:tcPr>
            <w:tcW w:w="4390" w:type="dxa"/>
          </w:tcPr>
          <w:p w14:paraId="67564311" w14:textId="6ADCF25E" w:rsidR="00BC368E" w:rsidRPr="00BC368E" w:rsidRDefault="00BC368E" w:rsidP="00A26FEE">
            <w:pPr>
              <w:jc w:val="center"/>
              <w:rPr>
                <w:color w:val="92D050"/>
              </w:rPr>
            </w:pPr>
            <w:r w:rsidRPr="00BC368E">
              <w:rPr>
                <w:color w:val="92D050"/>
              </w:rPr>
              <w:t>Week Six</w:t>
            </w:r>
          </w:p>
        </w:tc>
        <w:tc>
          <w:tcPr>
            <w:tcW w:w="5386" w:type="dxa"/>
          </w:tcPr>
          <w:p w14:paraId="7357DA4F" w14:textId="0DEDC67B" w:rsidR="00BC368E" w:rsidRPr="00BC368E" w:rsidRDefault="00BC368E" w:rsidP="00A26FEE">
            <w:pPr>
              <w:jc w:val="center"/>
              <w:rPr>
                <w:color w:val="92D050"/>
              </w:rPr>
            </w:pPr>
            <w:r w:rsidRPr="00BC368E">
              <w:rPr>
                <w:color w:val="92D050"/>
              </w:rPr>
              <w:t>Express</w:t>
            </w:r>
          </w:p>
        </w:tc>
        <w:tc>
          <w:tcPr>
            <w:tcW w:w="5612" w:type="dxa"/>
          </w:tcPr>
          <w:p w14:paraId="075E23C4" w14:textId="1F2C5445" w:rsidR="00BC368E" w:rsidRPr="00BC368E" w:rsidRDefault="00BC368E" w:rsidP="00A26FE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Showcase the learning</w:t>
            </w:r>
          </w:p>
        </w:tc>
      </w:tr>
      <w:tr w:rsidR="00BC368E" w14:paraId="1F5E1166" w14:textId="52158743" w:rsidTr="00A26FEE">
        <w:tc>
          <w:tcPr>
            <w:tcW w:w="15388" w:type="dxa"/>
            <w:gridSpan w:val="3"/>
          </w:tcPr>
          <w:p w14:paraId="1EF2E584" w14:textId="440129BA" w:rsidR="00BC368E" w:rsidRDefault="001C2624" w:rsidP="00A26FEE">
            <w:pPr>
              <w:jc w:val="center"/>
            </w:pPr>
            <w:r>
              <w:t xml:space="preserve">NB: </w:t>
            </w:r>
            <w:r w:rsidRPr="00B53568">
              <w:rPr>
                <w:i/>
                <w:iCs/>
              </w:rPr>
              <w:t>Flexibility in response to children’s needs to ensure progress, may result in aspects of philosophy be adjusted and delivered across weeks.</w:t>
            </w:r>
            <w:r>
              <w:t xml:space="preserve"> </w:t>
            </w:r>
          </w:p>
        </w:tc>
      </w:tr>
    </w:tbl>
    <w:p w14:paraId="4A87EAF0" w14:textId="77777777" w:rsidR="004A43A0" w:rsidRDefault="004A43A0"/>
    <w:sectPr w:rsidR="004A43A0" w:rsidSect="004F0F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6A"/>
    <w:rsid w:val="000164D7"/>
    <w:rsid w:val="00033768"/>
    <w:rsid w:val="001C2624"/>
    <w:rsid w:val="00435F8C"/>
    <w:rsid w:val="004A43A0"/>
    <w:rsid w:val="004F0F6A"/>
    <w:rsid w:val="008B2402"/>
    <w:rsid w:val="00A26FEE"/>
    <w:rsid w:val="00B53568"/>
    <w:rsid w:val="00BC368E"/>
    <w:rsid w:val="00E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4694"/>
  <w15:chartTrackingRefBased/>
  <w15:docId w15:val="{EAB7F685-6BF4-40C1-BDDB-5BCE9F20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F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Taylor (Pine Green Staff)</dc:creator>
  <cp:keywords/>
  <dc:description/>
  <cp:lastModifiedBy>Dickon Taylor (Pine Green Staff)</cp:lastModifiedBy>
  <cp:revision>2</cp:revision>
  <cp:lastPrinted>2025-01-17T09:31:00Z</cp:lastPrinted>
  <dcterms:created xsi:type="dcterms:W3CDTF">2025-01-17T10:19:00Z</dcterms:created>
  <dcterms:modified xsi:type="dcterms:W3CDTF">2025-01-17T10:19:00Z</dcterms:modified>
</cp:coreProperties>
</file>