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BDB74" w14:textId="2F5C6099" w:rsidR="002940E8" w:rsidRDefault="002940E8" w:rsidP="002940E8">
      <w:pPr>
        <w:rPr>
          <w:rFonts w:ascii="Rockwell" w:hAnsi="Rockwell"/>
          <w:color w:val="003399"/>
          <w:sz w:val="96"/>
          <w:szCs w:val="96"/>
        </w:rPr>
      </w:pPr>
    </w:p>
    <w:p w14:paraId="488EE461" w14:textId="3015ED82" w:rsidR="002940E8" w:rsidRDefault="002940E8" w:rsidP="002940E8">
      <w:pPr>
        <w:rPr>
          <w:rFonts w:ascii="Rockwell" w:hAnsi="Rockwell"/>
          <w:color w:val="003399"/>
          <w:sz w:val="96"/>
          <w:szCs w:val="96"/>
        </w:rPr>
      </w:pPr>
    </w:p>
    <w:p w14:paraId="54455A5C" w14:textId="03A855DD" w:rsidR="00546F82" w:rsidRDefault="00546F82" w:rsidP="002940E8">
      <w:pPr>
        <w:rPr>
          <w:rFonts w:ascii="Rockwell" w:hAnsi="Rockwell"/>
          <w:color w:val="003399"/>
          <w:sz w:val="96"/>
          <w:szCs w:val="96"/>
        </w:rPr>
      </w:pPr>
    </w:p>
    <w:p w14:paraId="6BF2BBFA" w14:textId="3D52FF6F" w:rsidR="00546F82" w:rsidRDefault="00310994" w:rsidP="002940E8">
      <w:pPr>
        <w:rPr>
          <w:rFonts w:ascii="Rockwell" w:hAnsi="Rockwell"/>
          <w:color w:val="003399"/>
          <w:sz w:val="96"/>
          <w:szCs w:val="96"/>
        </w:rPr>
      </w:pPr>
      <w:r>
        <w:rPr>
          <w:rFonts w:ascii="Rockwell" w:hAnsi="Rockwell"/>
          <w:color w:val="003399"/>
          <w:sz w:val="96"/>
          <w:szCs w:val="96"/>
        </w:rPr>
        <w:t>Evolve</w:t>
      </w:r>
      <w:r w:rsidR="00753305">
        <w:rPr>
          <w:rFonts w:ascii="Rockwell" w:hAnsi="Rockwell"/>
          <w:color w:val="003399"/>
          <w:sz w:val="96"/>
          <w:szCs w:val="96"/>
        </w:rPr>
        <w:t xml:space="preserve"> Academy</w:t>
      </w:r>
    </w:p>
    <w:p w14:paraId="2CDC4504" w14:textId="77777777" w:rsidR="002940E8" w:rsidRDefault="002940E8" w:rsidP="002940E8">
      <w:pPr>
        <w:rPr>
          <w:rFonts w:ascii="Rockwell" w:hAnsi="Rockwell"/>
          <w:color w:val="003399"/>
          <w:sz w:val="96"/>
          <w:szCs w:val="96"/>
        </w:rPr>
      </w:pPr>
    </w:p>
    <w:p w14:paraId="195073E3" w14:textId="77777777" w:rsidR="002940E8" w:rsidRPr="00546F82" w:rsidRDefault="002940E8" w:rsidP="00546F82">
      <w:pPr>
        <w:jc w:val="center"/>
        <w:rPr>
          <w:rFonts w:ascii="Rockwell" w:hAnsi="Rockwell"/>
          <w:b/>
          <w:color w:val="003399"/>
          <w:sz w:val="72"/>
          <w:szCs w:val="72"/>
        </w:rPr>
      </w:pPr>
      <w:r w:rsidRPr="00546F82">
        <w:rPr>
          <w:rFonts w:ascii="Rockwell" w:hAnsi="Rockwell"/>
          <w:b/>
          <w:color w:val="003399"/>
          <w:sz w:val="72"/>
          <w:szCs w:val="72"/>
        </w:rPr>
        <w:t>Internal appeals procedures</w:t>
      </w:r>
    </w:p>
    <w:p w14:paraId="3E7A7F3E" w14:textId="0D686A61" w:rsidR="002940E8" w:rsidRPr="00546F82" w:rsidRDefault="002940E8" w:rsidP="00546F82">
      <w:pPr>
        <w:jc w:val="center"/>
        <w:rPr>
          <w:rFonts w:ascii="Rockwell" w:hAnsi="Rockwell"/>
          <w:b/>
          <w:color w:val="FF3300"/>
          <w:sz w:val="72"/>
          <w:szCs w:val="72"/>
        </w:rPr>
      </w:pPr>
      <w:r w:rsidRPr="00546F82">
        <w:rPr>
          <w:rFonts w:ascii="Rockwell" w:hAnsi="Rockwell"/>
          <w:color w:val="FF3300"/>
          <w:sz w:val="72"/>
          <w:szCs w:val="72"/>
        </w:rPr>
        <w:t>20</w:t>
      </w:r>
      <w:r w:rsidR="00D80AB5">
        <w:rPr>
          <w:rFonts w:ascii="Rockwell" w:hAnsi="Rockwell"/>
          <w:color w:val="FF3300"/>
          <w:sz w:val="72"/>
          <w:szCs w:val="72"/>
        </w:rPr>
        <w:t>2</w:t>
      </w:r>
      <w:r w:rsidR="00492088">
        <w:rPr>
          <w:rFonts w:ascii="Rockwell" w:hAnsi="Rockwell"/>
          <w:color w:val="FF3300"/>
          <w:sz w:val="72"/>
          <w:szCs w:val="72"/>
        </w:rPr>
        <w:t>5</w:t>
      </w:r>
      <w:r w:rsidRPr="00546F82">
        <w:rPr>
          <w:rFonts w:ascii="Rockwell" w:hAnsi="Rockwell"/>
          <w:color w:val="FF3300"/>
          <w:sz w:val="72"/>
          <w:szCs w:val="72"/>
        </w:rPr>
        <w:t>/</w:t>
      </w:r>
      <w:r w:rsidR="00CC200E">
        <w:rPr>
          <w:rFonts w:ascii="Rockwell" w:hAnsi="Rockwell"/>
          <w:color w:val="FF3300"/>
          <w:sz w:val="72"/>
          <w:szCs w:val="72"/>
        </w:rPr>
        <w:t>2</w:t>
      </w:r>
      <w:r w:rsidR="00492088">
        <w:rPr>
          <w:rFonts w:ascii="Rockwell" w:hAnsi="Rockwell"/>
          <w:color w:val="FF3300"/>
          <w:sz w:val="72"/>
          <w:szCs w:val="72"/>
        </w:rPr>
        <w:t>6</w:t>
      </w:r>
    </w:p>
    <w:p w14:paraId="7C7034B4" w14:textId="77777777" w:rsidR="002940E8" w:rsidRDefault="002940E8" w:rsidP="002940E8">
      <w:pPr>
        <w:autoSpaceDE w:val="0"/>
        <w:autoSpaceDN w:val="0"/>
        <w:adjustRightInd w:val="0"/>
        <w:spacing w:line="276" w:lineRule="auto"/>
        <w:rPr>
          <w:szCs w:val="24"/>
        </w:rPr>
      </w:pPr>
    </w:p>
    <w:p w14:paraId="77A2CCA8" w14:textId="77777777" w:rsidR="002940E8" w:rsidRDefault="002940E8" w:rsidP="002940E8">
      <w:pPr>
        <w:autoSpaceDE w:val="0"/>
        <w:autoSpaceDN w:val="0"/>
        <w:adjustRightInd w:val="0"/>
        <w:spacing w:line="276" w:lineRule="auto"/>
        <w:rPr>
          <w:szCs w:val="24"/>
        </w:rPr>
      </w:pPr>
    </w:p>
    <w:p w14:paraId="3B923F32" w14:textId="77777777" w:rsidR="002940E8" w:rsidRDefault="002940E8" w:rsidP="002940E8">
      <w:pPr>
        <w:autoSpaceDE w:val="0"/>
        <w:autoSpaceDN w:val="0"/>
        <w:adjustRightInd w:val="0"/>
        <w:spacing w:line="276" w:lineRule="auto"/>
        <w:rPr>
          <w:szCs w:val="24"/>
        </w:rPr>
      </w:pPr>
    </w:p>
    <w:p w14:paraId="748F25DF" w14:textId="46281C30" w:rsidR="002940E8" w:rsidRDefault="002940E8" w:rsidP="002940E8">
      <w:pPr>
        <w:autoSpaceDE w:val="0"/>
        <w:autoSpaceDN w:val="0"/>
        <w:adjustRightInd w:val="0"/>
        <w:spacing w:line="276" w:lineRule="auto"/>
        <w:rPr>
          <w:szCs w:val="24"/>
        </w:rPr>
      </w:pPr>
    </w:p>
    <w:p w14:paraId="0BCE485D" w14:textId="77777777" w:rsidR="00D55D97" w:rsidRDefault="00D55D97" w:rsidP="002940E8">
      <w:pPr>
        <w:autoSpaceDE w:val="0"/>
        <w:autoSpaceDN w:val="0"/>
        <w:adjustRightInd w:val="0"/>
        <w:spacing w:line="276" w:lineRule="auto"/>
        <w:rPr>
          <w:szCs w:val="24"/>
        </w:rPr>
      </w:pPr>
    </w:p>
    <w:p w14:paraId="32ACCB82" w14:textId="77777777" w:rsidR="002940E8" w:rsidRDefault="002940E8" w:rsidP="002940E8">
      <w:pPr>
        <w:autoSpaceDE w:val="0"/>
        <w:autoSpaceDN w:val="0"/>
        <w:adjustRightInd w:val="0"/>
        <w:spacing w:line="276" w:lineRule="auto"/>
        <w:rPr>
          <w:szCs w:val="24"/>
        </w:rPr>
      </w:pPr>
    </w:p>
    <w:p w14:paraId="2A07F87E" w14:textId="77777777" w:rsidR="002940E8" w:rsidRDefault="002940E8" w:rsidP="002940E8">
      <w:pPr>
        <w:autoSpaceDE w:val="0"/>
        <w:autoSpaceDN w:val="0"/>
        <w:adjustRightInd w:val="0"/>
        <w:spacing w:line="276" w:lineRule="auto"/>
        <w:rPr>
          <w:szCs w:val="24"/>
        </w:rPr>
      </w:pPr>
    </w:p>
    <w:p w14:paraId="0ED4D171" w14:textId="77777777" w:rsidR="002940E8" w:rsidRDefault="002940E8" w:rsidP="002940E8">
      <w:pPr>
        <w:autoSpaceDE w:val="0"/>
        <w:autoSpaceDN w:val="0"/>
        <w:adjustRightInd w:val="0"/>
        <w:spacing w:line="276" w:lineRule="auto"/>
        <w:rPr>
          <w:szCs w:val="24"/>
        </w:rPr>
      </w:pPr>
    </w:p>
    <w:p w14:paraId="1573A376" w14:textId="77777777" w:rsidR="002940E8" w:rsidRDefault="002940E8" w:rsidP="002940E8">
      <w:pPr>
        <w:autoSpaceDE w:val="0"/>
        <w:autoSpaceDN w:val="0"/>
        <w:adjustRightInd w:val="0"/>
        <w:spacing w:line="276" w:lineRule="auto"/>
        <w:rPr>
          <w:szCs w:val="24"/>
        </w:rPr>
      </w:pPr>
    </w:p>
    <w:p w14:paraId="10529D51" w14:textId="03BAD2FC" w:rsidR="002940E8" w:rsidRDefault="002940E8" w:rsidP="002940E8">
      <w:pPr>
        <w:autoSpaceDE w:val="0"/>
        <w:autoSpaceDN w:val="0"/>
        <w:adjustRightInd w:val="0"/>
        <w:spacing w:line="276" w:lineRule="auto"/>
        <w:rPr>
          <w:szCs w:val="24"/>
        </w:rPr>
      </w:pPr>
    </w:p>
    <w:p w14:paraId="313CADB1" w14:textId="77777777" w:rsidR="00D55D97" w:rsidRDefault="00D55D97" w:rsidP="002940E8">
      <w:pPr>
        <w:autoSpaceDE w:val="0"/>
        <w:autoSpaceDN w:val="0"/>
        <w:adjustRightInd w:val="0"/>
        <w:spacing w:line="276" w:lineRule="auto"/>
        <w:rPr>
          <w:szCs w:val="24"/>
        </w:rPr>
      </w:pPr>
    </w:p>
    <w:p w14:paraId="4C69EFC9" w14:textId="77777777" w:rsidR="002940E8" w:rsidRPr="002940E8" w:rsidRDefault="002940E8" w:rsidP="002940E8">
      <w:pPr>
        <w:spacing w:before="120" w:after="120" w:line="276" w:lineRule="auto"/>
        <w:jc w:val="right"/>
        <w:rPr>
          <w:rFonts w:ascii="Rockwell" w:hAnsi="Rockwell"/>
          <w:sz w:val="24"/>
          <w:szCs w:val="24"/>
        </w:rPr>
      </w:pPr>
      <w:r w:rsidRPr="00A4728A">
        <w:rPr>
          <w:rFonts w:ascii="Rockwell" w:hAnsi="Rockwell"/>
          <w:sz w:val="24"/>
          <w:szCs w:val="24"/>
        </w:rPr>
        <w:t>These procedures are reviewed annually to ensure compliance with current regulations</w:t>
      </w:r>
    </w:p>
    <w:tbl>
      <w:tblPr>
        <w:tblStyle w:val="TableGrid"/>
        <w:tblW w:w="3969" w:type="dxa"/>
        <w:tblInd w:w="662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1843"/>
        <w:gridCol w:w="2126"/>
      </w:tblGrid>
      <w:tr w:rsidR="00D55D97" w:rsidRPr="00BA5EE1" w14:paraId="082E302C" w14:textId="77777777" w:rsidTr="006B00C4">
        <w:tc>
          <w:tcPr>
            <w:tcW w:w="3969" w:type="dxa"/>
            <w:gridSpan w:val="2"/>
            <w:tcBorders>
              <w:top w:val="single" w:sz="8" w:space="0" w:color="FF3300"/>
              <w:left w:val="single" w:sz="8" w:space="0" w:color="FF3300"/>
              <w:bottom w:val="single" w:sz="8" w:space="0" w:color="FF3300"/>
              <w:right w:val="single" w:sz="8" w:space="0" w:color="FF3300"/>
            </w:tcBorders>
            <w:shd w:val="clear" w:color="auto" w:fill="FDE9D9" w:themeFill="accent6" w:themeFillTint="33"/>
            <w:vAlign w:val="center"/>
          </w:tcPr>
          <w:p w14:paraId="3511D53C" w14:textId="77777777" w:rsidR="00D55D97" w:rsidRPr="00C5347F" w:rsidRDefault="00D55D97" w:rsidP="00F24689">
            <w:pPr>
              <w:spacing w:before="120" w:after="120" w:line="276" w:lineRule="auto"/>
              <w:jc w:val="center"/>
              <w:rPr>
                <w:rFonts w:ascii="Rockwell Condensed" w:hAnsi="Rockwell Condensed" w:cs="Arial"/>
                <w:sz w:val="24"/>
                <w:szCs w:val="24"/>
              </w:rPr>
            </w:pPr>
            <w:r w:rsidRPr="00C5347F">
              <w:rPr>
                <w:rFonts w:ascii="Rockwell Condensed" w:hAnsi="Rockwell Condensed" w:cs="Arial"/>
                <w:sz w:val="24"/>
                <w:szCs w:val="24"/>
              </w:rPr>
              <w:t>Approved/reviewed by</w:t>
            </w:r>
          </w:p>
        </w:tc>
      </w:tr>
      <w:tr w:rsidR="00D55D97" w:rsidRPr="003277E3" w14:paraId="25779E36" w14:textId="77777777" w:rsidTr="006B00C4">
        <w:tc>
          <w:tcPr>
            <w:tcW w:w="3969" w:type="dxa"/>
            <w:gridSpan w:val="2"/>
            <w:tcBorders>
              <w:top w:val="single" w:sz="8" w:space="0" w:color="FF3300"/>
              <w:left w:val="single" w:sz="8" w:space="0" w:color="FF3300"/>
              <w:bottom w:val="single" w:sz="8" w:space="0" w:color="FF3300"/>
              <w:right w:val="single" w:sz="8" w:space="0" w:color="FF3300"/>
            </w:tcBorders>
            <w:vAlign w:val="center"/>
          </w:tcPr>
          <w:p w14:paraId="6EFAC57F" w14:textId="77777777" w:rsidR="00D55D97" w:rsidRPr="00C5347F" w:rsidRDefault="00D55D97" w:rsidP="00F24689">
            <w:pPr>
              <w:spacing w:before="120" w:after="120" w:line="276" w:lineRule="auto"/>
              <w:rPr>
                <w:rFonts w:cs="Arial"/>
                <w:sz w:val="24"/>
                <w:szCs w:val="24"/>
              </w:rPr>
            </w:pPr>
          </w:p>
        </w:tc>
      </w:tr>
      <w:tr w:rsidR="00D55D97" w:rsidRPr="003277E3" w14:paraId="4E648FA1" w14:textId="77777777" w:rsidTr="00C5347F">
        <w:tc>
          <w:tcPr>
            <w:tcW w:w="1843" w:type="dxa"/>
            <w:tcBorders>
              <w:top w:val="single" w:sz="8" w:space="0" w:color="FF3300"/>
              <w:left w:val="single" w:sz="8" w:space="0" w:color="FF3300"/>
              <w:bottom w:val="single" w:sz="8" w:space="0" w:color="FF3300"/>
              <w:right w:val="single" w:sz="8" w:space="0" w:color="FF3300"/>
            </w:tcBorders>
            <w:shd w:val="clear" w:color="auto" w:fill="FDE9D9" w:themeFill="accent6" w:themeFillTint="33"/>
            <w:vAlign w:val="center"/>
          </w:tcPr>
          <w:p w14:paraId="78FD47DE" w14:textId="77777777" w:rsidR="00D55D97" w:rsidRPr="00C5347F" w:rsidRDefault="00D55D97" w:rsidP="00F24689">
            <w:pPr>
              <w:spacing w:before="120" w:after="120" w:line="276" w:lineRule="auto"/>
              <w:ind w:left="1080" w:hanging="1080"/>
              <w:rPr>
                <w:rFonts w:ascii="Rockwell Condensed" w:hAnsi="Rockwell Condensed" w:cs="Arial"/>
                <w:sz w:val="24"/>
                <w:szCs w:val="24"/>
              </w:rPr>
            </w:pPr>
            <w:r w:rsidRPr="00C5347F">
              <w:rPr>
                <w:rFonts w:ascii="Rockwell Condensed" w:hAnsi="Rockwell Condensed" w:cs="Arial"/>
                <w:sz w:val="24"/>
                <w:szCs w:val="24"/>
              </w:rPr>
              <w:t>Date of next review</w:t>
            </w:r>
          </w:p>
        </w:tc>
        <w:tc>
          <w:tcPr>
            <w:tcW w:w="2126" w:type="dxa"/>
            <w:tcBorders>
              <w:top w:val="single" w:sz="8" w:space="0" w:color="FF3300"/>
              <w:left w:val="single" w:sz="8" w:space="0" w:color="FF3300"/>
              <w:bottom w:val="single" w:sz="8" w:space="0" w:color="FF3300"/>
              <w:right w:val="single" w:sz="8" w:space="0" w:color="FF3300"/>
            </w:tcBorders>
            <w:vAlign w:val="center"/>
          </w:tcPr>
          <w:p w14:paraId="27BB1014" w14:textId="32B0BE77" w:rsidR="00D55D97" w:rsidRPr="003277E3" w:rsidRDefault="00670001" w:rsidP="00F24689">
            <w:pPr>
              <w:spacing w:before="120" w:after="120" w:line="276" w:lineRule="auto"/>
              <w:rPr>
                <w:rFonts w:cs="Arial"/>
              </w:rPr>
            </w:pPr>
            <w:r>
              <w:rPr>
                <w:rFonts w:cs="Arial"/>
              </w:rPr>
              <w:t>OCTOBER 20</w:t>
            </w:r>
            <w:r w:rsidR="00CC200E">
              <w:rPr>
                <w:rFonts w:cs="Arial"/>
              </w:rPr>
              <w:t>2</w:t>
            </w:r>
            <w:r w:rsidR="00492088">
              <w:rPr>
                <w:rFonts w:cs="Arial"/>
              </w:rPr>
              <w:t>6</w:t>
            </w:r>
          </w:p>
        </w:tc>
      </w:tr>
    </w:tbl>
    <w:p w14:paraId="223F7596" w14:textId="618E3C9F" w:rsidR="00972530" w:rsidRDefault="00972530" w:rsidP="00D3735F">
      <w:pPr>
        <w:spacing w:after="200" w:line="276" w:lineRule="auto"/>
        <w:rPr>
          <w:rFonts w:ascii="Rockwell" w:hAnsi="Rockwell" w:cs="Arial"/>
          <w:b/>
          <w:color w:val="FF3300"/>
        </w:rPr>
      </w:pPr>
    </w:p>
    <w:p w14:paraId="28B89361" w14:textId="77777777" w:rsidR="003275B4" w:rsidRDefault="003275B4" w:rsidP="00D3735F">
      <w:pPr>
        <w:spacing w:after="200" w:line="276" w:lineRule="auto"/>
        <w:rPr>
          <w:rFonts w:ascii="Rockwell" w:hAnsi="Rockwell" w:cs="Arial"/>
          <w:b/>
          <w:color w:val="FF3300"/>
        </w:rPr>
      </w:pPr>
    </w:p>
    <w:p w14:paraId="778ECCF0" w14:textId="55A32545" w:rsidR="00972530" w:rsidRPr="00381FB0" w:rsidRDefault="00381FB0" w:rsidP="00381FB0">
      <w:pPr>
        <w:pStyle w:val="Headinglevel1"/>
        <w:rPr>
          <w:rFonts w:ascii="Rockwell" w:hAnsi="Rockwell"/>
          <w:i/>
        </w:rPr>
      </w:pPr>
      <w:r>
        <w:rPr>
          <w:rFonts w:ascii="Rockwell" w:hAnsi="Rockwell"/>
        </w:rPr>
        <w:t xml:space="preserve">1. </w:t>
      </w:r>
      <w:r w:rsidR="00972530" w:rsidRPr="00381FB0">
        <w:rPr>
          <w:rFonts w:ascii="Rockwell" w:hAnsi="Rockwell"/>
        </w:rPr>
        <w:t>Appeals against internal assessment</w:t>
      </w:r>
      <w:r w:rsidR="00EB671C" w:rsidRPr="00381FB0">
        <w:rPr>
          <w:rFonts w:ascii="Rockwell" w:hAnsi="Rockwell"/>
        </w:rPr>
        <w:t xml:space="preserve"> decisions</w:t>
      </w:r>
      <w:r w:rsidR="00972530" w:rsidRPr="00381FB0">
        <w:rPr>
          <w:rFonts w:ascii="Rockwell" w:hAnsi="Rockwell"/>
        </w:rPr>
        <w:t xml:space="preserve"> </w:t>
      </w:r>
      <w:r w:rsidR="00561839" w:rsidRPr="00381FB0">
        <w:rPr>
          <w:rFonts w:ascii="Rockwell" w:hAnsi="Rockwell"/>
        </w:rPr>
        <w:t>(centre assessed marks)</w:t>
      </w:r>
    </w:p>
    <w:p w14:paraId="3C58FE09" w14:textId="6743C76E" w:rsidR="00EB671C" w:rsidRPr="00000943" w:rsidRDefault="00972530" w:rsidP="00561839">
      <w:pPr>
        <w:spacing w:before="240" w:after="240" w:line="276" w:lineRule="auto"/>
        <w:jc w:val="both"/>
        <w:rPr>
          <w:rFonts w:ascii="Rockwell" w:hAnsi="Rockwell" w:cs="Arial"/>
          <w:i/>
          <w:color w:val="000000"/>
          <w:sz w:val="24"/>
          <w:szCs w:val="24"/>
        </w:rPr>
      </w:pPr>
      <w:r w:rsidRPr="00670001">
        <w:rPr>
          <w:rFonts w:ascii="Rockwell" w:hAnsi="Rockwell" w:cs="Arial"/>
          <w:noProof/>
          <w:sz w:val="24"/>
          <w:szCs w:val="24"/>
        </w:rPr>
        <w:t>This procedure confirms</w:t>
      </w:r>
      <w:r w:rsidR="00670001" w:rsidRPr="00670001">
        <w:rPr>
          <w:rFonts w:ascii="Rockwell" w:hAnsi="Rockwell" w:cs="Arial"/>
          <w:noProof/>
          <w:sz w:val="24"/>
          <w:szCs w:val="24"/>
        </w:rPr>
        <w:t xml:space="preserve"> </w:t>
      </w:r>
      <w:r w:rsidR="009F26FD">
        <w:rPr>
          <w:rFonts w:ascii="Rockwell" w:hAnsi="Rockwell" w:cs="Arial"/>
          <w:noProof/>
          <w:sz w:val="24"/>
          <w:szCs w:val="24"/>
        </w:rPr>
        <w:t>Evolve</w:t>
      </w:r>
      <w:r w:rsidR="00670001" w:rsidRPr="00670001">
        <w:rPr>
          <w:rFonts w:ascii="Rockwell" w:hAnsi="Rockwell" w:cs="Arial"/>
          <w:noProof/>
          <w:sz w:val="24"/>
          <w:szCs w:val="24"/>
        </w:rPr>
        <w:t xml:space="preserve"> Academy’s </w:t>
      </w:r>
      <w:r w:rsidRPr="00670001">
        <w:rPr>
          <w:rFonts w:ascii="Rockwell" w:hAnsi="Rockwell" w:cs="Arial"/>
          <w:sz w:val="24"/>
          <w:szCs w:val="24"/>
        </w:rPr>
        <w:t xml:space="preserve">compliance with JCQ’s </w:t>
      </w:r>
      <w:r w:rsidRPr="00670001">
        <w:rPr>
          <w:rFonts w:ascii="Rockwell" w:hAnsi="Rockwell" w:cs="Arial"/>
          <w:i/>
          <w:sz w:val="24"/>
          <w:szCs w:val="24"/>
        </w:rPr>
        <w:t>General Regu</w:t>
      </w:r>
      <w:r w:rsidR="006650DA">
        <w:rPr>
          <w:rFonts w:ascii="Rockwell" w:hAnsi="Rockwell" w:cs="Arial"/>
          <w:i/>
          <w:sz w:val="24"/>
          <w:szCs w:val="24"/>
        </w:rPr>
        <w:t>lations for Approved Centres 202</w:t>
      </w:r>
      <w:r w:rsidR="00492088">
        <w:rPr>
          <w:rFonts w:ascii="Rockwell" w:hAnsi="Rockwell" w:cs="Arial"/>
          <w:i/>
          <w:sz w:val="24"/>
          <w:szCs w:val="24"/>
        </w:rPr>
        <w:t>5</w:t>
      </w:r>
      <w:r w:rsidRPr="00670001">
        <w:rPr>
          <w:rFonts w:ascii="Rockwell" w:hAnsi="Rockwell" w:cs="Arial"/>
          <w:i/>
          <w:sz w:val="24"/>
          <w:szCs w:val="24"/>
        </w:rPr>
        <w:t>-20</w:t>
      </w:r>
      <w:r w:rsidR="006650DA">
        <w:rPr>
          <w:rFonts w:ascii="Rockwell" w:hAnsi="Rockwell" w:cs="Arial"/>
          <w:i/>
          <w:sz w:val="24"/>
          <w:szCs w:val="24"/>
        </w:rPr>
        <w:t>2</w:t>
      </w:r>
      <w:r w:rsidR="00492088">
        <w:rPr>
          <w:rFonts w:ascii="Rockwell" w:hAnsi="Rockwell" w:cs="Arial"/>
          <w:i/>
          <w:sz w:val="24"/>
          <w:szCs w:val="24"/>
        </w:rPr>
        <w:t>6</w:t>
      </w:r>
      <w:r w:rsidRPr="00670001">
        <w:rPr>
          <w:rFonts w:ascii="Rockwell" w:hAnsi="Rockwell" w:cs="Arial"/>
          <w:i/>
          <w:sz w:val="24"/>
          <w:szCs w:val="24"/>
        </w:rPr>
        <w:t>, section 5.</w:t>
      </w:r>
      <w:r w:rsidR="00000943" w:rsidRPr="00670001">
        <w:rPr>
          <w:rFonts w:ascii="Rockwell" w:hAnsi="Rockwell" w:cs="Arial"/>
          <w:i/>
          <w:sz w:val="24"/>
          <w:szCs w:val="24"/>
        </w:rPr>
        <w:t>7</w:t>
      </w:r>
      <w:r w:rsidRPr="00670001">
        <w:rPr>
          <w:rFonts w:ascii="Rockwell" w:hAnsi="Rockwell" w:cs="Arial"/>
          <w:sz w:val="24"/>
          <w:szCs w:val="24"/>
        </w:rPr>
        <w:t xml:space="preserve"> that the centre has in place </w:t>
      </w:r>
      <w:r w:rsidRPr="00670001">
        <w:rPr>
          <w:rFonts w:ascii="Rockwell" w:hAnsi="Rockwell" w:cs="Arial"/>
          <w:i/>
          <w:sz w:val="24"/>
          <w:szCs w:val="24"/>
        </w:rPr>
        <w:t>“</w:t>
      </w:r>
      <w:r w:rsidRPr="00670001">
        <w:rPr>
          <w:rFonts w:ascii="Rockwell" w:hAnsi="Rockwell" w:cs="Arial"/>
          <w:i/>
          <w:color w:val="000000"/>
          <w:sz w:val="24"/>
          <w:szCs w:val="24"/>
        </w:rPr>
        <w:t xml:space="preserve">a </w:t>
      </w:r>
      <w:r w:rsidRPr="00670001">
        <w:rPr>
          <w:rFonts w:ascii="Rockwell" w:hAnsi="Rockwell" w:cs="Arial"/>
          <w:bCs/>
          <w:i/>
          <w:color w:val="000000"/>
          <w:sz w:val="24"/>
          <w:szCs w:val="24"/>
        </w:rPr>
        <w:t>written</w:t>
      </w:r>
      <w:r w:rsidRPr="00670001">
        <w:rPr>
          <w:rFonts w:ascii="Rockwell" w:hAnsi="Rockwell" w:cs="Arial"/>
          <w:b/>
          <w:bCs/>
          <w:i/>
          <w:color w:val="000000"/>
          <w:sz w:val="24"/>
          <w:szCs w:val="24"/>
        </w:rPr>
        <w:t xml:space="preserve"> </w:t>
      </w:r>
      <w:r w:rsidRPr="00670001">
        <w:rPr>
          <w:rFonts w:ascii="Rockwell" w:hAnsi="Rockwell" w:cs="Arial"/>
          <w:i/>
          <w:color w:val="000000"/>
          <w:sz w:val="24"/>
          <w:szCs w:val="24"/>
        </w:rPr>
        <w:t>internal appeals procedure relating to internal assessment decisions and to ensure that details of this procedure are communicated, made widely available and accessible to all candidates”</w:t>
      </w:r>
      <w:r w:rsidR="00EB671C" w:rsidRPr="00670001">
        <w:rPr>
          <w:rFonts w:ascii="Rockwell" w:hAnsi="Rockwell" w:cs="Arial"/>
          <w:i/>
          <w:color w:val="000000"/>
          <w:sz w:val="24"/>
          <w:szCs w:val="24"/>
        </w:rPr>
        <w:t xml:space="preserve"> </w:t>
      </w:r>
      <w:r w:rsidR="00EB671C" w:rsidRPr="00670001">
        <w:rPr>
          <w:rFonts w:ascii="Rockwell" w:hAnsi="Rockwell" w:cs="Arial"/>
          <w:color w:val="000000"/>
          <w:sz w:val="24"/>
          <w:szCs w:val="24"/>
        </w:rPr>
        <w:t>and that the centre</w:t>
      </w:r>
      <w:r w:rsidR="00EB671C" w:rsidRPr="00670001">
        <w:rPr>
          <w:rFonts w:ascii="Rockwell" w:hAnsi="Rockwell" w:cs="Arial"/>
          <w:i/>
          <w:color w:val="000000"/>
          <w:sz w:val="24"/>
          <w:szCs w:val="24"/>
        </w:rPr>
        <w:t xml:space="preserve"> “must inform candidates of their centre assessed marks</w:t>
      </w:r>
      <w:r w:rsidR="00000943" w:rsidRPr="00670001">
        <w:rPr>
          <w:rFonts w:ascii="Rockwell" w:hAnsi="Rockwell" w:cs="Arial"/>
          <w:i/>
          <w:color w:val="000000"/>
          <w:sz w:val="24"/>
          <w:szCs w:val="24"/>
        </w:rPr>
        <w:t>.</w:t>
      </w:r>
      <w:r w:rsidR="00EB671C" w:rsidRPr="00670001">
        <w:rPr>
          <w:rFonts w:ascii="Rockwell" w:hAnsi="Rockwell" w:cs="Arial"/>
          <w:i/>
          <w:color w:val="000000"/>
          <w:sz w:val="24"/>
          <w:szCs w:val="24"/>
        </w:rPr>
        <w:t xml:space="preserve"> </w:t>
      </w:r>
      <w:r w:rsidR="00000943" w:rsidRPr="00670001">
        <w:rPr>
          <w:rFonts w:ascii="Rockwell" w:hAnsi="Rockwell" w:cs="Arial"/>
          <w:i/>
          <w:color w:val="000000"/>
          <w:sz w:val="24"/>
          <w:szCs w:val="24"/>
        </w:rPr>
        <w:t>A</w:t>
      </w:r>
      <w:r w:rsidR="00EB671C" w:rsidRPr="00670001">
        <w:rPr>
          <w:rFonts w:ascii="Rockwell" w:hAnsi="Rockwell" w:cs="Arial"/>
          <w:i/>
          <w:color w:val="000000"/>
          <w:sz w:val="24"/>
          <w:szCs w:val="24"/>
        </w:rPr>
        <w:t xml:space="preserve"> candidate is allowed to request a review of the centre’s marking before marks are submitted to the awarding body.”</w:t>
      </w:r>
    </w:p>
    <w:p w14:paraId="3D167A02" w14:textId="03CDC8B0" w:rsidR="00046BB3" w:rsidRDefault="00046BB3" w:rsidP="00046BB3">
      <w:pPr>
        <w:spacing w:before="120" w:after="120" w:line="276" w:lineRule="auto"/>
        <w:jc w:val="both"/>
        <w:rPr>
          <w:rFonts w:ascii="Rockwell" w:hAnsi="Rockwell" w:cs="Arial"/>
          <w:color w:val="000000"/>
          <w:sz w:val="24"/>
          <w:szCs w:val="24"/>
        </w:rPr>
      </w:pPr>
      <w:r>
        <w:rPr>
          <w:rFonts w:ascii="Rockwell" w:hAnsi="Rockwell" w:cs="Arial"/>
          <w:color w:val="000000"/>
          <w:sz w:val="24"/>
          <w:szCs w:val="24"/>
        </w:rPr>
        <w:t>Certain c</w:t>
      </w:r>
      <w:r w:rsidRPr="00046BB3">
        <w:rPr>
          <w:rFonts w:ascii="Rockwell" w:hAnsi="Rockwell" w:cs="Arial"/>
          <w:color w:val="000000"/>
          <w:sz w:val="24"/>
          <w:szCs w:val="24"/>
        </w:rPr>
        <w:t>omponents</w:t>
      </w:r>
      <w:r>
        <w:rPr>
          <w:rFonts w:ascii="Rockwell" w:hAnsi="Rockwell" w:cs="Arial"/>
          <w:color w:val="000000"/>
          <w:sz w:val="24"/>
          <w:szCs w:val="24"/>
        </w:rPr>
        <w:t xml:space="preserve"> of </w:t>
      </w:r>
      <w:r w:rsidR="00FA6472">
        <w:rPr>
          <w:rFonts w:ascii="Rockwell" w:hAnsi="Rockwell" w:cs="Arial"/>
          <w:color w:val="000000"/>
          <w:sz w:val="24"/>
          <w:szCs w:val="24"/>
        </w:rPr>
        <w:t xml:space="preserve">GCSE and </w:t>
      </w:r>
      <w:r w:rsidR="00207A5D" w:rsidRPr="00670001">
        <w:rPr>
          <w:rFonts w:ascii="Rockwell" w:hAnsi="Rockwell"/>
          <w:noProof/>
          <w:sz w:val="24"/>
          <w:szCs w:val="24"/>
        </w:rPr>
        <w:t>legacy</w:t>
      </w:r>
      <w:r w:rsidRPr="00046BB3">
        <w:rPr>
          <w:rFonts w:ascii="Rockwell" w:hAnsi="Rockwell"/>
          <w:noProof/>
          <w:sz w:val="24"/>
          <w:szCs w:val="24"/>
        </w:rPr>
        <w:t xml:space="preserve"> GCSE non-examination assessments</w:t>
      </w:r>
      <w:r w:rsidR="004268DF">
        <w:rPr>
          <w:rFonts w:ascii="Rockwell" w:hAnsi="Rockwell" w:cs="Arial"/>
          <w:color w:val="000000"/>
          <w:sz w:val="24"/>
          <w:szCs w:val="24"/>
        </w:rPr>
        <w:t xml:space="preserve"> </w:t>
      </w:r>
      <w:r w:rsidR="004268DF" w:rsidRPr="00207A5D">
        <w:rPr>
          <w:rFonts w:ascii="Rockwell" w:hAnsi="Rockwell" w:cs="Arial"/>
          <w:color w:val="000000"/>
          <w:sz w:val="24"/>
          <w:szCs w:val="24"/>
        </w:rPr>
        <w:t>and other qualifications</w:t>
      </w:r>
      <w:r w:rsidRPr="00207A5D">
        <w:rPr>
          <w:rFonts w:ascii="Rockwell" w:hAnsi="Rockwell" w:cs="Arial"/>
          <w:color w:val="000000"/>
          <w:sz w:val="24"/>
          <w:szCs w:val="24"/>
        </w:rPr>
        <w:t xml:space="preserve"> that contribute to the final grade of the qualification are internally assessed (marked) by the </w:t>
      </w:r>
      <w:r w:rsidR="00296128" w:rsidRPr="00207A5D">
        <w:rPr>
          <w:rFonts w:ascii="Rockwell" w:hAnsi="Rockwell" w:cs="Arial"/>
          <w:color w:val="000000"/>
          <w:sz w:val="24"/>
          <w:szCs w:val="24"/>
        </w:rPr>
        <w:t>centre</w:t>
      </w:r>
      <w:r w:rsidRPr="00207A5D">
        <w:rPr>
          <w:rFonts w:ascii="Rockwell" w:hAnsi="Rockwell" w:cs="Arial"/>
          <w:color w:val="000000"/>
          <w:sz w:val="24"/>
          <w:szCs w:val="24"/>
        </w:rPr>
        <w:t>.</w:t>
      </w:r>
      <w:r>
        <w:rPr>
          <w:rFonts w:ascii="Rockwell" w:hAnsi="Rockwell" w:cs="Arial"/>
          <w:color w:val="000000"/>
          <w:sz w:val="24"/>
          <w:szCs w:val="24"/>
        </w:rPr>
        <w:t xml:space="preserve"> The marks awarded (the internal assessment decisions) are then submitted </w:t>
      </w:r>
      <w:r w:rsidR="009A0013">
        <w:rPr>
          <w:rFonts w:ascii="Rockwell" w:hAnsi="Rockwell" w:cs="Arial"/>
          <w:color w:val="000000"/>
          <w:sz w:val="24"/>
          <w:szCs w:val="24"/>
        </w:rPr>
        <w:t>by the deadline set by the</w:t>
      </w:r>
      <w:r>
        <w:rPr>
          <w:rFonts w:ascii="Rockwell" w:hAnsi="Rockwell" w:cs="Arial"/>
          <w:color w:val="000000"/>
          <w:sz w:val="24"/>
          <w:szCs w:val="24"/>
        </w:rPr>
        <w:t xml:space="preserve"> awarding body for external moderation.</w:t>
      </w:r>
    </w:p>
    <w:p w14:paraId="3DB70978" w14:textId="77777777" w:rsidR="00670001" w:rsidRDefault="00670001" w:rsidP="007840F3">
      <w:pPr>
        <w:spacing w:before="240" w:after="120" w:line="276" w:lineRule="auto"/>
        <w:jc w:val="both"/>
        <w:rPr>
          <w:rFonts w:ascii="Rockwell" w:hAnsi="Rockwell" w:cs="Arial"/>
          <w:b/>
          <w:color w:val="000000"/>
          <w:sz w:val="24"/>
          <w:szCs w:val="24"/>
        </w:rPr>
      </w:pPr>
    </w:p>
    <w:p w14:paraId="2253774B" w14:textId="6A9E7B96" w:rsidR="00752113" w:rsidRDefault="002E0364" w:rsidP="007840F3">
      <w:pPr>
        <w:spacing w:before="240" w:after="120" w:line="276" w:lineRule="auto"/>
        <w:jc w:val="both"/>
        <w:rPr>
          <w:rFonts w:ascii="Rockwell" w:hAnsi="Rockwell" w:cs="Arial"/>
          <w:color w:val="000000"/>
          <w:sz w:val="24"/>
          <w:szCs w:val="24"/>
        </w:rPr>
      </w:pPr>
      <w:r w:rsidRPr="009A0013">
        <w:rPr>
          <w:rFonts w:ascii="Rockwell" w:hAnsi="Rockwell" w:cs="Arial"/>
          <w:b/>
          <w:color w:val="000000"/>
          <w:sz w:val="24"/>
          <w:szCs w:val="24"/>
        </w:rPr>
        <w:t>Deadlines for the submission of marks</w:t>
      </w:r>
      <w:r>
        <w:rPr>
          <w:rFonts w:ascii="Rockwell" w:hAnsi="Rockwell" w:cs="Arial"/>
          <w:color w:val="000000"/>
          <w:sz w:val="24"/>
          <w:szCs w:val="24"/>
        </w:rPr>
        <w:t xml:space="preserve"> (Summer </w:t>
      </w:r>
      <w:r w:rsidRPr="00670001">
        <w:rPr>
          <w:rFonts w:ascii="Rockwell" w:hAnsi="Rockwell" w:cs="Arial"/>
          <w:color w:val="000000"/>
          <w:sz w:val="24"/>
          <w:szCs w:val="24"/>
        </w:rPr>
        <w:t>20</w:t>
      </w:r>
      <w:r w:rsidR="008566E2">
        <w:rPr>
          <w:rFonts w:ascii="Rockwell" w:hAnsi="Rockwell" w:cs="Arial"/>
          <w:color w:val="000000"/>
          <w:sz w:val="24"/>
          <w:szCs w:val="24"/>
        </w:rPr>
        <w:t>2</w:t>
      </w:r>
      <w:r w:rsidR="00492088">
        <w:rPr>
          <w:rFonts w:ascii="Rockwell" w:hAnsi="Rockwell" w:cs="Arial"/>
          <w:color w:val="000000"/>
          <w:sz w:val="24"/>
          <w:szCs w:val="24"/>
        </w:rPr>
        <w:t>6</w:t>
      </w:r>
      <w:r>
        <w:rPr>
          <w:rFonts w:ascii="Rockwell" w:hAnsi="Rockwell" w:cs="Arial"/>
          <w:color w:val="000000"/>
          <w:sz w:val="24"/>
          <w:szCs w:val="24"/>
        </w:rPr>
        <w:t xml:space="preserve"> exam series)</w:t>
      </w:r>
    </w:p>
    <w:tbl>
      <w:tblPr>
        <w:tblStyle w:val="TableGrid"/>
        <w:tblW w:w="0" w:type="auto"/>
        <w:shd w:val="clear" w:color="auto" w:fill="003399"/>
        <w:tblLook w:val="04A0" w:firstRow="1" w:lastRow="0" w:firstColumn="1" w:lastColumn="0" w:noHBand="0" w:noVBand="1"/>
      </w:tblPr>
      <w:tblGrid>
        <w:gridCol w:w="1384"/>
        <w:gridCol w:w="2552"/>
        <w:gridCol w:w="6520"/>
      </w:tblGrid>
      <w:tr w:rsidR="00546F82" w:rsidRPr="00546F82" w14:paraId="3DEDC6CE" w14:textId="77777777" w:rsidTr="006B00C4">
        <w:tc>
          <w:tcPr>
            <w:tcW w:w="1384" w:type="dxa"/>
            <w:shd w:val="clear" w:color="auto" w:fill="FDE9D9" w:themeFill="accent6" w:themeFillTint="33"/>
          </w:tcPr>
          <w:p w14:paraId="7714468B" w14:textId="15ECA1B5" w:rsidR="00C6777A" w:rsidRPr="00546F82" w:rsidRDefault="0050573B" w:rsidP="00143D70">
            <w:pPr>
              <w:spacing w:before="120" w:after="120" w:line="276" w:lineRule="auto"/>
              <w:rPr>
                <w:rFonts w:ascii="Rockwell Condensed" w:hAnsi="Rockwell Condensed" w:cs="Arial"/>
                <w:sz w:val="24"/>
                <w:szCs w:val="24"/>
              </w:rPr>
            </w:pPr>
            <w:r w:rsidRPr="00546F82">
              <w:rPr>
                <w:rFonts w:ascii="Rockwell Condensed" w:hAnsi="Rockwell Condensed" w:cs="Arial"/>
                <w:sz w:val="24"/>
                <w:szCs w:val="24"/>
              </w:rPr>
              <w:t>Date</w:t>
            </w:r>
          </w:p>
        </w:tc>
        <w:tc>
          <w:tcPr>
            <w:tcW w:w="2552" w:type="dxa"/>
            <w:shd w:val="clear" w:color="auto" w:fill="FDE9D9" w:themeFill="accent6" w:themeFillTint="33"/>
          </w:tcPr>
          <w:p w14:paraId="5FE33B94" w14:textId="77777777" w:rsidR="00C6777A" w:rsidRPr="00546F82" w:rsidRDefault="00C6777A" w:rsidP="00143D70">
            <w:pPr>
              <w:spacing w:before="120" w:after="120" w:line="276" w:lineRule="auto"/>
              <w:rPr>
                <w:rFonts w:ascii="Rockwell Condensed" w:hAnsi="Rockwell Condensed" w:cs="Arial"/>
                <w:sz w:val="24"/>
                <w:szCs w:val="24"/>
              </w:rPr>
            </w:pPr>
            <w:r w:rsidRPr="00546F82">
              <w:rPr>
                <w:rFonts w:ascii="Rockwell Condensed" w:hAnsi="Rockwell Condensed" w:cs="Arial"/>
                <w:sz w:val="24"/>
                <w:szCs w:val="24"/>
              </w:rPr>
              <w:t>Qualification</w:t>
            </w:r>
          </w:p>
        </w:tc>
        <w:tc>
          <w:tcPr>
            <w:tcW w:w="6520" w:type="dxa"/>
            <w:shd w:val="clear" w:color="auto" w:fill="FDE9D9" w:themeFill="accent6" w:themeFillTint="33"/>
          </w:tcPr>
          <w:p w14:paraId="2B718AFD" w14:textId="6868A450" w:rsidR="00C6777A" w:rsidRPr="00546F82" w:rsidRDefault="00244D5C" w:rsidP="00143D70">
            <w:pPr>
              <w:spacing w:before="120" w:after="120" w:line="276" w:lineRule="auto"/>
              <w:rPr>
                <w:rFonts w:ascii="Rockwell Condensed" w:hAnsi="Rockwell Condensed" w:cs="Arial"/>
                <w:sz w:val="24"/>
                <w:szCs w:val="24"/>
              </w:rPr>
            </w:pPr>
            <w:r w:rsidRPr="00546F82">
              <w:rPr>
                <w:rFonts w:ascii="Rockwell Condensed" w:hAnsi="Rockwell Condensed" w:cs="Arial"/>
                <w:sz w:val="24"/>
                <w:szCs w:val="24"/>
              </w:rPr>
              <w:t>Details</w:t>
            </w:r>
          </w:p>
        </w:tc>
      </w:tr>
      <w:tr w:rsidR="00C6777A" w:rsidRPr="00DC5489" w14:paraId="72FC3F14" w14:textId="77777777" w:rsidTr="006B00C4">
        <w:tc>
          <w:tcPr>
            <w:tcW w:w="1384" w:type="dxa"/>
          </w:tcPr>
          <w:p w14:paraId="02D8B78C" w14:textId="3376509A" w:rsidR="00C6777A" w:rsidRPr="00DC5489" w:rsidRDefault="007E35C2" w:rsidP="00C6777A">
            <w:pPr>
              <w:spacing w:before="120" w:after="120" w:line="276" w:lineRule="auto"/>
              <w:jc w:val="both"/>
              <w:rPr>
                <w:rFonts w:ascii="Rockwell" w:hAnsi="Rockwell" w:cs="Arial"/>
              </w:rPr>
            </w:pPr>
            <w:r>
              <w:rPr>
                <w:rFonts w:ascii="Rockwell" w:hAnsi="Rockwell" w:cs="Arial"/>
              </w:rPr>
              <w:t>07/05/202</w:t>
            </w:r>
            <w:r w:rsidR="00492088">
              <w:rPr>
                <w:rFonts w:ascii="Rockwell" w:hAnsi="Rockwell" w:cs="Arial"/>
              </w:rPr>
              <w:t>6</w:t>
            </w:r>
          </w:p>
        </w:tc>
        <w:tc>
          <w:tcPr>
            <w:tcW w:w="2552" w:type="dxa"/>
          </w:tcPr>
          <w:p w14:paraId="4F0637F2" w14:textId="5BC98DAD" w:rsidR="00C6777A" w:rsidRPr="00DC5489" w:rsidRDefault="00244D5C" w:rsidP="00C6777A">
            <w:pPr>
              <w:spacing w:before="120" w:after="120" w:line="276" w:lineRule="auto"/>
              <w:jc w:val="both"/>
              <w:rPr>
                <w:rFonts w:ascii="Rockwell" w:hAnsi="Rockwell" w:cs="Arial"/>
                <w:highlight w:val="cyan"/>
              </w:rPr>
            </w:pPr>
            <w:r w:rsidRPr="00DC5489">
              <w:rPr>
                <w:rFonts w:ascii="Rockwell" w:hAnsi="Rockwell" w:cs="Arial"/>
              </w:rPr>
              <w:t>GCSE</w:t>
            </w:r>
          </w:p>
        </w:tc>
        <w:tc>
          <w:tcPr>
            <w:tcW w:w="6520" w:type="dxa"/>
          </w:tcPr>
          <w:p w14:paraId="3C9D20B3" w14:textId="5A11D8B9" w:rsidR="00C6777A" w:rsidRPr="00DC5489" w:rsidRDefault="007E35C2" w:rsidP="00C6777A">
            <w:pPr>
              <w:spacing w:before="120" w:after="120" w:line="276" w:lineRule="auto"/>
              <w:jc w:val="both"/>
              <w:rPr>
                <w:rFonts w:ascii="Rockwell" w:hAnsi="Rockwell" w:cs="Arial"/>
                <w:highlight w:val="cyan"/>
              </w:rPr>
            </w:pPr>
            <w:r w:rsidRPr="007E35C2">
              <w:rPr>
                <w:rFonts w:ascii="Rockwell" w:hAnsi="Rockwell" w:cs="Arial"/>
              </w:rPr>
              <w:t>AQA GCSE English Language Speaking endorsement</w:t>
            </w:r>
          </w:p>
        </w:tc>
      </w:tr>
      <w:tr w:rsidR="00C6777A" w:rsidRPr="00DC5489" w14:paraId="76EE69D3" w14:textId="77777777" w:rsidTr="006B00C4">
        <w:tc>
          <w:tcPr>
            <w:tcW w:w="1384" w:type="dxa"/>
          </w:tcPr>
          <w:p w14:paraId="520CCA1E" w14:textId="3AF9751C" w:rsidR="00C6777A" w:rsidRPr="00DC5489" w:rsidRDefault="00C6777A" w:rsidP="00C6777A">
            <w:pPr>
              <w:spacing w:before="120" w:after="120" w:line="276" w:lineRule="auto"/>
              <w:jc w:val="both"/>
              <w:rPr>
                <w:rFonts w:ascii="Rockwell" w:hAnsi="Rockwell"/>
                <w:highlight w:val="cyan"/>
              </w:rPr>
            </w:pPr>
            <w:r w:rsidRPr="00DC5489">
              <w:rPr>
                <w:rFonts w:ascii="Rockwell" w:hAnsi="Rockwell"/>
              </w:rPr>
              <w:t>15/05/20</w:t>
            </w:r>
            <w:r w:rsidR="006650DA">
              <w:rPr>
                <w:rFonts w:ascii="Rockwell" w:hAnsi="Rockwell"/>
              </w:rPr>
              <w:t>2</w:t>
            </w:r>
            <w:r w:rsidR="00492088">
              <w:rPr>
                <w:rFonts w:ascii="Rockwell" w:hAnsi="Rockwell"/>
              </w:rPr>
              <w:t>6</w:t>
            </w:r>
          </w:p>
        </w:tc>
        <w:tc>
          <w:tcPr>
            <w:tcW w:w="2552" w:type="dxa"/>
          </w:tcPr>
          <w:p w14:paraId="4FB2B172" w14:textId="0B2C3A48" w:rsidR="00C6777A" w:rsidRPr="00DC5489" w:rsidRDefault="00C6777A" w:rsidP="00C6777A">
            <w:pPr>
              <w:spacing w:before="120" w:after="120" w:line="276" w:lineRule="auto"/>
              <w:jc w:val="both"/>
              <w:rPr>
                <w:rFonts w:ascii="Rockwell" w:hAnsi="Rockwell"/>
                <w:highlight w:val="cyan"/>
              </w:rPr>
            </w:pPr>
            <w:r w:rsidRPr="00DC5489">
              <w:rPr>
                <w:rFonts w:ascii="Rockwell" w:hAnsi="Rockwell"/>
              </w:rPr>
              <w:t>GC</w:t>
            </w:r>
            <w:r w:rsidR="00670001">
              <w:rPr>
                <w:rFonts w:ascii="Rockwell" w:hAnsi="Rockwell"/>
              </w:rPr>
              <w:t>S</w:t>
            </w:r>
            <w:r w:rsidRPr="00DC5489">
              <w:rPr>
                <w:rFonts w:ascii="Rockwell" w:hAnsi="Rockwell"/>
              </w:rPr>
              <w:t>E</w:t>
            </w:r>
            <w:r w:rsidR="006650DA">
              <w:rPr>
                <w:rFonts w:ascii="Rockwell" w:hAnsi="Rockwell"/>
              </w:rPr>
              <w:t>/BTEC</w:t>
            </w:r>
            <w:r w:rsidR="007E35C2">
              <w:rPr>
                <w:rFonts w:ascii="Rockwell" w:hAnsi="Rockwell"/>
              </w:rPr>
              <w:t>/ENTRY LEVEL CERTIFICATE</w:t>
            </w:r>
          </w:p>
        </w:tc>
        <w:tc>
          <w:tcPr>
            <w:tcW w:w="6520" w:type="dxa"/>
          </w:tcPr>
          <w:p w14:paraId="154E465F" w14:textId="72230FAD" w:rsidR="00C6777A" w:rsidRPr="00DC5489" w:rsidRDefault="00C22F4B" w:rsidP="00EC3E74">
            <w:pPr>
              <w:spacing w:before="120" w:after="120" w:line="276" w:lineRule="auto"/>
              <w:rPr>
                <w:rFonts w:ascii="Rockwell" w:hAnsi="Rockwell" w:cs="Arial"/>
              </w:rPr>
            </w:pPr>
            <w:r w:rsidRPr="00DC5489">
              <w:rPr>
                <w:rFonts w:ascii="Rockwell" w:hAnsi="Rockwell" w:cs="Arial"/>
              </w:rPr>
              <w:t xml:space="preserve">Final date for submission of </w:t>
            </w:r>
            <w:r w:rsidRPr="00670001">
              <w:rPr>
                <w:rFonts w:ascii="Rockwell" w:hAnsi="Rockwell" w:cs="Arial"/>
              </w:rPr>
              <w:t>centre assessed</w:t>
            </w:r>
            <w:r w:rsidRPr="00DC5489">
              <w:rPr>
                <w:rFonts w:ascii="Rockwell" w:hAnsi="Rockwell" w:cs="Arial"/>
              </w:rPr>
              <w:t xml:space="preserve"> marks (AQA, OCR, Pearson and WJEC)</w:t>
            </w:r>
            <w:r w:rsidR="007E35C2">
              <w:rPr>
                <w:rFonts w:ascii="Rockwell" w:hAnsi="Rockwell" w:cs="Arial"/>
              </w:rPr>
              <w:t xml:space="preserve"> AQA Entry Level Certificate</w:t>
            </w:r>
          </w:p>
        </w:tc>
      </w:tr>
      <w:tr w:rsidR="007E35C2" w:rsidRPr="00DC5489" w14:paraId="2B90F53C" w14:textId="77777777" w:rsidTr="006B00C4">
        <w:tc>
          <w:tcPr>
            <w:tcW w:w="1384" w:type="dxa"/>
          </w:tcPr>
          <w:p w14:paraId="3DC16299" w14:textId="3AE5CD8A" w:rsidR="007E35C2" w:rsidRPr="00DC5489" w:rsidRDefault="007E35C2" w:rsidP="00C6777A">
            <w:pPr>
              <w:spacing w:before="120" w:after="120" w:line="276" w:lineRule="auto"/>
              <w:jc w:val="both"/>
              <w:rPr>
                <w:rFonts w:ascii="Rockwell" w:hAnsi="Rockwell"/>
              </w:rPr>
            </w:pPr>
            <w:r>
              <w:rPr>
                <w:rFonts w:ascii="Rockwell" w:hAnsi="Rockwell"/>
              </w:rPr>
              <w:t>26/05/202</w:t>
            </w:r>
            <w:r w:rsidR="00492088">
              <w:rPr>
                <w:rFonts w:ascii="Rockwell" w:hAnsi="Rockwell"/>
              </w:rPr>
              <w:t>6</w:t>
            </w:r>
          </w:p>
        </w:tc>
        <w:tc>
          <w:tcPr>
            <w:tcW w:w="2552" w:type="dxa"/>
          </w:tcPr>
          <w:p w14:paraId="3EF05CED" w14:textId="037ECC2C" w:rsidR="007E35C2" w:rsidRPr="00DC5489" w:rsidRDefault="007E35C2" w:rsidP="00C6777A">
            <w:pPr>
              <w:spacing w:before="120" w:after="120" w:line="276" w:lineRule="auto"/>
              <w:jc w:val="both"/>
              <w:rPr>
                <w:rFonts w:ascii="Rockwell" w:hAnsi="Rockwell"/>
              </w:rPr>
            </w:pPr>
            <w:r>
              <w:rPr>
                <w:rFonts w:ascii="Rockwell" w:hAnsi="Rockwell"/>
              </w:rPr>
              <w:t>FUNCTIONAL SKILLS</w:t>
            </w:r>
          </w:p>
        </w:tc>
        <w:tc>
          <w:tcPr>
            <w:tcW w:w="6520" w:type="dxa"/>
          </w:tcPr>
          <w:p w14:paraId="2629C5AB" w14:textId="6E174F80" w:rsidR="007E35C2" w:rsidRPr="00DC5489" w:rsidRDefault="007E35C2" w:rsidP="00EC3E74">
            <w:pPr>
              <w:spacing w:before="120" w:after="120" w:line="276" w:lineRule="auto"/>
              <w:rPr>
                <w:rFonts w:ascii="Rockwell" w:hAnsi="Rockwell" w:cs="Arial"/>
              </w:rPr>
            </w:pPr>
            <w:r>
              <w:rPr>
                <w:rFonts w:ascii="Rockwell" w:hAnsi="Rockwell" w:cs="Arial"/>
              </w:rPr>
              <w:t>Pearson Functional Skills English Speaking, Listening and Communication</w:t>
            </w:r>
          </w:p>
        </w:tc>
      </w:tr>
      <w:tr w:rsidR="006B00C4" w:rsidRPr="00DC5489" w14:paraId="5591C9BD" w14:textId="77777777" w:rsidTr="006B00C4">
        <w:tc>
          <w:tcPr>
            <w:tcW w:w="1384" w:type="dxa"/>
          </w:tcPr>
          <w:p w14:paraId="58DE72AC" w14:textId="77777777" w:rsidR="006B00C4" w:rsidRPr="00DC5489" w:rsidRDefault="006B00C4" w:rsidP="00C6777A">
            <w:pPr>
              <w:spacing w:before="120" w:after="120" w:line="276" w:lineRule="auto"/>
              <w:jc w:val="both"/>
              <w:rPr>
                <w:rFonts w:ascii="Rockwell" w:hAnsi="Rockwell"/>
              </w:rPr>
            </w:pPr>
          </w:p>
        </w:tc>
        <w:tc>
          <w:tcPr>
            <w:tcW w:w="2552" w:type="dxa"/>
          </w:tcPr>
          <w:p w14:paraId="68E21E67" w14:textId="50D23636" w:rsidR="006B00C4" w:rsidRPr="00DC5489" w:rsidRDefault="00214577" w:rsidP="00C6777A">
            <w:pPr>
              <w:spacing w:before="120" w:after="120" w:line="276" w:lineRule="auto"/>
              <w:jc w:val="both"/>
              <w:rPr>
                <w:rFonts w:ascii="Rockwell" w:hAnsi="Rockwell"/>
              </w:rPr>
            </w:pPr>
            <w:r>
              <w:rPr>
                <w:rFonts w:ascii="Rockwell" w:hAnsi="Rockwell"/>
              </w:rPr>
              <w:t>NCFE/OPEN AWARDS</w:t>
            </w:r>
          </w:p>
        </w:tc>
        <w:tc>
          <w:tcPr>
            <w:tcW w:w="6520" w:type="dxa"/>
          </w:tcPr>
          <w:p w14:paraId="45B5412A" w14:textId="0387A3CD" w:rsidR="006B00C4" w:rsidRPr="00DC5489" w:rsidRDefault="006650DA" w:rsidP="00C6777A">
            <w:pPr>
              <w:spacing w:before="120" w:after="120" w:line="276" w:lineRule="auto"/>
              <w:jc w:val="both"/>
              <w:rPr>
                <w:rFonts w:ascii="Rockwell" w:hAnsi="Rockwell" w:cs="Arial"/>
              </w:rPr>
            </w:pPr>
            <w:r>
              <w:rPr>
                <w:rFonts w:ascii="Rockwell" w:hAnsi="Rockwell" w:cs="Arial"/>
              </w:rPr>
              <w:t>Various dates throughout the year – see website</w:t>
            </w:r>
            <w:r w:rsidR="00785032">
              <w:rPr>
                <w:rFonts w:ascii="Rockwell" w:hAnsi="Rockwell" w:cs="Arial"/>
              </w:rPr>
              <w:t>s</w:t>
            </w:r>
            <w:r>
              <w:rPr>
                <w:rFonts w:ascii="Rockwell" w:hAnsi="Rockwell" w:cs="Arial"/>
              </w:rPr>
              <w:t xml:space="preserve"> for latest information.</w:t>
            </w:r>
          </w:p>
        </w:tc>
      </w:tr>
    </w:tbl>
    <w:p w14:paraId="335EB026" w14:textId="77777777" w:rsidR="00752113" w:rsidRDefault="00752113" w:rsidP="00561839">
      <w:pPr>
        <w:spacing w:line="276" w:lineRule="auto"/>
        <w:rPr>
          <w:rFonts w:ascii="Rockwell" w:hAnsi="Rockwell" w:cs="Arial"/>
          <w:color w:val="7F7F7F" w:themeColor="text1" w:themeTint="80"/>
          <w:sz w:val="24"/>
          <w:szCs w:val="24"/>
        </w:rPr>
      </w:pPr>
    </w:p>
    <w:p w14:paraId="1DCFFE13" w14:textId="230197D0" w:rsidR="00E67C87" w:rsidRDefault="009F26FD" w:rsidP="00AB60E7">
      <w:pPr>
        <w:spacing w:before="120" w:after="120" w:line="276" w:lineRule="auto"/>
        <w:jc w:val="both"/>
        <w:rPr>
          <w:rFonts w:ascii="Rockwell" w:hAnsi="Rockwell" w:cs="Arial"/>
          <w:color w:val="7F7F7F" w:themeColor="text1" w:themeTint="80"/>
          <w:sz w:val="24"/>
          <w:szCs w:val="24"/>
        </w:rPr>
      </w:pPr>
      <w:r>
        <w:rPr>
          <w:rFonts w:ascii="Rockwell" w:hAnsi="Rockwell" w:cs="Arial"/>
          <w:color w:val="7F7F7F" w:themeColor="text1" w:themeTint="80"/>
          <w:sz w:val="24"/>
          <w:szCs w:val="24"/>
        </w:rPr>
        <w:t>Evolve</w:t>
      </w:r>
      <w:r w:rsidR="007F7E98">
        <w:rPr>
          <w:rFonts w:ascii="Rockwell" w:hAnsi="Rockwell" w:cs="Arial"/>
          <w:color w:val="7F7F7F" w:themeColor="text1" w:themeTint="80"/>
          <w:sz w:val="24"/>
          <w:szCs w:val="24"/>
        </w:rPr>
        <w:t xml:space="preserve"> Academy</w:t>
      </w:r>
      <w:r w:rsidR="00EB671C" w:rsidRPr="00561839">
        <w:rPr>
          <w:rFonts w:ascii="Rockwell" w:hAnsi="Rockwell" w:cs="Arial"/>
          <w:color w:val="7F7F7F" w:themeColor="text1" w:themeTint="80"/>
          <w:sz w:val="24"/>
          <w:szCs w:val="24"/>
        </w:rPr>
        <w:t xml:space="preserve"> is committed to ensuring that whenever its staff mark candidates’ work this is done fairly, consistently and in accordance with the awarding body’s specification and subject-specific associated documents.</w:t>
      </w:r>
      <w:r w:rsidR="00E67C87">
        <w:rPr>
          <w:rFonts w:ascii="Rockwell" w:hAnsi="Rockwell" w:cs="Arial"/>
          <w:color w:val="7F7F7F" w:themeColor="text1" w:themeTint="80"/>
          <w:sz w:val="24"/>
          <w:szCs w:val="24"/>
        </w:rPr>
        <w:t xml:space="preserve"> </w:t>
      </w:r>
    </w:p>
    <w:p w14:paraId="6D065556" w14:textId="53874D1E" w:rsidR="006C26BE" w:rsidRDefault="009F26FD" w:rsidP="00AB60E7">
      <w:pPr>
        <w:spacing w:before="120" w:after="120" w:line="276" w:lineRule="auto"/>
        <w:jc w:val="both"/>
        <w:rPr>
          <w:rFonts w:ascii="Segoe UI" w:eastAsia="Times New Roman" w:hAnsi="Segoe UI" w:cs="Segoe UI"/>
          <w:color w:val="212121"/>
          <w:sz w:val="23"/>
          <w:szCs w:val="23"/>
        </w:rPr>
      </w:pPr>
      <w:r>
        <w:rPr>
          <w:rFonts w:ascii="Rockwell" w:eastAsia="Times New Roman" w:hAnsi="Rockwell" w:cs="Calibri"/>
          <w:color w:val="212121"/>
          <w:sz w:val="24"/>
          <w:szCs w:val="24"/>
        </w:rPr>
        <w:t>Evolve</w:t>
      </w:r>
      <w:r w:rsidR="007F7E98">
        <w:rPr>
          <w:rFonts w:ascii="Rockwell" w:eastAsia="Times New Roman" w:hAnsi="Rockwell" w:cs="Calibri"/>
          <w:color w:val="212121"/>
          <w:sz w:val="24"/>
          <w:szCs w:val="24"/>
        </w:rPr>
        <w:t xml:space="preserve"> Academy</w:t>
      </w:r>
      <w:r w:rsidR="006C26BE">
        <w:rPr>
          <w:rFonts w:ascii="Rockwell" w:eastAsia="Times New Roman" w:hAnsi="Rockwell" w:cs="Calibri"/>
          <w:color w:val="212121"/>
          <w:sz w:val="24"/>
          <w:szCs w:val="24"/>
        </w:rPr>
        <w:t xml:space="preserve"> ensures that all centre staff follow a robust </w:t>
      </w:r>
      <w:r w:rsidR="006C26BE">
        <w:rPr>
          <w:rFonts w:ascii="Rockwell" w:eastAsia="Times New Roman" w:hAnsi="Rockwell" w:cs="Calibri"/>
          <w:i/>
          <w:iCs/>
          <w:color w:val="212121"/>
          <w:sz w:val="24"/>
          <w:szCs w:val="24"/>
        </w:rPr>
        <w:t>Non-examination assessment policy</w:t>
      </w:r>
      <w:r w:rsidR="006C26BE">
        <w:rPr>
          <w:rFonts w:ascii="Rockwell" w:eastAsia="Times New Roman" w:hAnsi="Rockwell" w:cs="Calibri"/>
          <w:color w:val="212121"/>
          <w:sz w:val="24"/>
          <w:szCs w:val="24"/>
        </w:rPr>
        <w:t xml:space="preserve"> (for the management of GCSE non-examination assessments). This policy </w:t>
      </w:r>
      <w:r w:rsidR="006C26BE" w:rsidRPr="00207A5D">
        <w:rPr>
          <w:rFonts w:ascii="Rockwell" w:eastAsia="Times New Roman" w:hAnsi="Rockwell" w:cs="Calibri"/>
          <w:color w:val="212121"/>
          <w:sz w:val="24"/>
          <w:szCs w:val="24"/>
        </w:rPr>
        <w:t>details all procedures relating to non-examination assessments</w:t>
      </w:r>
      <w:r w:rsidR="006B42B6" w:rsidRPr="00207A5D">
        <w:rPr>
          <w:rFonts w:ascii="Rockwell" w:eastAsia="Times New Roman" w:hAnsi="Rockwell" w:cs="Calibri"/>
          <w:color w:val="212121"/>
          <w:sz w:val="24"/>
          <w:szCs w:val="24"/>
        </w:rPr>
        <w:t xml:space="preserve"> </w:t>
      </w:r>
      <w:r w:rsidR="00E67C87" w:rsidRPr="00207A5D">
        <w:rPr>
          <w:rFonts w:ascii="Rockwell" w:eastAsia="Times New Roman" w:hAnsi="Rockwell" w:cs="Calibri"/>
          <w:color w:val="212121"/>
          <w:sz w:val="24"/>
          <w:szCs w:val="24"/>
        </w:rPr>
        <w:t>for GCSE</w:t>
      </w:r>
      <w:r w:rsidR="00670001">
        <w:rPr>
          <w:rFonts w:ascii="Rockwell" w:eastAsia="Times New Roman" w:hAnsi="Rockwell" w:cs="Calibri"/>
          <w:color w:val="212121"/>
          <w:sz w:val="24"/>
          <w:szCs w:val="24"/>
        </w:rPr>
        <w:t xml:space="preserve"> and</w:t>
      </w:r>
      <w:r w:rsidR="00E67C87" w:rsidRPr="00207A5D">
        <w:rPr>
          <w:rFonts w:ascii="Rockwell" w:eastAsia="Times New Roman" w:hAnsi="Rockwell" w:cs="Calibri"/>
          <w:color w:val="212121"/>
          <w:sz w:val="24"/>
          <w:szCs w:val="24"/>
        </w:rPr>
        <w:t xml:space="preserve"> any other qualifications delivered in </w:t>
      </w:r>
      <w:r w:rsidR="00670001">
        <w:rPr>
          <w:rFonts w:ascii="Rockwell" w:eastAsia="Times New Roman" w:hAnsi="Rockwell" w:cs="Calibri"/>
          <w:color w:val="212121"/>
          <w:sz w:val="24"/>
          <w:szCs w:val="24"/>
        </w:rPr>
        <w:t xml:space="preserve">the </w:t>
      </w:r>
      <w:r w:rsidR="00E67C87" w:rsidRPr="00207A5D">
        <w:rPr>
          <w:rFonts w:ascii="Rockwell" w:eastAsia="Times New Roman" w:hAnsi="Rockwell" w:cs="Calibri"/>
          <w:color w:val="212121"/>
          <w:sz w:val="24"/>
          <w:szCs w:val="24"/>
        </w:rPr>
        <w:t>centre to which thes</w:t>
      </w:r>
      <w:r w:rsidR="006B42B6" w:rsidRPr="00207A5D">
        <w:rPr>
          <w:rFonts w:ascii="Rockwell" w:eastAsia="Times New Roman" w:hAnsi="Rockwell" w:cs="Calibri"/>
          <w:color w:val="212121"/>
          <w:sz w:val="24"/>
          <w:szCs w:val="24"/>
        </w:rPr>
        <w:t>e</w:t>
      </w:r>
      <w:r w:rsidR="00E67C87" w:rsidRPr="00207A5D">
        <w:rPr>
          <w:rFonts w:ascii="Rockwell" w:eastAsia="Times New Roman" w:hAnsi="Rockwell" w:cs="Calibri"/>
          <w:color w:val="212121"/>
          <w:sz w:val="24"/>
          <w:szCs w:val="24"/>
        </w:rPr>
        <w:t xml:space="preserve"> procedures apply</w:t>
      </w:r>
      <w:r w:rsidR="006C26BE" w:rsidRPr="00207A5D">
        <w:rPr>
          <w:rFonts w:ascii="Rockwell" w:eastAsia="Times New Roman" w:hAnsi="Rockwell" w:cs="Calibri"/>
          <w:color w:val="212121"/>
          <w:sz w:val="24"/>
          <w:szCs w:val="24"/>
        </w:rPr>
        <w:t>, including the marking and</w:t>
      </w:r>
      <w:r w:rsidR="006C26BE">
        <w:rPr>
          <w:rFonts w:ascii="Rockwell" w:eastAsia="Times New Roman" w:hAnsi="Rockwell" w:cs="Calibri"/>
          <w:color w:val="212121"/>
          <w:sz w:val="24"/>
          <w:szCs w:val="24"/>
        </w:rPr>
        <w:t xml:space="preserve"> quality assurance processes which relevant teaching staff are required to follow.</w:t>
      </w:r>
    </w:p>
    <w:p w14:paraId="71860A9E" w14:textId="6F7AF2C1" w:rsidR="00E67C87" w:rsidRPr="00561839" w:rsidRDefault="00EB671C" w:rsidP="00AB60E7">
      <w:pPr>
        <w:spacing w:before="120" w:after="120" w:line="276" w:lineRule="auto"/>
        <w:jc w:val="both"/>
        <w:rPr>
          <w:rFonts w:ascii="Rockwell" w:hAnsi="Rockwell" w:cs="Arial"/>
          <w:color w:val="7F7F7F" w:themeColor="text1" w:themeTint="80"/>
          <w:sz w:val="24"/>
          <w:szCs w:val="24"/>
        </w:rPr>
      </w:pPr>
      <w:r w:rsidRPr="00561839">
        <w:rPr>
          <w:rFonts w:ascii="Rockwell" w:hAnsi="Rockwell" w:cs="Arial"/>
          <w:color w:val="7F7F7F" w:themeColor="text1" w:themeTint="80"/>
          <w:sz w:val="24"/>
          <w:szCs w:val="24"/>
        </w:rPr>
        <w:t xml:space="preserve">Candidates’ work will be marked by staff who have appropriate knowledge, understanding and skill, and who have been trained in this activity.  </w:t>
      </w:r>
      <w:r w:rsidR="009F26FD">
        <w:rPr>
          <w:rFonts w:ascii="Rockwell" w:hAnsi="Rockwell" w:cs="Arial"/>
          <w:color w:val="7F7F7F" w:themeColor="text1" w:themeTint="80"/>
          <w:sz w:val="24"/>
          <w:szCs w:val="24"/>
        </w:rPr>
        <w:t>Evolve</w:t>
      </w:r>
      <w:r w:rsidR="007F7E98">
        <w:rPr>
          <w:rFonts w:ascii="Rockwell" w:hAnsi="Rockwell" w:cs="Arial"/>
          <w:color w:val="7F7F7F" w:themeColor="text1" w:themeTint="80"/>
          <w:sz w:val="24"/>
          <w:szCs w:val="24"/>
        </w:rPr>
        <w:t xml:space="preserve"> Academy</w:t>
      </w:r>
      <w:r w:rsidRPr="00561839">
        <w:rPr>
          <w:rFonts w:ascii="Rockwell" w:hAnsi="Rockwell" w:cs="Arial"/>
          <w:color w:val="7F7F7F" w:themeColor="text1" w:themeTint="80"/>
          <w:sz w:val="24"/>
          <w:szCs w:val="24"/>
        </w:rPr>
        <w:t xml:space="preserve"> is committed to ensuring that work produced by candidates is authenticated in line with the requirements of the awarding body.  Where a number of subject teachers are involved in marking candidates’ work, internal moderation and standardisation will ensure consistency of marking.</w:t>
      </w:r>
    </w:p>
    <w:p w14:paraId="5F479859" w14:textId="138ECE77" w:rsidR="006B00C4" w:rsidRDefault="00561839" w:rsidP="00AB60E7">
      <w:pPr>
        <w:spacing w:before="120" w:after="120" w:line="276" w:lineRule="auto"/>
        <w:jc w:val="both"/>
      </w:pPr>
      <w:r w:rsidRPr="00FA6472">
        <w:rPr>
          <w:rFonts w:ascii="Rockwell" w:hAnsi="Rockwell"/>
          <w:noProof/>
          <w:sz w:val="24"/>
          <w:szCs w:val="24"/>
        </w:rPr>
        <w:lastRenderedPageBreak/>
        <w:t xml:space="preserve">On being informed of </w:t>
      </w:r>
      <w:r w:rsidR="00B35D13" w:rsidRPr="00FA6472">
        <w:rPr>
          <w:rFonts w:ascii="Rockwell" w:hAnsi="Rockwell"/>
          <w:noProof/>
          <w:sz w:val="24"/>
          <w:szCs w:val="24"/>
        </w:rPr>
        <w:t xml:space="preserve">their </w:t>
      </w:r>
      <w:r w:rsidRPr="00FA6472">
        <w:rPr>
          <w:rFonts w:ascii="Rockwell" w:hAnsi="Rockwell"/>
          <w:noProof/>
          <w:sz w:val="24"/>
          <w:szCs w:val="24"/>
        </w:rPr>
        <w:t>centre assessed marks</w:t>
      </w:r>
      <w:r w:rsidR="00FA6472" w:rsidRPr="00FA6472">
        <w:rPr>
          <w:rFonts w:ascii="Rockwell" w:hAnsi="Rockwell"/>
          <w:noProof/>
          <w:sz w:val="24"/>
          <w:szCs w:val="24"/>
        </w:rPr>
        <w:t xml:space="preserve">, </w:t>
      </w:r>
      <w:r w:rsidRPr="00FA6472">
        <w:rPr>
          <w:rFonts w:ascii="Rockwell" w:hAnsi="Rockwell"/>
          <w:noProof/>
          <w:sz w:val="24"/>
          <w:szCs w:val="24"/>
        </w:rPr>
        <w:t>i</w:t>
      </w:r>
      <w:r w:rsidR="00AC3F41" w:rsidRPr="00FA6472">
        <w:rPr>
          <w:rFonts w:ascii="Rockwell" w:hAnsi="Rockwell"/>
          <w:noProof/>
          <w:sz w:val="24"/>
          <w:szCs w:val="24"/>
        </w:rPr>
        <w:t xml:space="preserve">f a candidate believes that </w:t>
      </w:r>
      <w:r w:rsidR="00B35D13" w:rsidRPr="00FA6472">
        <w:rPr>
          <w:rFonts w:ascii="Rockwell" w:hAnsi="Rockwell"/>
          <w:noProof/>
          <w:sz w:val="24"/>
          <w:szCs w:val="24"/>
        </w:rPr>
        <w:t>the above procedures were not followed</w:t>
      </w:r>
      <w:r w:rsidR="00AC3F41" w:rsidRPr="00FA6472">
        <w:rPr>
          <w:rFonts w:ascii="Rockwell" w:hAnsi="Rockwell"/>
          <w:noProof/>
          <w:sz w:val="24"/>
          <w:szCs w:val="24"/>
        </w:rPr>
        <w:t xml:space="preserve"> in relation to</w:t>
      </w:r>
      <w:r w:rsidR="00244D5C">
        <w:rPr>
          <w:rFonts w:ascii="Rockwell" w:hAnsi="Rockwell"/>
          <w:noProof/>
          <w:sz w:val="24"/>
          <w:szCs w:val="24"/>
        </w:rPr>
        <w:t xml:space="preserve"> the marking of</w:t>
      </w:r>
      <w:r w:rsidR="00AC3F41" w:rsidRPr="00FA6472">
        <w:rPr>
          <w:rFonts w:ascii="Rockwell" w:hAnsi="Rockwell"/>
          <w:noProof/>
          <w:sz w:val="24"/>
          <w:szCs w:val="24"/>
        </w:rPr>
        <w:t xml:space="preserve"> his/her work, </w:t>
      </w:r>
      <w:r w:rsidR="00B35D13" w:rsidRPr="00FA6472">
        <w:rPr>
          <w:rFonts w:ascii="Rockwell" w:hAnsi="Rockwell"/>
          <w:noProof/>
          <w:sz w:val="24"/>
          <w:szCs w:val="24"/>
        </w:rPr>
        <w:t>or that the assessor has not properly applied the mark scheme</w:t>
      </w:r>
      <w:r w:rsidR="00BC7C18" w:rsidRPr="00FA6472">
        <w:rPr>
          <w:rFonts w:ascii="Rockwell" w:hAnsi="Rockwell"/>
          <w:noProof/>
          <w:sz w:val="24"/>
          <w:szCs w:val="24"/>
        </w:rPr>
        <w:t xml:space="preserve"> to his/her marking, then </w:t>
      </w:r>
      <w:r w:rsidR="00AC3F41" w:rsidRPr="00FA6472">
        <w:rPr>
          <w:rFonts w:ascii="Rockwell" w:hAnsi="Rockwell"/>
          <w:noProof/>
          <w:sz w:val="24"/>
          <w:szCs w:val="24"/>
        </w:rPr>
        <w:t xml:space="preserve">he/she may make use of </w:t>
      </w:r>
      <w:r w:rsidR="00AC3F41" w:rsidRPr="00670001">
        <w:rPr>
          <w:rFonts w:ascii="Rockwell" w:hAnsi="Rockwell"/>
          <w:noProof/>
          <w:sz w:val="24"/>
          <w:szCs w:val="24"/>
        </w:rPr>
        <w:t>th</w:t>
      </w:r>
      <w:r w:rsidR="00207A5D" w:rsidRPr="00670001">
        <w:rPr>
          <w:rFonts w:ascii="Rockwell" w:hAnsi="Rockwell"/>
          <w:noProof/>
          <w:sz w:val="24"/>
          <w:szCs w:val="24"/>
        </w:rPr>
        <w:t>e</w:t>
      </w:r>
      <w:r w:rsidR="00AC3F41" w:rsidRPr="00FA6472">
        <w:rPr>
          <w:rFonts w:ascii="Rockwell" w:hAnsi="Rockwell"/>
          <w:noProof/>
          <w:sz w:val="24"/>
          <w:szCs w:val="24"/>
        </w:rPr>
        <w:t xml:space="preserve"> appeals procedure</w:t>
      </w:r>
      <w:r w:rsidR="00207A5D">
        <w:rPr>
          <w:rFonts w:ascii="Rockwell" w:hAnsi="Rockwell"/>
          <w:noProof/>
          <w:sz w:val="24"/>
          <w:szCs w:val="24"/>
        </w:rPr>
        <w:t xml:space="preserve"> </w:t>
      </w:r>
      <w:r w:rsidR="00207A5D" w:rsidRPr="00670001">
        <w:rPr>
          <w:rFonts w:ascii="Rockwell" w:hAnsi="Rockwell"/>
          <w:noProof/>
          <w:sz w:val="24"/>
          <w:szCs w:val="24"/>
        </w:rPr>
        <w:t>below</w:t>
      </w:r>
      <w:r w:rsidR="00BC7C18" w:rsidRPr="00FA6472">
        <w:rPr>
          <w:rFonts w:ascii="Rockwell" w:hAnsi="Rockwell"/>
          <w:noProof/>
          <w:sz w:val="24"/>
          <w:szCs w:val="24"/>
        </w:rPr>
        <w:t xml:space="preserve"> to </w:t>
      </w:r>
      <w:r w:rsidR="00237634">
        <w:rPr>
          <w:rFonts w:ascii="Rockwell" w:hAnsi="Rockwell"/>
          <w:noProof/>
          <w:sz w:val="24"/>
          <w:szCs w:val="24"/>
        </w:rPr>
        <w:t xml:space="preserve">consider whether to </w:t>
      </w:r>
      <w:r w:rsidR="00BC7C18" w:rsidRPr="00FA6472">
        <w:rPr>
          <w:rFonts w:ascii="Rockwell" w:hAnsi="Rockwell"/>
          <w:noProof/>
          <w:sz w:val="24"/>
          <w:szCs w:val="24"/>
        </w:rPr>
        <w:t xml:space="preserve">request a </w:t>
      </w:r>
      <w:r w:rsidR="00BC7C18" w:rsidRPr="00237634">
        <w:rPr>
          <w:rFonts w:ascii="Rockwell" w:hAnsi="Rockwell"/>
          <w:noProof/>
          <w:sz w:val="24"/>
          <w:szCs w:val="24"/>
        </w:rPr>
        <w:t xml:space="preserve">review </w:t>
      </w:r>
      <w:r w:rsidR="00237634" w:rsidRPr="00237634">
        <w:rPr>
          <w:rFonts w:ascii="Rockwell" w:hAnsi="Rockwell"/>
          <w:sz w:val="24"/>
          <w:szCs w:val="24"/>
        </w:rPr>
        <w:t xml:space="preserve">of the </w:t>
      </w:r>
      <w:r w:rsidR="00244D5C">
        <w:rPr>
          <w:rFonts w:ascii="Rockwell" w:hAnsi="Rockwell"/>
          <w:sz w:val="24"/>
          <w:szCs w:val="24"/>
        </w:rPr>
        <w:t xml:space="preserve">centre’s </w:t>
      </w:r>
      <w:r w:rsidR="00237634" w:rsidRPr="00237634">
        <w:rPr>
          <w:rFonts w:ascii="Rockwell" w:hAnsi="Rockwell"/>
          <w:sz w:val="24"/>
          <w:szCs w:val="24"/>
        </w:rPr>
        <w:t>marking</w:t>
      </w:r>
      <w:r w:rsidR="00237634" w:rsidRPr="00237634">
        <w:t>.</w:t>
      </w:r>
    </w:p>
    <w:p w14:paraId="2D366777" w14:textId="07C80A37" w:rsidR="00AB60E7" w:rsidRPr="00D3735F" w:rsidRDefault="009F26FD" w:rsidP="00AB60E7">
      <w:pPr>
        <w:spacing w:before="120" w:after="120" w:line="276" w:lineRule="auto"/>
        <w:jc w:val="both"/>
        <w:rPr>
          <w:rFonts w:ascii="Rockwell" w:hAnsi="Rockwell"/>
          <w:sz w:val="24"/>
          <w:szCs w:val="24"/>
        </w:rPr>
      </w:pPr>
      <w:r>
        <w:rPr>
          <w:rFonts w:ascii="Rockwell" w:hAnsi="Rockwell"/>
          <w:sz w:val="24"/>
          <w:szCs w:val="24"/>
        </w:rPr>
        <w:t>Evolve</w:t>
      </w:r>
      <w:r w:rsidR="00670001" w:rsidRPr="00670001">
        <w:rPr>
          <w:rFonts w:ascii="Rockwell" w:hAnsi="Rockwell"/>
          <w:sz w:val="24"/>
          <w:szCs w:val="24"/>
        </w:rPr>
        <w:t xml:space="preserve"> Academy</w:t>
      </w:r>
      <w:r w:rsidR="00AB60E7" w:rsidRPr="00670001">
        <w:rPr>
          <w:rFonts w:ascii="Rockwell" w:hAnsi="Rockwell"/>
          <w:sz w:val="24"/>
          <w:szCs w:val="24"/>
        </w:rPr>
        <w:t xml:space="preserve"> will</w:t>
      </w:r>
    </w:p>
    <w:p w14:paraId="14C44319" w14:textId="3BDCBDD1" w:rsidR="0050262A" w:rsidRDefault="00F6577A" w:rsidP="00AB60E7">
      <w:pPr>
        <w:pStyle w:val="ListParagraph"/>
        <w:numPr>
          <w:ilvl w:val="0"/>
          <w:numId w:val="23"/>
        </w:numPr>
        <w:spacing w:before="120" w:after="120" w:line="276" w:lineRule="auto"/>
        <w:ind w:left="714" w:hanging="357"/>
        <w:jc w:val="both"/>
        <w:rPr>
          <w:rFonts w:ascii="Rockwell" w:hAnsi="Rockwell" w:cs="Arial"/>
          <w:color w:val="7F7F7F" w:themeColor="text1" w:themeTint="80"/>
          <w:sz w:val="24"/>
          <w:szCs w:val="24"/>
        </w:rPr>
      </w:pPr>
      <w:r w:rsidRPr="0050262A">
        <w:rPr>
          <w:rFonts w:ascii="Rockwell" w:hAnsi="Rockwell" w:cs="Arial"/>
          <w:color w:val="7F7F7F" w:themeColor="text1" w:themeTint="80"/>
          <w:sz w:val="24"/>
          <w:szCs w:val="24"/>
        </w:rPr>
        <w:t>ensure that candidates are informed of their centre assessed marks so that they may request a review of the centre’s marking before marks are submitted to the awarding body.</w:t>
      </w:r>
    </w:p>
    <w:p w14:paraId="7EC7BA34" w14:textId="77777777" w:rsidR="00DB3640" w:rsidRPr="00D55D97" w:rsidRDefault="00DB3640" w:rsidP="00AB60E7">
      <w:pPr>
        <w:pStyle w:val="ListParagraph"/>
        <w:spacing w:before="120" w:after="120" w:line="276" w:lineRule="auto"/>
        <w:ind w:left="714"/>
        <w:jc w:val="both"/>
        <w:rPr>
          <w:rFonts w:ascii="Rockwell" w:hAnsi="Rockwell" w:cs="Arial"/>
          <w:color w:val="7F7F7F" w:themeColor="text1" w:themeTint="80"/>
        </w:rPr>
      </w:pPr>
    </w:p>
    <w:p w14:paraId="38B95193" w14:textId="2F9777C0" w:rsidR="0050262A" w:rsidRPr="0050262A" w:rsidRDefault="00F6577A" w:rsidP="00AB60E7">
      <w:pPr>
        <w:pStyle w:val="ListParagraph"/>
        <w:numPr>
          <w:ilvl w:val="0"/>
          <w:numId w:val="23"/>
        </w:numPr>
        <w:spacing w:before="120" w:after="120" w:line="276" w:lineRule="auto"/>
        <w:ind w:left="714" w:hanging="357"/>
        <w:jc w:val="both"/>
        <w:rPr>
          <w:rFonts w:ascii="Rockwell" w:hAnsi="Rockwell" w:cs="Arial"/>
          <w:color w:val="7F7F7F" w:themeColor="text1" w:themeTint="80"/>
          <w:sz w:val="24"/>
          <w:szCs w:val="24"/>
        </w:rPr>
      </w:pPr>
      <w:r w:rsidRPr="0050262A">
        <w:rPr>
          <w:rFonts w:ascii="Rockwell" w:hAnsi="Rockwell" w:cs="Arial"/>
          <w:color w:val="7F7F7F" w:themeColor="text1" w:themeTint="80"/>
          <w:sz w:val="24"/>
          <w:szCs w:val="24"/>
        </w:rPr>
        <w:t>inform candidates that they may request copies of materials</w:t>
      </w:r>
      <w:r w:rsidR="00237634" w:rsidRPr="0050262A">
        <w:rPr>
          <w:rFonts w:ascii="Rockwell" w:hAnsi="Rockwell" w:cs="Arial"/>
          <w:color w:val="7F7F7F" w:themeColor="text1" w:themeTint="80"/>
          <w:sz w:val="24"/>
          <w:szCs w:val="24"/>
        </w:rPr>
        <w:t xml:space="preserve"> </w:t>
      </w:r>
      <w:r w:rsidR="00237634" w:rsidRPr="0050262A">
        <w:rPr>
          <w:rFonts w:ascii="Rockwell" w:hAnsi="Rockwell" w:cs="Arial"/>
          <w:sz w:val="24"/>
          <w:szCs w:val="24"/>
        </w:rPr>
        <w:t xml:space="preserve">(for example, a copy of their marked work, the relevant specification, the mark scheme and </w:t>
      </w:r>
      <w:r w:rsidR="00C634F2" w:rsidRPr="0050262A">
        <w:rPr>
          <w:rFonts w:ascii="Rockwell" w:hAnsi="Rockwell" w:cs="Arial"/>
          <w:sz w:val="24"/>
          <w:szCs w:val="24"/>
        </w:rPr>
        <w:t xml:space="preserve">any other </w:t>
      </w:r>
      <w:r w:rsidR="00237634" w:rsidRPr="0050262A">
        <w:rPr>
          <w:rFonts w:ascii="Rockwell" w:hAnsi="Rockwell" w:cs="Arial"/>
          <w:sz w:val="24"/>
          <w:szCs w:val="24"/>
        </w:rPr>
        <w:t>associated subject-specific documents)</w:t>
      </w:r>
      <w:r w:rsidRPr="0050262A">
        <w:rPr>
          <w:rFonts w:ascii="Rockwell" w:hAnsi="Rockwell" w:cs="Arial"/>
          <w:color w:val="7F7F7F" w:themeColor="text1" w:themeTint="80"/>
          <w:sz w:val="24"/>
          <w:szCs w:val="24"/>
        </w:rPr>
        <w:t xml:space="preserve"> to assist them in considering whether to request a review of the centre’s marking of the assessment.</w:t>
      </w:r>
    </w:p>
    <w:p w14:paraId="6EE388B2" w14:textId="77777777" w:rsidR="0050262A" w:rsidRPr="0050262A" w:rsidRDefault="0050262A" w:rsidP="00AB60E7">
      <w:pPr>
        <w:pStyle w:val="ListParagraph"/>
        <w:jc w:val="both"/>
        <w:rPr>
          <w:rFonts w:ascii="Rockwell" w:hAnsi="Rockwell" w:cs="Arial"/>
          <w:color w:val="7F7F7F" w:themeColor="text1" w:themeTint="80"/>
          <w:sz w:val="24"/>
          <w:szCs w:val="24"/>
        </w:rPr>
      </w:pPr>
    </w:p>
    <w:p w14:paraId="05124805" w14:textId="2D3B7D6F" w:rsidR="0050262A" w:rsidRPr="0050262A" w:rsidRDefault="00F6577A" w:rsidP="00AB60E7">
      <w:pPr>
        <w:pStyle w:val="ListParagraph"/>
        <w:numPr>
          <w:ilvl w:val="0"/>
          <w:numId w:val="23"/>
        </w:numPr>
        <w:spacing w:before="120" w:after="120" w:line="276" w:lineRule="auto"/>
        <w:ind w:left="714" w:hanging="357"/>
        <w:jc w:val="both"/>
        <w:rPr>
          <w:rFonts w:ascii="Rockwell" w:hAnsi="Rockwell" w:cs="Arial"/>
          <w:color w:val="7F7F7F" w:themeColor="text1" w:themeTint="80"/>
          <w:sz w:val="24"/>
          <w:szCs w:val="24"/>
        </w:rPr>
      </w:pPr>
      <w:r w:rsidRPr="0050262A">
        <w:rPr>
          <w:rFonts w:ascii="Rockwell" w:hAnsi="Rockwell" w:cs="Arial"/>
          <w:color w:val="7F7F7F" w:themeColor="text1" w:themeTint="80"/>
          <w:sz w:val="24"/>
          <w:szCs w:val="24"/>
        </w:rPr>
        <w:t>having received a request for copies of materials, promptly make them available to the candidate</w:t>
      </w:r>
      <w:r w:rsidR="00C634F2" w:rsidRPr="0050262A">
        <w:rPr>
          <w:rFonts w:ascii="Rockwell" w:hAnsi="Rockwell" w:cs="Arial"/>
          <w:color w:val="7F7F7F" w:themeColor="text1" w:themeTint="80"/>
          <w:sz w:val="24"/>
          <w:szCs w:val="24"/>
        </w:rPr>
        <w:t xml:space="preserve"> </w:t>
      </w:r>
      <w:r w:rsidR="00C634F2" w:rsidRPr="0050262A">
        <w:rPr>
          <w:rFonts w:ascii="Rockwell" w:hAnsi="Rockwell" w:cs="Arial"/>
          <w:sz w:val="24"/>
          <w:szCs w:val="24"/>
        </w:rPr>
        <w:t xml:space="preserve">within </w:t>
      </w:r>
      <w:r w:rsidR="007F7E98">
        <w:rPr>
          <w:rFonts w:ascii="Rockwell" w:hAnsi="Rockwell" w:cs="Arial"/>
          <w:sz w:val="24"/>
          <w:szCs w:val="24"/>
        </w:rPr>
        <w:t>3</w:t>
      </w:r>
      <w:r w:rsidR="00C634F2" w:rsidRPr="0050262A">
        <w:rPr>
          <w:rFonts w:ascii="Rockwell" w:hAnsi="Rockwell" w:cs="Arial"/>
          <w:sz w:val="24"/>
          <w:szCs w:val="24"/>
        </w:rPr>
        <w:t xml:space="preserve"> </w:t>
      </w:r>
      <w:r w:rsidR="002E0364" w:rsidRPr="0050262A">
        <w:rPr>
          <w:rFonts w:ascii="Rockwell" w:hAnsi="Rockwell" w:cs="Arial"/>
          <w:sz w:val="24"/>
          <w:szCs w:val="24"/>
        </w:rPr>
        <w:t>calendar</w:t>
      </w:r>
      <w:r w:rsidR="00C634F2" w:rsidRPr="0050262A">
        <w:rPr>
          <w:rFonts w:ascii="Rockwell" w:hAnsi="Rockwell" w:cs="Arial"/>
          <w:sz w:val="24"/>
          <w:szCs w:val="24"/>
        </w:rPr>
        <w:t xml:space="preserve"> days</w:t>
      </w:r>
      <w:r w:rsidRPr="0050262A">
        <w:rPr>
          <w:rFonts w:ascii="Rockwell" w:hAnsi="Rockwell" w:cs="Arial"/>
          <w:sz w:val="24"/>
          <w:szCs w:val="24"/>
        </w:rPr>
        <w:t>.</w:t>
      </w:r>
    </w:p>
    <w:p w14:paraId="06265899" w14:textId="77777777" w:rsidR="0050262A" w:rsidRPr="00D55D97" w:rsidRDefault="0050262A" w:rsidP="00AB60E7">
      <w:pPr>
        <w:pStyle w:val="ListParagraph"/>
        <w:jc w:val="both"/>
        <w:rPr>
          <w:rFonts w:ascii="Rockwell" w:hAnsi="Rockwell" w:cs="Arial"/>
          <w:color w:val="7F7F7F" w:themeColor="text1" w:themeTint="80"/>
        </w:rPr>
      </w:pPr>
    </w:p>
    <w:p w14:paraId="1D6D6E00" w14:textId="2058E7E4" w:rsidR="0050262A" w:rsidRDefault="00F6577A" w:rsidP="00AB60E7">
      <w:pPr>
        <w:pStyle w:val="ListParagraph"/>
        <w:numPr>
          <w:ilvl w:val="0"/>
          <w:numId w:val="23"/>
        </w:numPr>
        <w:spacing w:before="120" w:after="120" w:line="276" w:lineRule="auto"/>
        <w:ind w:left="714" w:hanging="357"/>
        <w:jc w:val="both"/>
        <w:rPr>
          <w:rFonts w:ascii="Rockwell" w:hAnsi="Rockwell" w:cs="Arial"/>
          <w:color w:val="7F7F7F" w:themeColor="text1" w:themeTint="80"/>
          <w:sz w:val="24"/>
          <w:szCs w:val="24"/>
        </w:rPr>
      </w:pPr>
      <w:r w:rsidRPr="0050262A">
        <w:rPr>
          <w:rFonts w:ascii="Rockwell" w:hAnsi="Rockwell" w:cs="Arial"/>
          <w:color w:val="7F7F7F" w:themeColor="text1" w:themeTint="80"/>
          <w:sz w:val="24"/>
          <w:szCs w:val="24"/>
        </w:rPr>
        <w:t>provide candidates with sufficient time</w:t>
      </w:r>
      <w:r w:rsidR="00C634F2" w:rsidRPr="0050262A">
        <w:rPr>
          <w:rFonts w:ascii="Rockwell" w:hAnsi="Rockwell" w:cs="Arial"/>
          <w:color w:val="7F7F7F" w:themeColor="text1" w:themeTint="80"/>
          <w:sz w:val="24"/>
          <w:szCs w:val="24"/>
        </w:rPr>
        <w:t xml:space="preserve"> </w:t>
      </w:r>
      <w:r w:rsidRPr="0050262A">
        <w:rPr>
          <w:rFonts w:ascii="Rockwell" w:hAnsi="Rockwell" w:cs="Arial"/>
          <w:color w:val="7F7F7F" w:themeColor="text1" w:themeTint="80"/>
          <w:sz w:val="24"/>
          <w:szCs w:val="24"/>
        </w:rPr>
        <w:t>in order to allow them to review copies of materials and reach a decision.</w:t>
      </w:r>
    </w:p>
    <w:p w14:paraId="2353C252" w14:textId="77777777" w:rsidR="0050262A" w:rsidRPr="00D55D97" w:rsidRDefault="0050262A" w:rsidP="00AB60E7">
      <w:pPr>
        <w:pStyle w:val="ListParagraph"/>
        <w:jc w:val="both"/>
        <w:rPr>
          <w:rFonts w:ascii="Rockwell" w:hAnsi="Rockwell" w:cs="Arial"/>
          <w:color w:val="7F7F7F" w:themeColor="text1" w:themeTint="80"/>
        </w:rPr>
      </w:pPr>
    </w:p>
    <w:p w14:paraId="7563F3AA" w14:textId="73720F23" w:rsidR="0050262A" w:rsidRDefault="00F149C8" w:rsidP="00AB60E7">
      <w:pPr>
        <w:pStyle w:val="ListParagraph"/>
        <w:numPr>
          <w:ilvl w:val="0"/>
          <w:numId w:val="23"/>
        </w:numPr>
        <w:spacing w:before="120" w:after="120" w:line="276" w:lineRule="auto"/>
        <w:ind w:left="714" w:hanging="357"/>
        <w:jc w:val="both"/>
        <w:rPr>
          <w:rFonts w:ascii="Rockwell" w:hAnsi="Rockwell" w:cs="Arial"/>
          <w:color w:val="7F7F7F" w:themeColor="text1" w:themeTint="80"/>
          <w:sz w:val="24"/>
          <w:szCs w:val="24"/>
        </w:rPr>
      </w:pPr>
      <w:r w:rsidRPr="00DB3640">
        <w:rPr>
          <w:rFonts w:ascii="Rockwell" w:hAnsi="Rockwell" w:cs="Arial"/>
          <w:color w:val="7F7F7F" w:themeColor="text1" w:themeTint="80"/>
          <w:sz w:val="24"/>
          <w:szCs w:val="24"/>
        </w:rPr>
        <w:t xml:space="preserve">provide a clear deadline for candidates to submit a request for a review of the centre’s marking. Requests will not be accepted after this deadline. Requests must be made in writing </w:t>
      </w:r>
      <w:r w:rsidR="00C634F2" w:rsidRPr="00DB3640">
        <w:rPr>
          <w:rFonts w:ascii="Rockwell" w:hAnsi="Rockwell" w:cs="Arial"/>
          <w:sz w:val="24"/>
          <w:szCs w:val="24"/>
        </w:rPr>
        <w:t xml:space="preserve">within </w:t>
      </w:r>
      <w:r w:rsidR="00670001">
        <w:rPr>
          <w:rFonts w:ascii="Rockwell" w:hAnsi="Rockwell" w:cs="Arial"/>
          <w:sz w:val="24"/>
          <w:szCs w:val="24"/>
        </w:rPr>
        <w:t>5</w:t>
      </w:r>
      <w:r w:rsidR="00C634F2" w:rsidRPr="00DB3640">
        <w:rPr>
          <w:rFonts w:ascii="Rockwell" w:hAnsi="Rockwell" w:cs="Arial"/>
          <w:sz w:val="24"/>
          <w:szCs w:val="24"/>
        </w:rPr>
        <w:t xml:space="preserve"> </w:t>
      </w:r>
      <w:r w:rsidR="002E0364" w:rsidRPr="00DB3640">
        <w:rPr>
          <w:rFonts w:ascii="Rockwell" w:hAnsi="Rockwell" w:cs="Arial"/>
          <w:sz w:val="24"/>
          <w:szCs w:val="24"/>
        </w:rPr>
        <w:t>calendar</w:t>
      </w:r>
      <w:r w:rsidR="00244D5C" w:rsidRPr="00DB3640">
        <w:rPr>
          <w:rFonts w:ascii="Rockwell" w:hAnsi="Rockwell" w:cs="Arial"/>
          <w:sz w:val="24"/>
          <w:szCs w:val="24"/>
        </w:rPr>
        <w:t xml:space="preserve"> days </w:t>
      </w:r>
      <w:r w:rsidR="00C634F2" w:rsidRPr="00DB3640">
        <w:rPr>
          <w:rFonts w:ascii="Rockwell" w:hAnsi="Rockwell" w:cs="Arial"/>
          <w:sz w:val="24"/>
          <w:szCs w:val="24"/>
        </w:rPr>
        <w:t>of receiving copies of the</w:t>
      </w:r>
      <w:r w:rsidR="00C634F2" w:rsidRPr="0050262A">
        <w:rPr>
          <w:rFonts w:ascii="Rockwell" w:hAnsi="Rockwell" w:cs="Arial"/>
          <w:sz w:val="24"/>
          <w:szCs w:val="24"/>
        </w:rPr>
        <w:t xml:space="preserve"> requested materials</w:t>
      </w:r>
      <w:r w:rsidR="00D3735F" w:rsidRPr="00611108">
        <w:rPr>
          <w:rFonts w:ascii="Rockwell" w:hAnsi="Rockwell"/>
          <w:sz w:val="24"/>
          <w:szCs w:val="24"/>
        </w:rPr>
        <w:t xml:space="preserve"> </w:t>
      </w:r>
      <w:r w:rsidR="00611108">
        <w:rPr>
          <w:rFonts w:ascii="Rockwell" w:hAnsi="Rockwell"/>
          <w:sz w:val="24"/>
          <w:szCs w:val="24"/>
        </w:rPr>
        <w:t xml:space="preserve">by completing </w:t>
      </w:r>
      <w:r w:rsidR="00D3735F" w:rsidRPr="00611108">
        <w:rPr>
          <w:rFonts w:ascii="Rockwell" w:hAnsi="Rockwell"/>
          <w:sz w:val="24"/>
          <w:szCs w:val="24"/>
        </w:rPr>
        <w:t xml:space="preserve">the </w:t>
      </w:r>
      <w:r w:rsidR="00D3735F" w:rsidRPr="00611108">
        <w:rPr>
          <w:rFonts w:ascii="Rockwell" w:hAnsi="Rockwell"/>
          <w:b/>
          <w:sz w:val="24"/>
          <w:szCs w:val="24"/>
        </w:rPr>
        <w:t>internal appeals form</w:t>
      </w:r>
      <w:r w:rsidR="00F6577A" w:rsidRPr="00611108">
        <w:rPr>
          <w:rFonts w:ascii="Rockwell" w:hAnsi="Rockwell" w:cs="Arial"/>
          <w:color w:val="7F7F7F" w:themeColor="text1" w:themeTint="80"/>
          <w:sz w:val="24"/>
          <w:szCs w:val="24"/>
        </w:rPr>
        <w:t>.</w:t>
      </w:r>
    </w:p>
    <w:p w14:paraId="0B5A3284" w14:textId="77777777" w:rsidR="00DB3640" w:rsidRPr="00D55D97" w:rsidRDefault="00DB3640" w:rsidP="00AB60E7">
      <w:pPr>
        <w:pStyle w:val="ListParagraph"/>
        <w:spacing w:before="120" w:after="120" w:line="276" w:lineRule="auto"/>
        <w:ind w:left="714"/>
        <w:jc w:val="both"/>
        <w:rPr>
          <w:rFonts w:ascii="Rockwell" w:hAnsi="Rockwell" w:cs="Arial"/>
          <w:color w:val="7F7F7F" w:themeColor="text1" w:themeTint="80"/>
        </w:rPr>
      </w:pPr>
    </w:p>
    <w:p w14:paraId="7642054D" w14:textId="0FFFF395" w:rsidR="0050262A" w:rsidRPr="0050262A" w:rsidRDefault="00F6577A" w:rsidP="00AB60E7">
      <w:pPr>
        <w:pStyle w:val="ListParagraph"/>
        <w:numPr>
          <w:ilvl w:val="0"/>
          <w:numId w:val="23"/>
        </w:numPr>
        <w:spacing w:before="120" w:after="120" w:line="276" w:lineRule="auto"/>
        <w:ind w:left="714" w:hanging="357"/>
        <w:jc w:val="both"/>
        <w:rPr>
          <w:rFonts w:ascii="Rockwell" w:hAnsi="Rockwell" w:cs="Arial"/>
          <w:color w:val="7F7F7F" w:themeColor="text1" w:themeTint="80"/>
          <w:sz w:val="24"/>
          <w:szCs w:val="24"/>
        </w:rPr>
      </w:pPr>
      <w:r w:rsidRPr="0050262A">
        <w:rPr>
          <w:rFonts w:ascii="Rockwell" w:hAnsi="Rockwell" w:cs="Tahoma"/>
          <w:color w:val="7F7F7F" w:themeColor="text1" w:themeTint="80"/>
          <w:sz w:val="24"/>
          <w:szCs w:val="24"/>
        </w:rPr>
        <w:t xml:space="preserve">allow </w:t>
      </w:r>
      <w:r w:rsidR="007F7E98">
        <w:rPr>
          <w:rFonts w:ascii="Rockwell" w:hAnsi="Rockwell" w:cs="Tahoma"/>
          <w:sz w:val="24"/>
          <w:szCs w:val="24"/>
        </w:rPr>
        <w:t>7</w:t>
      </w:r>
      <w:r w:rsidR="002E0364" w:rsidRPr="0050262A">
        <w:rPr>
          <w:rFonts w:ascii="Rockwell" w:hAnsi="Rockwell" w:cs="Arial"/>
          <w:sz w:val="24"/>
          <w:szCs w:val="24"/>
        </w:rPr>
        <w:t xml:space="preserve"> calendar days</w:t>
      </w:r>
      <w:r w:rsidR="00244D5C">
        <w:rPr>
          <w:rFonts w:ascii="Rockwell" w:hAnsi="Rockwell" w:cs="Tahoma"/>
          <w:color w:val="7F7F7F" w:themeColor="text1" w:themeTint="80"/>
          <w:sz w:val="24"/>
          <w:szCs w:val="24"/>
        </w:rPr>
        <w:t xml:space="preserve"> </w:t>
      </w:r>
      <w:r w:rsidRPr="0050262A">
        <w:rPr>
          <w:rFonts w:ascii="Rockwell" w:hAnsi="Rockwell" w:cs="Tahoma"/>
          <w:color w:val="7F7F7F" w:themeColor="text1" w:themeTint="80"/>
          <w:sz w:val="24"/>
          <w:szCs w:val="24"/>
        </w:rPr>
        <w:t>for the review to be carried out, to make any necessary changes to marks and to inform the candidate of the outcome, all before the awarding body’s deadline.</w:t>
      </w:r>
    </w:p>
    <w:p w14:paraId="079D5243" w14:textId="77777777" w:rsidR="0050262A" w:rsidRPr="00D55D97" w:rsidRDefault="0050262A" w:rsidP="00AB60E7">
      <w:pPr>
        <w:pStyle w:val="ListParagraph"/>
        <w:jc w:val="both"/>
        <w:rPr>
          <w:rFonts w:ascii="Rockwell" w:hAnsi="Rockwell" w:cs="Arial"/>
          <w:color w:val="7F7F7F" w:themeColor="text1" w:themeTint="80"/>
        </w:rPr>
      </w:pPr>
    </w:p>
    <w:p w14:paraId="58AA8D18" w14:textId="12D16B3C" w:rsidR="0050262A" w:rsidRDefault="00F6577A" w:rsidP="00AB60E7">
      <w:pPr>
        <w:pStyle w:val="ListParagraph"/>
        <w:numPr>
          <w:ilvl w:val="0"/>
          <w:numId w:val="23"/>
        </w:numPr>
        <w:spacing w:before="120" w:after="120" w:line="276" w:lineRule="auto"/>
        <w:ind w:left="714" w:hanging="357"/>
        <w:jc w:val="both"/>
        <w:rPr>
          <w:rFonts w:ascii="Rockwell" w:hAnsi="Rockwell" w:cs="Arial"/>
          <w:color w:val="7F7F7F" w:themeColor="text1" w:themeTint="80"/>
          <w:sz w:val="24"/>
          <w:szCs w:val="24"/>
        </w:rPr>
      </w:pPr>
      <w:r w:rsidRPr="0050262A">
        <w:rPr>
          <w:rFonts w:ascii="Rockwell" w:hAnsi="Rockwell" w:cs="Arial"/>
          <w:color w:val="7F7F7F" w:themeColor="text1" w:themeTint="80"/>
          <w:sz w:val="24"/>
          <w:szCs w:val="24"/>
        </w:rPr>
        <w:t xml:space="preserve">ensure that the review of marking is carried out by an assessor who has appropriate competence, has had no previous involvement in the assessment of that candidate and has no personal interest in the review. </w:t>
      </w:r>
    </w:p>
    <w:p w14:paraId="7807714A" w14:textId="77777777" w:rsidR="0050262A" w:rsidRPr="00D55D97" w:rsidRDefault="0050262A" w:rsidP="00AB60E7">
      <w:pPr>
        <w:pStyle w:val="ListParagraph"/>
        <w:jc w:val="both"/>
        <w:rPr>
          <w:rFonts w:ascii="Rockwell" w:hAnsi="Rockwell" w:cs="Arial"/>
          <w:color w:val="7F7F7F" w:themeColor="text1" w:themeTint="80"/>
        </w:rPr>
      </w:pPr>
    </w:p>
    <w:p w14:paraId="17E11FD7" w14:textId="070B8CFB" w:rsidR="0050262A" w:rsidRDefault="00F6577A" w:rsidP="00AB60E7">
      <w:pPr>
        <w:pStyle w:val="ListParagraph"/>
        <w:numPr>
          <w:ilvl w:val="0"/>
          <w:numId w:val="23"/>
        </w:numPr>
        <w:spacing w:before="120" w:after="120" w:line="276" w:lineRule="auto"/>
        <w:ind w:left="714" w:hanging="357"/>
        <w:jc w:val="both"/>
        <w:rPr>
          <w:rFonts w:ascii="Rockwell" w:hAnsi="Rockwell" w:cs="Arial"/>
          <w:color w:val="7F7F7F" w:themeColor="text1" w:themeTint="80"/>
          <w:sz w:val="24"/>
          <w:szCs w:val="24"/>
        </w:rPr>
      </w:pPr>
      <w:r w:rsidRPr="0050262A">
        <w:rPr>
          <w:rFonts w:ascii="Rockwell" w:hAnsi="Rockwell" w:cs="Arial"/>
          <w:color w:val="7F7F7F" w:themeColor="text1" w:themeTint="80"/>
          <w:sz w:val="24"/>
          <w:szCs w:val="24"/>
        </w:rPr>
        <w:t>instruct the reviewer to ensure that the candidate’s mark is consistent with the standard set by the centre.</w:t>
      </w:r>
    </w:p>
    <w:p w14:paraId="01B3F3D9" w14:textId="77777777" w:rsidR="0050262A" w:rsidRPr="00D55D97" w:rsidRDefault="0050262A" w:rsidP="00AB60E7">
      <w:pPr>
        <w:pStyle w:val="ListParagraph"/>
        <w:jc w:val="both"/>
        <w:rPr>
          <w:rFonts w:ascii="Rockwell" w:hAnsi="Rockwell" w:cs="Arial"/>
          <w:color w:val="7F7F7F" w:themeColor="text1" w:themeTint="80"/>
        </w:rPr>
      </w:pPr>
    </w:p>
    <w:p w14:paraId="49D4D56A" w14:textId="612C24CA" w:rsidR="00F149C8" w:rsidRPr="00DB3640" w:rsidRDefault="00F149C8" w:rsidP="00AB60E7">
      <w:pPr>
        <w:pStyle w:val="ListParagraph"/>
        <w:numPr>
          <w:ilvl w:val="0"/>
          <w:numId w:val="23"/>
        </w:numPr>
        <w:spacing w:before="120" w:after="120" w:line="276" w:lineRule="auto"/>
        <w:ind w:left="714" w:hanging="357"/>
        <w:jc w:val="both"/>
        <w:rPr>
          <w:rFonts w:ascii="Rockwell" w:hAnsi="Rockwell" w:cs="Arial"/>
          <w:color w:val="7F7F7F" w:themeColor="text1" w:themeTint="80"/>
          <w:sz w:val="24"/>
          <w:szCs w:val="24"/>
        </w:rPr>
      </w:pPr>
      <w:r w:rsidRPr="00DB3640">
        <w:rPr>
          <w:rFonts w:ascii="Rockwell" w:hAnsi="Rockwell" w:cs="Arial"/>
          <w:color w:val="7F7F7F" w:themeColor="text1" w:themeTint="80"/>
          <w:sz w:val="24"/>
          <w:szCs w:val="24"/>
        </w:rPr>
        <w:t>inform the candidate in writing of the outcome of the review of the centre’s marking.</w:t>
      </w:r>
    </w:p>
    <w:p w14:paraId="538966EA" w14:textId="5421C300" w:rsidR="00F149C8" w:rsidRPr="00AB60E7" w:rsidRDefault="00F149C8" w:rsidP="00AB60E7">
      <w:pPr>
        <w:spacing w:before="120" w:after="120" w:line="276" w:lineRule="auto"/>
        <w:jc w:val="both"/>
        <w:rPr>
          <w:rFonts w:ascii="Rockwell" w:hAnsi="Rockwell" w:cs="Arial"/>
          <w:color w:val="7F7F7F" w:themeColor="text1" w:themeTint="80"/>
          <w:sz w:val="24"/>
          <w:szCs w:val="24"/>
        </w:rPr>
      </w:pPr>
      <w:r w:rsidRPr="007F7E98">
        <w:rPr>
          <w:rFonts w:ascii="Rockwell" w:hAnsi="Rockwell" w:cs="Arial"/>
          <w:color w:val="7F7F7F" w:themeColor="text1" w:themeTint="80"/>
          <w:sz w:val="24"/>
          <w:szCs w:val="24"/>
        </w:rPr>
        <w:t>The</w:t>
      </w:r>
      <w:r w:rsidRPr="00AB60E7">
        <w:rPr>
          <w:rFonts w:ascii="Rockwell" w:hAnsi="Rockwell" w:cs="Arial"/>
          <w:color w:val="7F7F7F" w:themeColor="text1" w:themeTint="80"/>
          <w:sz w:val="24"/>
          <w:szCs w:val="24"/>
        </w:rPr>
        <w:t xml:space="preserve"> outcome of the review of the centre’s marking will be made known to the head of centre.  A written record of the review will be kept and made available to the awarding body upon request.</w:t>
      </w:r>
    </w:p>
    <w:p w14:paraId="11905DB8" w14:textId="77777777" w:rsidR="00C01A2D" w:rsidRDefault="00E67C87" w:rsidP="00C01A2D">
      <w:pPr>
        <w:spacing w:line="276" w:lineRule="auto"/>
        <w:jc w:val="both"/>
        <w:rPr>
          <w:rFonts w:ascii="Rockwell" w:hAnsi="Rockwell" w:cs="Arial"/>
          <w:color w:val="7F7F7F" w:themeColor="text1" w:themeTint="80"/>
          <w:sz w:val="24"/>
          <w:szCs w:val="24"/>
        </w:rPr>
      </w:pPr>
      <w:r w:rsidRPr="00DB3640">
        <w:rPr>
          <w:rFonts w:ascii="Rockwell" w:hAnsi="Rockwell" w:cs="Arial"/>
          <w:color w:val="7F7F7F" w:themeColor="text1" w:themeTint="80"/>
          <w:sz w:val="24"/>
          <w:szCs w:val="24"/>
        </w:rPr>
        <w:t>The moderation process carried out by the awarding bodies may result in a mark change, either upwards or downwards, even after an internal review.  The internal review process is in place to ensure consistency of marking within the centre, whereas moderation by the awarding body ensures that centre marking is line with national standards.  The mark submitted to the awarding body is subject to change and should therefore be considered provisional.</w:t>
      </w:r>
    </w:p>
    <w:p w14:paraId="0B1CE481" w14:textId="7B233AB6" w:rsidR="004268DF" w:rsidRPr="00C01A2D" w:rsidRDefault="00244D5C" w:rsidP="00C01A2D">
      <w:pPr>
        <w:spacing w:line="276" w:lineRule="auto"/>
        <w:jc w:val="both"/>
        <w:rPr>
          <w:rStyle w:val="Hyperlink"/>
          <w:rFonts w:ascii="Rockwell" w:hAnsi="Rockwell" w:cs="Arial"/>
          <w:color w:val="7F7F7F" w:themeColor="text1" w:themeTint="80"/>
          <w:sz w:val="24"/>
          <w:szCs w:val="24"/>
          <w:u w:val="none"/>
        </w:rPr>
      </w:pPr>
      <w:r>
        <w:rPr>
          <w:rFonts w:ascii="Rockwell" w:eastAsia="Times New Roman" w:hAnsi="Rockwell" w:cs="Arial"/>
          <w:sz w:val="20"/>
          <w:szCs w:val="20"/>
        </w:rPr>
        <w:lastRenderedPageBreak/>
        <w:t>Th</w:t>
      </w:r>
      <w:r w:rsidR="00143D70">
        <w:rPr>
          <w:rFonts w:ascii="Rockwell" w:eastAsia="Times New Roman" w:hAnsi="Rockwell" w:cs="Arial"/>
          <w:sz w:val="20"/>
          <w:szCs w:val="20"/>
        </w:rPr>
        <w:t>e</w:t>
      </w:r>
      <w:r w:rsidR="00903444" w:rsidRPr="0050262A">
        <w:rPr>
          <w:rFonts w:ascii="Rockwell" w:eastAsia="Times New Roman" w:hAnsi="Rockwell" w:cs="Arial"/>
          <w:sz w:val="20"/>
          <w:szCs w:val="20"/>
        </w:rPr>
        <w:t xml:space="preserve"> </w:t>
      </w:r>
      <w:r w:rsidR="00F6577A" w:rsidRPr="0050262A">
        <w:rPr>
          <w:rFonts w:ascii="Rockwell" w:eastAsia="Times New Roman" w:hAnsi="Rockwell" w:cs="Arial"/>
          <w:sz w:val="20"/>
          <w:szCs w:val="20"/>
        </w:rPr>
        <w:t xml:space="preserve">procedure </w:t>
      </w:r>
      <w:r w:rsidR="008D0AB5" w:rsidRPr="0050262A">
        <w:rPr>
          <w:rFonts w:ascii="Rockwell" w:eastAsia="Times New Roman" w:hAnsi="Rockwell" w:cs="Arial"/>
          <w:sz w:val="20"/>
          <w:szCs w:val="20"/>
        </w:rPr>
        <w:t xml:space="preserve">(in </w:t>
      </w:r>
      <w:r w:rsidR="007840F3" w:rsidRPr="0050262A">
        <w:rPr>
          <w:rFonts w:ascii="Rockwell" w:eastAsia="Times New Roman" w:hAnsi="Rockwell" w:cs="Arial"/>
          <w:color w:val="7F7F7F" w:themeColor="text1" w:themeTint="80"/>
          <w:sz w:val="20"/>
          <w:szCs w:val="20"/>
        </w:rPr>
        <w:t>grey font</w:t>
      </w:r>
      <w:r w:rsidR="008D0AB5" w:rsidRPr="0050262A">
        <w:rPr>
          <w:rFonts w:ascii="Rockwell" w:eastAsia="Times New Roman" w:hAnsi="Rockwell" w:cs="Arial"/>
          <w:sz w:val="20"/>
          <w:szCs w:val="20"/>
        </w:rPr>
        <w:t xml:space="preserve">) </w:t>
      </w:r>
      <w:r w:rsidR="00903444" w:rsidRPr="0050262A">
        <w:rPr>
          <w:rFonts w:ascii="Rockwell" w:eastAsia="Times New Roman" w:hAnsi="Rockwell" w:cs="Arial"/>
          <w:sz w:val="20"/>
          <w:szCs w:val="20"/>
        </w:rPr>
        <w:t xml:space="preserve">is </w:t>
      </w:r>
      <w:r w:rsidR="007840F3" w:rsidRPr="0050262A">
        <w:rPr>
          <w:rFonts w:ascii="Rockwell" w:eastAsia="Times New Roman" w:hAnsi="Rockwell" w:cs="Arial"/>
          <w:sz w:val="20"/>
          <w:szCs w:val="20"/>
        </w:rPr>
        <w:t>quoted</w:t>
      </w:r>
      <w:r w:rsidR="007840F3">
        <w:rPr>
          <w:rFonts w:ascii="Rockwell" w:eastAsia="Times New Roman" w:hAnsi="Rockwell" w:cs="Arial"/>
          <w:sz w:val="20"/>
          <w:szCs w:val="20"/>
        </w:rPr>
        <w:t xml:space="preserve"> directly </w:t>
      </w:r>
      <w:r w:rsidR="00903444" w:rsidRPr="00F6577A">
        <w:rPr>
          <w:rFonts w:ascii="Rockwell" w:eastAsia="Times New Roman" w:hAnsi="Rockwell" w:cs="Arial"/>
          <w:sz w:val="20"/>
          <w:szCs w:val="20"/>
        </w:rPr>
        <w:t xml:space="preserve">from </w:t>
      </w:r>
      <w:r w:rsidR="008D0AB5" w:rsidRPr="00F6577A">
        <w:rPr>
          <w:rFonts w:ascii="Rockwell" w:eastAsia="Times New Roman" w:hAnsi="Rockwell" w:cs="Arial"/>
          <w:sz w:val="20"/>
          <w:szCs w:val="20"/>
        </w:rPr>
        <w:t xml:space="preserve">the </w:t>
      </w:r>
      <w:r w:rsidR="00903444" w:rsidRPr="00DB3640">
        <w:rPr>
          <w:rFonts w:ascii="Rockwell Condensed" w:eastAsia="Times New Roman" w:hAnsi="Rockwell Condensed" w:cs="Arial"/>
          <w:sz w:val="20"/>
          <w:szCs w:val="20"/>
        </w:rPr>
        <w:t>JCQ</w:t>
      </w:r>
      <w:r w:rsidR="008D0AB5" w:rsidRPr="00F6577A">
        <w:rPr>
          <w:rFonts w:ascii="Rockwell" w:eastAsia="Times New Roman" w:hAnsi="Rockwell" w:cs="Arial"/>
          <w:sz w:val="20"/>
          <w:szCs w:val="20"/>
        </w:rPr>
        <w:t xml:space="preserve"> publication</w:t>
      </w:r>
      <w:r w:rsidR="00903444" w:rsidRPr="00F6577A">
        <w:rPr>
          <w:rFonts w:ascii="Rockwell" w:eastAsia="Times New Roman" w:hAnsi="Rockwell" w:cs="Arial"/>
          <w:sz w:val="20"/>
          <w:szCs w:val="20"/>
        </w:rPr>
        <w:t xml:space="preserve"> </w:t>
      </w:r>
      <w:hyperlink r:id="rId9" w:history="1">
        <w:r w:rsidR="00F6577A" w:rsidRPr="00DB3640">
          <w:rPr>
            <w:rStyle w:val="Hyperlink"/>
            <w:rFonts w:ascii="Rockwell Condensed" w:hAnsi="Rockwell Condensed" w:cs="Arial"/>
            <w:sz w:val="20"/>
            <w:szCs w:val="20"/>
          </w:rPr>
          <w:t>Reviews of marking (centre assessed marks) suggested template for centres</w:t>
        </w:r>
      </w:hyperlink>
      <w:r w:rsidR="004268DF">
        <w:rPr>
          <w:rStyle w:val="Hyperlink"/>
          <w:rFonts w:ascii="Rockwell" w:hAnsi="Rockwell" w:cs="Arial"/>
          <w:i/>
          <w:sz w:val="20"/>
          <w:szCs w:val="20"/>
        </w:rPr>
        <w:t xml:space="preserve"> </w:t>
      </w:r>
    </w:p>
    <w:p w14:paraId="6AF7032C" w14:textId="77777777" w:rsidR="003275B4" w:rsidRDefault="003275B4" w:rsidP="00554C81">
      <w:pPr>
        <w:spacing w:before="120" w:after="120" w:line="276" w:lineRule="auto"/>
        <w:ind w:right="-166"/>
        <w:rPr>
          <w:rStyle w:val="Hyperlink"/>
          <w:rFonts w:ascii="Rockwell" w:hAnsi="Rockwell" w:cs="Arial"/>
          <w:color w:val="auto"/>
          <w:sz w:val="20"/>
          <w:szCs w:val="20"/>
          <w:highlight w:val="yellow"/>
          <w:u w:val="none"/>
        </w:rPr>
      </w:pPr>
    </w:p>
    <w:p w14:paraId="253971F0" w14:textId="0200BDB1" w:rsidR="003365DA" w:rsidRPr="00381FB0" w:rsidRDefault="00381FB0" w:rsidP="00381FB0">
      <w:pPr>
        <w:pStyle w:val="Headinglevel1"/>
        <w:rPr>
          <w:rFonts w:ascii="Rockwell" w:hAnsi="Rockwell"/>
        </w:rPr>
      </w:pPr>
      <w:r>
        <w:rPr>
          <w:rFonts w:ascii="Rockwell" w:hAnsi="Rockwell"/>
        </w:rPr>
        <w:t xml:space="preserve">2. </w:t>
      </w:r>
      <w:r w:rsidR="003365DA" w:rsidRPr="00381FB0">
        <w:rPr>
          <w:rFonts w:ascii="Rockwell" w:hAnsi="Rockwell"/>
        </w:rPr>
        <w:t xml:space="preserve">Appeals against </w:t>
      </w:r>
      <w:r w:rsidR="002940E8" w:rsidRPr="00381FB0">
        <w:rPr>
          <w:rFonts w:ascii="Rockwell" w:hAnsi="Rockwell"/>
        </w:rPr>
        <w:t xml:space="preserve">the </w:t>
      </w:r>
      <w:r w:rsidR="003365DA" w:rsidRPr="00381FB0">
        <w:rPr>
          <w:rFonts w:ascii="Rockwell" w:hAnsi="Rockwell"/>
        </w:rPr>
        <w:t>centre</w:t>
      </w:r>
      <w:r w:rsidR="002940E8" w:rsidRPr="00381FB0">
        <w:rPr>
          <w:rFonts w:ascii="Rockwell" w:hAnsi="Rockwell"/>
        </w:rPr>
        <w:t>’s</w:t>
      </w:r>
      <w:r w:rsidR="003365DA" w:rsidRPr="00381FB0">
        <w:rPr>
          <w:rFonts w:ascii="Rockwell" w:hAnsi="Rockwell"/>
        </w:rPr>
        <w:t xml:space="preserve"> </w:t>
      </w:r>
      <w:r w:rsidR="00752113" w:rsidRPr="00381FB0">
        <w:rPr>
          <w:rFonts w:ascii="Rockwell" w:hAnsi="Rockwell"/>
        </w:rPr>
        <w:t>decision not</w:t>
      </w:r>
      <w:r w:rsidR="003365DA" w:rsidRPr="00381FB0">
        <w:rPr>
          <w:rFonts w:ascii="Rockwell" w:hAnsi="Rockwell"/>
        </w:rPr>
        <w:t xml:space="preserve"> to support </w:t>
      </w:r>
      <w:r w:rsidR="002940E8" w:rsidRPr="00381FB0">
        <w:rPr>
          <w:rFonts w:ascii="Rockwell" w:hAnsi="Rockwell"/>
        </w:rPr>
        <w:t xml:space="preserve">a </w:t>
      </w:r>
      <w:r w:rsidR="003365DA" w:rsidRPr="00381FB0">
        <w:rPr>
          <w:rFonts w:ascii="Rockwell" w:hAnsi="Rockwell"/>
        </w:rPr>
        <w:t>clerical check, a review of marking, a review of moderation or an appeal</w:t>
      </w:r>
    </w:p>
    <w:p w14:paraId="362D7435" w14:textId="17B0D233" w:rsidR="00207A5D" w:rsidRPr="00207A5D" w:rsidRDefault="003365DA" w:rsidP="00AB60E7">
      <w:pPr>
        <w:autoSpaceDE w:val="0"/>
        <w:autoSpaceDN w:val="0"/>
        <w:adjustRightInd w:val="0"/>
        <w:spacing w:before="120" w:after="120" w:line="276" w:lineRule="auto"/>
        <w:jc w:val="both"/>
        <w:rPr>
          <w:rFonts w:ascii="Rockwell" w:hAnsi="Rockwell" w:cs="Arial"/>
          <w:i/>
          <w:color w:val="000000"/>
          <w:sz w:val="24"/>
          <w:szCs w:val="24"/>
        </w:rPr>
      </w:pPr>
      <w:r w:rsidRPr="00752113">
        <w:rPr>
          <w:rFonts w:ascii="Rockwell" w:hAnsi="Rockwell" w:cs="Arial"/>
          <w:noProof/>
          <w:sz w:val="24"/>
          <w:szCs w:val="24"/>
        </w:rPr>
        <w:t xml:space="preserve">This procedure confirms </w:t>
      </w:r>
      <w:r w:rsidR="009F26FD">
        <w:rPr>
          <w:rFonts w:ascii="Rockwell" w:hAnsi="Rockwell" w:cs="Arial"/>
          <w:noProof/>
          <w:sz w:val="24"/>
          <w:szCs w:val="24"/>
        </w:rPr>
        <w:t>Evolve</w:t>
      </w:r>
      <w:r w:rsidR="007F7E98">
        <w:rPr>
          <w:rFonts w:ascii="Rockwell" w:hAnsi="Rockwell" w:cs="Arial"/>
          <w:noProof/>
          <w:sz w:val="24"/>
          <w:szCs w:val="24"/>
        </w:rPr>
        <w:t xml:space="preserve"> Academy’s</w:t>
      </w:r>
      <w:r w:rsidRPr="00752113">
        <w:rPr>
          <w:rFonts w:ascii="Rockwell" w:hAnsi="Rockwell" w:cs="Arial"/>
          <w:sz w:val="24"/>
          <w:szCs w:val="24"/>
        </w:rPr>
        <w:t xml:space="preserve"> compliance with JCQ’s </w:t>
      </w:r>
      <w:r w:rsidRPr="00752113">
        <w:rPr>
          <w:rFonts w:ascii="Rockwell" w:hAnsi="Rockwell" w:cs="Arial"/>
          <w:i/>
          <w:sz w:val="24"/>
          <w:szCs w:val="24"/>
        </w:rPr>
        <w:t xml:space="preserve">General Regulations for Approved Centres </w:t>
      </w:r>
      <w:r w:rsidR="006650DA">
        <w:rPr>
          <w:rFonts w:ascii="Rockwell" w:hAnsi="Rockwell" w:cs="Arial"/>
          <w:i/>
          <w:sz w:val="24"/>
          <w:szCs w:val="24"/>
        </w:rPr>
        <w:t>202</w:t>
      </w:r>
      <w:r w:rsidR="00492088">
        <w:rPr>
          <w:rFonts w:ascii="Rockwell" w:hAnsi="Rockwell" w:cs="Arial"/>
          <w:i/>
          <w:sz w:val="24"/>
          <w:szCs w:val="24"/>
        </w:rPr>
        <w:t>5</w:t>
      </w:r>
      <w:r w:rsidRPr="007F7E98">
        <w:rPr>
          <w:rFonts w:ascii="Rockwell" w:hAnsi="Rockwell" w:cs="Arial"/>
          <w:i/>
          <w:sz w:val="24"/>
          <w:szCs w:val="24"/>
        </w:rPr>
        <w:t>-20</w:t>
      </w:r>
      <w:r w:rsidR="006650DA">
        <w:rPr>
          <w:rFonts w:ascii="Rockwell" w:hAnsi="Rockwell" w:cs="Arial"/>
          <w:i/>
          <w:sz w:val="24"/>
          <w:szCs w:val="24"/>
        </w:rPr>
        <w:t>2</w:t>
      </w:r>
      <w:r w:rsidR="00492088">
        <w:rPr>
          <w:rFonts w:ascii="Rockwell" w:hAnsi="Rockwell" w:cs="Arial"/>
          <w:i/>
          <w:sz w:val="24"/>
          <w:szCs w:val="24"/>
        </w:rPr>
        <w:t>6</w:t>
      </w:r>
      <w:r w:rsidRPr="007F7E98">
        <w:rPr>
          <w:rFonts w:ascii="Rockwell" w:hAnsi="Rockwell" w:cs="Arial"/>
          <w:i/>
          <w:sz w:val="24"/>
          <w:szCs w:val="24"/>
        </w:rPr>
        <w:t>, section 5.1</w:t>
      </w:r>
      <w:r w:rsidR="00207A5D" w:rsidRPr="007F7E98">
        <w:rPr>
          <w:rFonts w:ascii="Rockwell" w:hAnsi="Rockwell" w:cs="Arial"/>
          <w:i/>
          <w:sz w:val="24"/>
          <w:szCs w:val="24"/>
        </w:rPr>
        <w:t>3</w:t>
      </w:r>
      <w:r w:rsidRPr="00752113">
        <w:rPr>
          <w:rFonts w:ascii="Rockwell" w:hAnsi="Rockwell" w:cs="Arial"/>
          <w:i/>
          <w:sz w:val="24"/>
          <w:szCs w:val="24"/>
        </w:rPr>
        <w:t xml:space="preserve"> </w:t>
      </w:r>
      <w:r w:rsidRPr="00752113">
        <w:rPr>
          <w:rFonts w:ascii="Rockwell" w:hAnsi="Rockwell" w:cs="Arial"/>
          <w:sz w:val="24"/>
          <w:szCs w:val="24"/>
        </w:rPr>
        <w:t>that the centre has in place</w:t>
      </w:r>
      <w:r w:rsidRPr="00752113">
        <w:rPr>
          <w:rFonts w:ascii="Rockwell" w:hAnsi="Rockwell" w:cs="Arial"/>
          <w:b/>
          <w:bCs/>
          <w:i/>
          <w:color w:val="000000"/>
          <w:sz w:val="24"/>
          <w:szCs w:val="24"/>
        </w:rPr>
        <w:t xml:space="preserve"> “</w:t>
      </w:r>
      <w:r w:rsidRPr="00752113">
        <w:rPr>
          <w:rFonts w:ascii="Rockwell" w:hAnsi="Rockwell" w:cs="Arial"/>
          <w:i/>
          <w:color w:val="000000"/>
          <w:sz w:val="24"/>
          <w:szCs w:val="24"/>
        </w:rPr>
        <w:t xml:space="preserve">a </w:t>
      </w:r>
      <w:r w:rsidRPr="00752113">
        <w:rPr>
          <w:rFonts w:ascii="Rockwell" w:hAnsi="Rockwell" w:cs="Arial"/>
          <w:bCs/>
          <w:i/>
          <w:color w:val="000000"/>
          <w:sz w:val="24"/>
          <w:szCs w:val="24"/>
        </w:rPr>
        <w:t xml:space="preserve">written </w:t>
      </w:r>
      <w:r w:rsidRPr="00752113">
        <w:rPr>
          <w:rFonts w:ascii="Rockwell" w:hAnsi="Rockwell" w:cs="Arial"/>
          <w:i/>
          <w:color w:val="000000"/>
          <w:sz w:val="24"/>
          <w:szCs w:val="24"/>
        </w:rPr>
        <w:t>internal appeals procedure to manage disputes when a candidate disagrees with a centre decision not to support a clerical check, a review of marking, a review of moderation or an appeal...”</w:t>
      </w:r>
    </w:p>
    <w:p w14:paraId="48F25D9D" w14:textId="79A3D210" w:rsidR="00135FEF" w:rsidRDefault="00903444" w:rsidP="00AB60E7">
      <w:pPr>
        <w:spacing w:before="120" w:after="120" w:line="276" w:lineRule="auto"/>
        <w:jc w:val="both"/>
        <w:rPr>
          <w:rFonts w:ascii="Rockwell" w:hAnsi="Rockwell" w:cs="Arial"/>
          <w:sz w:val="24"/>
          <w:szCs w:val="24"/>
        </w:rPr>
      </w:pPr>
      <w:r w:rsidRPr="00752113">
        <w:rPr>
          <w:rFonts w:ascii="Rockwell" w:hAnsi="Rockwell" w:cs="Arial"/>
          <w:sz w:val="24"/>
          <w:szCs w:val="24"/>
        </w:rPr>
        <w:t xml:space="preserve">Following the </w:t>
      </w:r>
      <w:r w:rsidR="00B76344" w:rsidRPr="00752113">
        <w:rPr>
          <w:rFonts w:ascii="Rockwell" w:hAnsi="Rockwell" w:cs="Arial"/>
          <w:sz w:val="24"/>
          <w:szCs w:val="24"/>
        </w:rPr>
        <w:t>issue of results</w:t>
      </w:r>
      <w:r w:rsidR="0069794D" w:rsidRPr="00752113">
        <w:rPr>
          <w:rFonts w:ascii="Rockwell" w:hAnsi="Rockwell" w:cs="Arial"/>
          <w:sz w:val="24"/>
          <w:szCs w:val="24"/>
        </w:rPr>
        <w:t>,</w:t>
      </w:r>
      <w:r w:rsidR="00B76344" w:rsidRPr="00752113">
        <w:rPr>
          <w:rFonts w:ascii="Rockwell" w:hAnsi="Rockwell" w:cs="Arial"/>
          <w:sz w:val="24"/>
          <w:szCs w:val="24"/>
        </w:rPr>
        <w:t xml:space="preserve"> </w:t>
      </w:r>
      <w:r w:rsidR="008D0AB5" w:rsidRPr="00752113">
        <w:rPr>
          <w:rFonts w:ascii="Rockwell" w:hAnsi="Rockwell" w:cs="Arial"/>
          <w:sz w:val="24"/>
          <w:szCs w:val="24"/>
        </w:rPr>
        <w:t xml:space="preserve">awarding bodies </w:t>
      </w:r>
      <w:r w:rsidR="00B76344" w:rsidRPr="00752113">
        <w:rPr>
          <w:rFonts w:ascii="Rockwell" w:hAnsi="Rockwell" w:cs="Arial"/>
          <w:sz w:val="24"/>
          <w:szCs w:val="24"/>
        </w:rPr>
        <w:t xml:space="preserve">make </w:t>
      </w:r>
      <w:r w:rsidR="008D0AB5" w:rsidRPr="00752113">
        <w:rPr>
          <w:rFonts w:ascii="Rockwell" w:hAnsi="Rockwell" w:cs="Arial"/>
          <w:sz w:val="24"/>
          <w:szCs w:val="24"/>
        </w:rPr>
        <w:t>post-results services</w:t>
      </w:r>
      <w:r w:rsidR="00B76344" w:rsidRPr="00752113">
        <w:rPr>
          <w:rFonts w:ascii="Rockwell" w:hAnsi="Rockwell" w:cs="Arial"/>
          <w:sz w:val="24"/>
          <w:szCs w:val="24"/>
        </w:rPr>
        <w:t xml:space="preserve"> available</w:t>
      </w:r>
      <w:r w:rsidR="008D0AB5" w:rsidRPr="00752113">
        <w:rPr>
          <w:rFonts w:ascii="Rockwell" w:hAnsi="Rockwell" w:cs="Arial"/>
          <w:sz w:val="24"/>
          <w:szCs w:val="24"/>
        </w:rPr>
        <w:t>.</w:t>
      </w:r>
      <w:r w:rsidR="007F7E98">
        <w:rPr>
          <w:rFonts w:ascii="Rockwell" w:hAnsi="Rockwell" w:cs="Arial"/>
          <w:sz w:val="24"/>
          <w:szCs w:val="24"/>
        </w:rPr>
        <w:t xml:space="preserve"> </w:t>
      </w:r>
      <w:r w:rsidRPr="00752113">
        <w:rPr>
          <w:rFonts w:ascii="Rockwell" w:hAnsi="Rockwell" w:cs="Arial"/>
          <w:sz w:val="24"/>
          <w:szCs w:val="24"/>
        </w:rPr>
        <w:t xml:space="preserve">Full details of these services, internal deadlines for requesting a service and fees charged </w:t>
      </w:r>
      <w:r w:rsidR="00F548D0" w:rsidRPr="00752113">
        <w:rPr>
          <w:rFonts w:ascii="Rockwell" w:hAnsi="Rockwell" w:cs="Arial"/>
          <w:sz w:val="24"/>
          <w:szCs w:val="24"/>
        </w:rPr>
        <w:t>are</w:t>
      </w:r>
      <w:r w:rsidRPr="00752113">
        <w:rPr>
          <w:rFonts w:ascii="Rockwell" w:hAnsi="Rockwell" w:cs="Arial"/>
          <w:sz w:val="24"/>
          <w:szCs w:val="24"/>
        </w:rPr>
        <w:t xml:space="preserve"> provided by the exams officer.</w:t>
      </w:r>
      <w:r w:rsidR="00752113">
        <w:rPr>
          <w:rFonts w:ascii="Rockwell" w:hAnsi="Rockwell" w:cs="Arial"/>
          <w:sz w:val="24"/>
          <w:szCs w:val="24"/>
        </w:rPr>
        <w:t xml:space="preserve"> </w:t>
      </w:r>
    </w:p>
    <w:p w14:paraId="61256AD5" w14:textId="4F267613" w:rsidR="00903444" w:rsidRPr="00752113" w:rsidRDefault="007840F3" w:rsidP="00AB60E7">
      <w:pPr>
        <w:spacing w:before="120" w:after="120" w:line="276" w:lineRule="auto"/>
        <w:jc w:val="both"/>
        <w:rPr>
          <w:rFonts w:ascii="Rockwell" w:hAnsi="Rockwell" w:cs="Arial"/>
          <w:sz w:val="24"/>
          <w:szCs w:val="24"/>
        </w:rPr>
      </w:pPr>
      <w:r>
        <w:rPr>
          <w:rFonts w:ascii="Rockwell" w:hAnsi="Rockwell" w:cs="Arial"/>
          <w:sz w:val="24"/>
          <w:szCs w:val="24"/>
        </w:rPr>
        <w:t xml:space="preserve">Candidates are also informed of the arrangements for post-results services </w:t>
      </w:r>
      <w:r w:rsidRPr="00B9377C">
        <w:rPr>
          <w:rFonts w:ascii="Rockwell" w:hAnsi="Rockwell" w:cs="Arial"/>
          <w:b/>
          <w:sz w:val="24"/>
          <w:szCs w:val="24"/>
        </w:rPr>
        <w:t>before</w:t>
      </w:r>
      <w:r>
        <w:rPr>
          <w:rFonts w:ascii="Rockwell" w:hAnsi="Rockwell" w:cs="Arial"/>
          <w:sz w:val="24"/>
          <w:szCs w:val="24"/>
        </w:rPr>
        <w:t xml:space="preserve"> they sit any exams and the accessibility of s</w:t>
      </w:r>
      <w:r w:rsidRPr="007840F3">
        <w:rPr>
          <w:rFonts w:ascii="Rockwell" w:hAnsi="Rockwell" w:cs="Arial"/>
          <w:sz w:val="24"/>
          <w:szCs w:val="24"/>
        </w:rPr>
        <w:t>enior members of centre staff immediately after the publication of results</w:t>
      </w:r>
      <w:r w:rsidR="00B9377C">
        <w:rPr>
          <w:rFonts w:ascii="Rockwell" w:hAnsi="Rockwell" w:cs="Arial"/>
          <w:sz w:val="24"/>
          <w:szCs w:val="24"/>
        </w:rPr>
        <w:t xml:space="preserve"> by </w:t>
      </w:r>
      <w:r w:rsidR="007F7E98">
        <w:rPr>
          <w:rFonts w:ascii="Rockwell" w:hAnsi="Rockwell" w:cs="Arial"/>
          <w:sz w:val="24"/>
          <w:szCs w:val="24"/>
        </w:rPr>
        <w:t>letter and exams assembly</w:t>
      </w:r>
      <w:r w:rsidR="00B9377C">
        <w:rPr>
          <w:rFonts w:ascii="Rockwell" w:hAnsi="Rockwell" w:cs="Arial"/>
          <w:sz w:val="24"/>
          <w:szCs w:val="24"/>
        </w:rPr>
        <w:t>.</w:t>
      </w:r>
    </w:p>
    <w:p w14:paraId="738045A4" w14:textId="6D0F7420" w:rsidR="00E10E9D" w:rsidRPr="008566E2" w:rsidRDefault="00E10E9D" w:rsidP="00AB60E7">
      <w:pPr>
        <w:spacing w:before="120" w:after="120" w:line="276" w:lineRule="auto"/>
        <w:jc w:val="both"/>
        <w:rPr>
          <w:rFonts w:ascii="Rockwell" w:hAnsi="Rockwell" w:cs="Arial"/>
          <w:sz w:val="24"/>
          <w:szCs w:val="24"/>
        </w:rPr>
      </w:pPr>
      <w:r w:rsidRPr="00752113">
        <w:rPr>
          <w:rFonts w:ascii="Rockwell" w:hAnsi="Rockwell" w:cs="Arial"/>
          <w:sz w:val="24"/>
          <w:szCs w:val="24"/>
        </w:rPr>
        <w:t xml:space="preserve">If the centre or a candidate (or </w:t>
      </w:r>
      <w:r w:rsidR="00FD36DF" w:rsidRPr="00752113">
        <w:rPr>
          <w:rFonts w:ascii="Rockwell" w:hAnsi="Rockwell" w:cs="Arial"/>
          <w:sz w:val="24"/>
          <w:szCs w:val="24"/>
        </w:rPr>
        <w:t xml:space="preserve">his/her </w:t>
      </w:r>
      <w:r w:rsidRPr="00752113">
        <w:rPr>
          <w:rFonts w:ascii="Rockwell" w:hAnsi="Rockwell" w:cs="Arial"/>
          <w:sz w:val="24"/>
          <w:szCs w:val="24"/>
        </w:rPr>
        <w:t xml:space="preserve">parent/carer) has </w:t>
      </w:r>
      <w:r w:rsidR="00B9377C">
        <w:rPr>
          <w:rFonts w:ascii="Rockwell" w:hAnsi="Rockwell" w:cs="Arial"/>
          <w:sz w:val="24"/>
          <w:szCs w:val="24"/>
        </w:rPr>
        <w:t>a concern and</w:t>
      </w:r>
      <w:r w:rsidRPr="00752113">
        <w:rPr>
          <w:rFonts w:ascii="Rockwell" w:hAnsi="Rockwell" w:cs="Arial"/>
          <w:sz w:val="24"/>
          <w:szCs w:val="24"/>
        </w:rPr>
        <w:t xml:space="preserve"> believe</w:t>
      </w:r>
      <w:r w:rsidR="00B9377C">
        <w:rPr>
          <w:rFonts w:ascii="Rockwell" w:hAnsi="Rockwell" w:cs="Arial"/>
          <w:sz w:val="24"/>
          <w:szCs w:val="24"/>
        </w:rPr>
        <w:t>s</w:t>
      </w:r>
      <w:r w:rsidRPr="00752113">
        <w:rPr>
          <w:rFonts w:ascii="Rockwell" w:hAnsi="Rockwell" w:cs="Arial"/>
          <w:sz w:val="24"/>
          <w:szCs w:val="24"/>
        </w:rPr>
        <w:t xml:space="preserve"> a result may not be accurate</w:t>
      </w:r>
      <w:r w:rsidR="00E247AC">
        <w:rPr>
          <w:rFonts w:ascii="Rockwell" w:hAnsi="Rockwell" w:cs="Arial"/>
          <w:sz w:val="24"/>
          <w:szCs w:val="24"/>
        </w:rPr>
        <w:t>,</w:t>
      </w:r>
      <w:r w:rsidRPr="00752113">
        <w:rPr>
          <w:rFonts w:ascii="Rockwell" w:hAnsi="Rockwell" w:cs="Arial"/>
          <w:sz w:val="24"/>
          <w:szCs w:val="24"/>
        </w:rPr>
        <w:t xml:space="preserve"> </w:t>
      </w:r>
      <w:r w:rsidR="008566E2" w:rsidRPr="008566E2">
        <w:rPr>
          <w:rFonts w:ascii="Rockwell" w:hAnsi="Rockwell" w:cs="Arial"/>
        </w:rPr>
        <w:t>post-results services may be considered</w:t>
      </w:r>
      <w:r w:rsidR="008566E2" w:rsidRPr="008566E2">
        <w:rPr>
          <w:rFonts w:cs="Arial"/>
        </w:rPr>
        <w:t xml:space="preserve">. </w:t>
      </w:r>
    </w:p>
    <w:p w14:paraId="0AA3C627" w14:textId="77777777" w:rsidR="008566E2" w:rsidRPr="008566E2" w:rsidRDefault="008566E2" w:rsidP="008566E2">
      <w:pPr>
        <w:spacing w:before="120" w:after="120" w:line="276" w:lineRule="auto"/>
        <w:jc w:val="both"/>
        <w:rPr>
          <w:rFonts w:ascii="Rockwell" w:hAnsi="Rockwell" w:cs="Arial"/>
          <w:sz w:val="24"/>
          <w:szCs w:val="24"/>
        </w:rPr>
      </w:pPr>
      <w:r w:rsidRPr="008566E2">
        <w:rPr>
          <w:rFonts w:ascii="Rockwell" w:hAnsi="Rockwell" w:cs="Arial"/>
          <w:sz w:val="24"/>
          <w:szCs w:val="24"/>
        </w:rPr>
        <w:t>The JCQ post-results services currently available are detailed below.</w:t>
      </w:r>
    </w:p>
    <w:p w14:paraId="47F582DC" w14:textId="77777777" w:rsidR="008566E2" w:rsidRPr="008566E2" w:rsidRDefault="008566E2" w:rsidP="008566E2">
      <w:pPr>
        <w:spacing w:line="276" w:lineRule="auto"/>
        <w:rPr>
          <w:rFonts w:ascii="Rockwell" w:hAnsi="Rockwell"/>
          <w:b/>
          <w:sz w:val="24"/>
          <w:szCs w:val="24"/>
        </w:rPr>
      </w:pPr>
      <w:r w:rsidRPr="008566E2">
        <w:rPr>
          <w:rFonts w:ascii="Rockwell" w:hAnsi="Rockwell"/>
          <w:b/>
          <w:bCs/>
          <w:sz w:val="24"/>
          <w:szCs w:val="24"/>
        </w:rPr>
        <w:t>Reviews of Results</w:t>
      </w:r>
      <w:r w:rsidRPr="008566E2">
        <w:rPr>
          <w:rFonts w:ascii="Rockwell" w:hAnsi="Rockwell"/>
          <w:sz w:val="24"/>
          <w:szCs w:val="24"/>
        </w:rPr>
        <w:t xml:space="preserve"> (RoRs):</w:t>
      </w:r>
    </w:p>
    <w:p w14:paraId="30AA10B5" w14:textId="77777777" w:rsidR="008566E2" w:rsidRPr="008566E2" w:rsidRDefault="008566E2" w:rsidP="008566E2">
      <w:pPr>
        <w:numPr>
          <w:ilvl w:val="0"/>
          <w:numId w:val="30"/>
        </w:numPr>
        <w:spacing w:line="276" w:lineRule="auto"/>
        <w:contextualSpacing/>
        <w:rPr>
          <w:rFonts w:ascii="Rockwell" w:hAnsi="Rockwell"/>
          <w:b/>
          <w:sz w:val="24"/>
          <w:szCs w:val="24"/>
        </w:rPr>
      </w:pPr>
      <w:r w:rsidRPr="008566E2">
        <w:rPr>
          <w:rFonts w:ascii="Rockwell" w:hAnsi="Rockwell"/>
          <w:sz w:val="24"/>
          <w:szCs w:val="24"/>
        </w:rPr>
        <w:t>Service 1 (Clerical re-check)</w:t>
      </w:r>
    </w:p>
    <w:p w14:paraId="074FC0FB" w14:textId="77777777" w:rsidR="008566E2" w:rsidRPr="008566E2" w:rsidRDefault="008566E2" w:rsidP="008566E2">
      <w:pPr>
        <w:spacing w:line="276" w:lineRule="auto"/>
        <w:ind w:left="720"/>
        <w:contextualSpacing/>
        <w:rPr>
          <w:rFonts w:ascii="Rockwell" w:hAnsi="Rockwell"/>
          <w:b/>
          <w:sz w:val="24"/>
          <w:szCs w:val="24"/>
        </w:rPr>
      </w:pPr>
      <w:r w:rsidRPr="008566E2">
        <w:rPr>
          <w:rFonts w:ascii="Rockwell" w:hAnsi="Rockwell"/>
          <w:sz w:val="24"/>
          <w:szCs w:val="24"/>
        </w:rPr>
        <w:t>This is the only service that can be requested for objective tests (multiple choice tests)</w:t>
      </w:r>
    </w:p>
    <w:p w14:paraId="19AB0CC4" w14:textId="77777777" w:rsidR="008566E2" w:rsidRPr="008566E2" w:rsidRDefault="008566E2" w:rsidP="008566E2">
      <w:pPr>
        <w:numPr>
          <w:ilvl w:val="0"/>
          <w:numId w:val="30"/>
        </w:numPr>
        <w:spacing w:line="276" w:lineRule="auto"/>
        <w:contextualSpacing/>
        <w:rPr>
          <w:rFonts w:ascii="Rockwell" w:hAnsi="Rockwell"/>
          <w:b/>
          <w:sz w:val="24"/>
          <w:szCs w:val="24"/>
        </w:rPr>
      </w:pPr>
      <w:r w:rsidRPr="008566E2">
        <w:rPr>
          <w:rFonts w:ascii="Rockwell" w:hAnsi="Rockwell"/>
          <w:sz w:val="24"/>
          <w:szCs w:val="24"/>
        </w:rPr>
        <w:t>Service 2 (Review of marking)</w:t>
      </w:r>
    </w:p>
    <w:p w14:paraId="52157BCA" w14:textId="77777777" w:rsidR="008566E2" w:rsidRPr="008566E2" w:rsidRDefault="008566E2" w:rsidP="008566E2">
      <w:pPr>
        <w:numPr>
          <w:ilvl w:val="0"/>
          <w:numId w:val="30"/>
        </w:numPr>
        <w:spacing w:line="276" w:lineRule="auto"/>
        <w:contextualSpacing/>
        <w:rPr>
          <w:rFonts w:ascii="Rockwell" w:hAnsi="Rockwell"/>
          <w:bCs/>
          <w:sz w:val="24"/>
          <w:szCs w:val="24"/>
        </w:rPr>
      </w:pPr>
      <w:r w:rsidRPr="008566E2">
        <w:rPr>
          <w:rFonts w:ascii="Rockwell" w:hAnsi="Rockwell"/>
          <w:bCs/>
          <w:sz w:val="24"/>
          <w:szCs w:val="24"/>
        </w:rPr>
        <w:t xml:space="preserve">Priority Service 2 (Review of marking) </w:t>
      </w:r>
    </w:p>
    <w:p w14:paraId="1D3AE441" w14:textId="77777777" w:rsidR="008566E2" w:rsidRPr="008566E2" w:rsidRDefault="008566E2" w:rsidP="008566E2">
      <w:pPr>
        <w:spacing w:line="276" w:lineRule="auto"/>
        <w:ind w:left="720"/>
        <w:contextualSpacing/>
        <w:rPr>
          <w:rFonts w:ascii="Rockwell" w:hAnsi="Rockwell"/>
          <w:b/>
          <w:sz w:val="24"/>
          <w:szCs w:val="24"/>
        </w:rPr>
      </w:pPr>
      <w:r w:rsidRPr="008566E2">
        <w:rPr>
          <w:rFonts w:ascii="Rockwell" w:hAnsi="Rockwell"/>
          <w:bCs/>
          <w:sz w:val="24"/>
          <w:szCs w:val="24"/>
        </w:rPr>
        <w:t>This service is only available for externally assessed components of GCE A-level specifications (an individual awarding body may also offer this priority service for other qualifications)</w:t>
      </w:r>
    </w:p>
    <w:p w14:paraId="77534C5B" w14:textId="77777777" w:rsidR="008566E2" w:rsidRPr="008566E2" w:rsidRDefault="008566E2" w:rsidP="008566E2">
      <w:pPr>
        <w:numPr>
          <w:ilvl w:val="0"/>
          <w:numId w:val="30"/>
        </w:numPr>
        <w:spacing w:line="276" w:lineRule="auto"/>
        <w:contextualSpacing/>
        <w:rPr>
          <w:rFonts w:ascii="Rockwell" w:hAnsi="Rockwell"/>
          <w:b/>
          <w:sz w:val="24"/>
          <w:szCs w:val="24"/>
        </w:rPr>
      </w:pPr>
      <w:r w:rsidRPr="008566E2">
        <w:rPr>
          <w:rFonts w:ascii="Rockwell" w:hAnsi="Rockwell"/>
          <w:sz w:val="24"/>
          <w:szCs w:val="24"/>
        </w:rPr>
        <w:t xml:space="preserve">Service 3 (Review of moderation) </w:t>
      </w:r>
    </w:p>
    <w:p w14:paraId="51A5287B" w14:textId="77777777" w:rsidR="008566E2" w:rsidRPr="008566E2" w:rsidRDefault="008566E2" w:rsidP="008566E2">
      <w:pPr>
        <w:spacing w:line="276" w:lineRule="auto"/>
        <w:ind w:left="720"/>
        <w:contextualSpacing/>
        <w:rPr>
          <w:rFonts w:ascii="Rockwell" w:hAnsi="Rockwell"/>
          <w:b/>
          <w:sz w:val="24"/>
          <w:szCs w:val="24"/>
        </w:rPr>
      </w:pPr>
      <w:r w:rsidRPr="008566E2">
        <w:rPr>
          <w:rFonts w:ascii="Rockwell" w:hAnsi="Rockwell"/>
          <w:sz w:val="24"/>
          <w:szCs w:val="24"/>
        </w:rPr>
        <w:t>This service is not available to an individual candidate</w:t>
      </w:r>
    </w:p>
    <w:p w14:paraId="480EE667" w14:textId="77777777" w:rsidR="008566E2" w:rsidRPr="008566E2" w:rsidRDefault="008566E2" w:rsidP="008566E2">
      <w:pPr>
        <w:spacing w:before="120" w:after="120" w:line="276" w:lineRule="auto"/>
        <w:jc w:val="both"/>
        <w:rPr>
          <w:rFonts w:ascii="Rockwell" w:hAnsi="Rockwell" w:cs="Arial"/>
          <w:sz w:val="24"/>
          <w:szCs w:val="24"/>
        </w:rPr>
      </w:pPr>
      <w:r w:rsidRPr="008566E2">
        <w:rPr>
          <w:rFonts w:ascii="Rockwell" w:hAnsi="Rockwell" w:cs="Arial"/>
          <w:b/>
          <w:bCs/>
          <w:sz w:val="24"/>
          <w:szCs w:val="24"/>
        </w:rPr>
        <w:t>Access to Scripts</w:t>
      </w:r>
      <w:r w:rsidRPr="008566E2">
        <w:rPr>
          <w:rFonts w:ascii="Rockwell" w:hAnsi="Rockwell" w:cs="Arial"/>
          <w:sz w:val="24"/>
          <w:szCs w:val="24"/>
        </w:rPr>
        <w:t xml:space="preserve"> (ATS):</w:t>
      </w:r>
    </w:p>
    <w:p w14:paraId="7EA9D096" w14:textId="77777777" w:rsidR="008566E2" w:rsidRPr="008566E2" w:rsidRDefault="008566E2" w:rsidP="008566E2">
      <w:pPr>
        <w:numPr>
          <w:ilvl w:val="0"/>
          <w:numId w:val="32"/>
        </w:numPr>
        <w:spacing w:before="120" w:after="120" w:line="276" w:lineRule="auto"/>
        <w:contextualSpacing/>
        <w:jc w:val="both"/>
        <w:rPr>
          <w:rFonts w:ascii="Rockwell" w:hAnsi="Rockwell" w:cs="Arial"/>
          <w:sz w:val="24"/>
          <w:szCs w:val="24"/>
        </w:rPr>
      </w:pPr>
      <w:r w:rsidRPr="008566E2">
        <w:rPr>
          <w:rFonts w:ascii="Rockwell" w:hAnsi="Rockwell" w:cs="Arial"/>
          <w:sz w:val="24"/>
          <w:szCs w:val="24"/>
        </w:rPr>
        <w:t xml:space="preserve">Copies of scripts to support reviews of marking </w:t>
      </w:r>
    </w:p>
    <w:p w14:paraId="53B3FC28" w14:textId="77777777" w:rsidR="008566E2" w:rsidRPr="008566E2" w:rsidRDefault="008566E2" w:rsidP="008566E2">
      <w:pPr>
        <w:numPr>
          <w:ilvl w:val="0"/>
          <w:numId w:val="32"/>
        </w:numPr>
        <w:spacing w:before="120" w:after="120" w:line="276" w:lineRule="auto"/>
        <w:contextualSpacing/>
        <w:jc w:val="both"/>
        <w:rPr>
          <w:rFonts w:ascii="Rockwell" w:hAnsi="Rockwell" w:cs="Arial"/>
          <w:sz w:val="24"/>
          <w:szCs w:val="24"/>
        </w:rPr>
      </w:pPr>
      <w:r w:rsidRPr="008566E2">
        <w:rPr>
          <w:rFonts w:ascii="Rockwell" w:hAnsi="Rockwell" w:cs="Arial"/>
          <w:sz w:val="24"/>
          <w:szCs w:val="24"/>
        </w:rPr>
        <w:t>copies of scripts to support teaching and learning</w:t>
      </w:r>
    </w:p>
    <w:p w14:paraId="3ADD7980" w14:textId="77777777" w:rsidR="008566E2" w:rsidRPr="008566E2" w:rsidRDefault="008566E2" w:rsidP="008566E2">
      <w:pPr>
        <w:spacing w:before="120" w:after="120" w:line="276" w:lineRule="auto"/>
        <w:ind w:left="720"/>
        <w:contextualSpacing/>
        <w:jc w:val="both"/>
        <w:rPr>
          <w:rFonts w:ascii="Rockwell" w:hAnsi="Rockwell" w:cs="Arial"/>
          <w:sz w:val="24"/>
          <w:szCs w:val="24"/>
        </w:rPr>
      </w:pPr>
    </w:p>
    <w:p w14:paraId="383423A2" w14:textId="770CC23D" w:rsidR="008566E2" w:rsidRPr="008566E2" w:rsidRDefault="008566E2" w:rsidP="008566E2">
      <w:pPr>
        <w:spacing w:line="276" w:lineRule="auto"/>
        <w:jc w:val="both"/>
        <w:rPr>
          <w:rFonts w:ascii="Rockwell" w:hAnsi="Rockwell"/>
          <w:b/>
          <w:sz w:val="24"/>
          <w:szCs w:val="24"/>
        </w:rPr>
      </w:pPr>
      <w:r w:rsidRPr="008566E2">
        <w:rPr>
          <w:rFonts w:ascii="Rockwell" w:hAnsi="Rockwell"/>
          <w:sz w:val="24"/>
          <w:szCs w:val="24"/>
        </w:rPr>
        <w:t xml:space="preserve">Where a concern is expressed that a particular result may not be accurate, the centre will look at the marks awarded for each component part of the qualification alongside any mark schemes, relevant result reports, grade boundary information etc. when made available by the awarding body to determine if the centre supports any concerns. </w:t>
      </w:r>
    </w:p>
    <w:p w14:paraId="39D24AE3" w14:textId="77777777" w:rsidR="0062773C" w:rsidRDefault="0062773C" w:rsidP="008566E2">
      <w:pPr>
        <w:spacing w:line="276" w:lineRule="auto"/>
        <w:jc w:val="both"/>
        <w:rPr>
          <w:rFonts w:ascii="Rockwell" w:hAnsi="Rockwell"/>
          <w:sz w:val="24"/>
          <w:szCs w:val="24"/>
        </w:rPr>
      </w:pPr>
    </w:p>
    <w:p w14:paraId="4347C2A3" w14:textId="77E57BFB" w:rsidR="008566E2" w:rsidRPr="008566E2" w:rsidRDefault="008566E2" w:rsidP="008566E2">
      <w:pPr>
        <w:spacing w:line="276" w:lineRule="auto"/>
        <w:jc w:val="both"/>
        <w:rPr>
          <w:rFonts w:ascii="Rockwell" w:hAnsi="Rockwell"/>
          <w:sz w:val="24"/>
          <w:szCs w:val="24"/>
        </w:rPr>
      </w:pPr>
      <w:r w:rsidRPr="008566E2">
        <w:rPr>
          <w:rFonts w:ascii="Rockwell" w:hAnsi="Rockwell"/>
          <w:sz w:val="24"/>
          <w:szCs w:val="24"/>
        </w:rPr>
        <w:t>For written components that contributed to the final result, the centre will:</w:t>
      </w:r>
    </w:p>
    <w:p w14:paraId="3302B750" w14:textId="77777777" w:rsidR="008566E2" w:rsidRPr="008566E2" w:rsidRDefault="008566E2" w:rsidP="008566E2">
      <w:pPr>
        <w:numPr>
          <w:ilvl w:val="0"/>
          <w:numId w:val="31"/>
        </w:numPr>
        <w:spacing w:line="276" w:lineRule="auto"/>
        <w:contextualSpacing/>
        <w:jc w:val="both"/>
        <w:rPr>
          <w:rFonts w:ascii="Rockwell" w:hAnsi="Rockwell"/>
          <w:sz w:val="24"/>
          <w:szCs w:val="24"/>
        </w:rPr>
      </w:pPr>
      <w:r w:rsidRPr="008566E2">
        <w:rPr>
          <w:rFonts w:ascii="Rockwell" w:hAnsi="Rockwell"/>
          <w:sz w:val="24"/>
          <w:szCs w:val="24"/>
        </w:rPr>
        <w:t xml:space="preserve">Where a place a university or college is at risk, consider supporting a request for a Priority Service 2 review of marking </w:t>
      </w:r>
    </w:p>
    <w:p w14:paraId="0A3F5893" w14:textId="77777777" w:rsidR="008566E2" w:rsidRPr="008566E2" w:rsidRDefault="008566E2" w:rsidP="008566E2">
      <w:pPr>
        <w:numPr>
          <w:ilvl w:val="0"/>
          <w:numId w:val="31"/>
        </w:numPr>
        <w:spacing w:line="276" w:lineRule="auto"/>
        <w:contextualSpacing/>
        <w:jc w:val="both"/>
        <w:rPr>
          <w:rFonts w:ascii="Rockwell" w:hAnsi="Rockwell"/>
          <w:sz w:val="24"/>
          <w:szCs w:val="24"/>
        </w:rPr>
      </w:pPr>
      <w:r w:rsidRPr="008566E2">
        <w:rPr>
          <w:rFonts w:ascii="Rockwell" w:hAnsi="Rockwell"/>
          <w:sz w:val="24"/>
          <w:szCs w:val="24"/>
        </w:rPr>
        <w:t>In all other instances, consider accessing the script by:</w:t>
      </w:r>
    </w:p>
    <w:p w14:paraId="3B35B115" w14:textId="77777777" w:rsidR="008566E2" w:rsidRPr="008566E2" w:rsidRDefault="008566E2" w:rsidP="008566E2">
      <w:pPr>
        <w:numPr>
          <w:ilvl w:val="1"/>
          <w:numId w:val="31"/>
        </w:numPr>
        <w:spacing w:line="276" w:lineRule="auto"/>
        <w:contextualSpacing/>
        <w:jc w:val="both"/>
        <w:rPr>
          <w:rFonts w:ascii="Rockwell" w:hAnsi="Rockwell"/>
          <w:sz w:val="24"/>
          <w:szCs w:val="24"/>
        </w:rPr>
      </w:pPr>
      <w:r w:rsidRPr="008566E2">
        <w:rPr>
          <w:rFonts w:ascii="Rockwell" w:hAnsi="Rockwell"/>
          <w:color w:val="141414"/>
          <w:sz w:val="24"/>
          <w:szCs w:val="24"/>
          <w:shd w:val="clear" w:color="auto" w:fill="FFFFFF"/>
        </w:rPr>
        <w:lastRenderedPageBreak/>
        <w:t>(</w:t>
      </w:r>
      <w:r w:rsidRPr="008566E2">
        <w:rPr>
          <w:rFonts w:ascii="Rockwell" w:hAnsi="Rockwell"/>
          <w:sz w:val="24"/>
          <w:szCs w:val="24"/>
        </w:rPr>
        <w:t xml:space="preserve">where the service is made available by the awarding body) requesting a priority copy of the candidate’s script to support a review of marking by the awarding body deadline or </w:t>
      </w:r>
    </w:p>
    <w:p w14:paraId="15D73684" w14:textId="77777777" w:rsidR="008566E2" w:rsidRPr="008566E2" w:rsidRDefault="008566E2" w:rsidP="008566E2">
      <w:pPr>
        <w:numPr>
          <w:ilvl w:val="1"/>
          <w:numId w:val="31"/>
        </w:numPr>
        <w:spacing w:line="276" w:lineRule="auto"/>
        <w:contextualSpacing/>
        <w:jc w:val="both"/>
        <w:rPr>
          <w:rFonts w:ascii="Rockwell" w:hAnsi="Rockwell"/>
          <w:sz w:val="24"/>
          <w:szCs w:val="24"/>
        </w:rPr>
      </w:pPr>
      <w:r w:rsidRPr="008566E2">
        <w:rPr>
          <w:rFonts w:ascii="Rockwell" w:hAnsi="Rockwell"/>
          <w:color w:val="141414"/>
          <w:sz w:val="24"/>
          <w:szCs w:val="24"/>
          <w:shd w:val="clear" w:color="auto" w:fill="FFFFFF"/>
        </w:rPr>
        <w:t>(</w:t>
      </w:r>
      <w:r w:rsidRPr="008566E2">
        <w:rPr>
          <w:rFonts w:ascii="Rockwell" w:hAnsi="Rockwell"/>
          <w:sz w:val="24"/>
          <w:szCs w:val="24"/>
        </w:rPr>
        <w:t xml:space="preserve">where the option is made available by the awarding body) </w:t>
      </w:r>
      <w:r w:rsidRPr="008566E2">
        <w:rPr>
          <w:rFonts w:ascii="Rockwell" w:hAnsi="Rockwell"/>
          <w:color w:val="141414"/>
          <w:sz w:val="24"/>
          <w:szCs w:val="24"/>
          <w:shd w:val="clear" w:color="auto" w:fill="FFFFFF"/>
        </w:rPr>
        <w:t xml:space="preserve">viewing the candidate’s marked script online to consider if </w:t>
      </w:r>
      <w:r w:rsidRPr="008566E2">
        <w:rPr>
          <w:rFonts w:ascii="Rockwell" w:hAnsi="Rockwell"/>
          <w:sz w:val="24"/>
          <w:szCs w:val="24"/>
        </w:rPr>
        <w:t>requesting a review of marking is appropriate</w:t>
      </w:r>
    </w:p>
    <w:p w14:paraId="7C532F28" w14:textId="77777777" w:rsidR="008566E2" w:rsidRPr="008566E2" w:rsidRDefault="008566E2" w:rsidP="008566E2">
      <w:pPr>
        <w:numPr>
          <w:ilvl w:val="0"/>
          <w:numId w:val="31"/>
        </w:numPr>
        <w:spacing w:line="276" w:lineRule="auto"/>
        <w:contextualSpacing/>
        <w:jc w:val="both"/>
        <w:rPr>
          <w:rFonts w:ascii="Rockwell" w:hAnsi="Rockwell"/>
          <w:sz w:val="24"/>
          <w:szCs w:val="24"/>
        </w:rPr>
      </w:pPr>
      <w:r w:rsidRPr="008566E2">
        <w:rPr>
          <w:rFonts w:ascii="Rockwell" w:hAnsi="Rockwell"/>
          <w:sz w:val="24"/>
          <w:szCs w:val="24"/>
        </w:rPr>
        <w:t>Collect informed written consent/permission from the candidate to access his/her script</w:t>
      </w:r>
    </w:p>
    <w:p w14:paraId="1E44FD21" w14:textId="77777777" w:rsidR="008566E2" w:rsidRPr="008566E2" w:rsidRDefault="008566E2" w:rsidP="008566E2">
      <w:pPr>
        <w:numPr>
          <w:ilvl w:val="0"/>
          <w:numId w:val="31"/>
        </w:numPr>
        <w:spacing w:line="276" w:lineRule="auto"/>
        <w:contextualSpacing/>
        <w:jc w:val="both"/>
        <w:rPr>
          <w:rFonts w:ascii="Rockwell" w:hAnsi="Rockwell"/>
          <w:sz w:val="24"/>
          <w:szCs w:val="24"/>
        </w:rPr>
      </w:pPr>
      <w:r w:rsidRPr="008566E2">
        <w:rPr>
          <w:rFonts w:ascii="Rockwell" w:hAnsi="Rockwell"/>
          <w:sz w:val="24"/>
          <w:szCs w:val="24"/>
        </w:rPr>
        <w:t>On access to the script, consider if it is felt that the agreed mark scheme has been applied correctly in the original marking and if the centre considers there are any errors in the marking</w:t>
      </w:r>
    </w:p>
    <w:p w14:paraId="57AFAE88" w14:textId="3F848962" w:rsidR="008566E2" w:rsidRPr="008566E2" w:rsidRDefault="008566E2" w:rsidP="008566E2">
      <w:pPr>
        <w:numPr>
          <w:ilvl w:val="0"/>
          <w:numId w:val="31"/>
        </w:numPr>
        <w:spacing w:line="276" w:lineRule="auto"/>
        <w:contextualSpacing/>
        <w:jc w:val="both"/>
        <w:rPr>
          <w:rFonts w:ascii="Rockwell" w:hAnsi="Rockwell"/>
          <w:sz w:val="24"/>
          <w:szCs w:val="24"/>
        </w:rPr>
      </w:pPr>
      <w:r w:rsidRPr="008566E2">
        <w:rPr>
          <w:rFonts w:ascii="Rockwell" w:hAnsi="Rockwell"/>
          <w:sz w:val="24"/>
          <w:szCs w:val="24"/>
        </w:rPr>
        <w:t>Support a request for the appropriate RoR service (clerical re-check or review of marking) if any error is identified</w:t>
      </w:r>
    </w:p>
    <w:p w14:paraId="09C7858E" w14:textId="77777777" w:rsidR="008566E2" w:rsidRPr="008566E2" w:rsidRDefault="008566E2" w:rsidP="008566E2">
      <w:pPr>
        <w:numPr>
          <w:ilvl w:val="0"/>
          <w:numId w:val="31"/>
        </w:numPr>
        <w:spacing w:line="276" w:lineRule="auto"/>
        <w:contextualSpacing/>
        <w:jc w:val="both"/>
        <w:rPr>
          <w:rFonts w:ascii="Rockwell" w:hAnsi="Rockwell"/>
          <w:sz w:val="24"/>
          <w:szCs w:val="24"/>
        </w:rPr>
      </w:pPr>
      <w:r w:rsidRPr="008566E2">
        <w:rPr>
          <w:rFonts w:ascii="Rockwell" w:hAnsi="Rockwell"/>
          <w:sz w:val="24"/>
          <w:szCs w:val="24"/>
        </w:rPr>
        <w:t>Collect informed written consent from the candidate to request the RoR service before the request is submitted</w:t>
      </w:r>
    </w:p>
    <w:p w14:paraId="465B4C83" w14:textId="64F2AC88" w:rsidR="008566E2" w:rsidRDefault="008566E2" w:rsidP="008566E2">
      <w:pPr>
        <w:numPr>
          <w:ilvl w:val="0"/>
          <w:numId w:val="31"/>
        </w:numPr>
        <w:spacing w:line="276" w:lineRule="auto"/>
        <w:contextualSpacing/>
        <w:jc w:val="both"/>
        <w:rPr>
          <w:rFonts w:ascii="Rockwell" w:hAnsi="Rockwell"/>
          <w:sz w:val="24"/>
          <w:szCs w:val="24"/>
        </w:rPr>
      </w:pPr>
      <w:r w:rsidRPr="008566E2">
        <w:rPr>
          <w:rFonts w:ascii="Rockwell" w:hAnsi="Rockwell"/>
          <w:sz w:val="24"/>
          <w:szCs w:val="24"/>
        </w:rPr>
        <w:t>Where relevant, advise an affected candidate to inform any third party (such as a university or college) that a review of marking has been submitted to an awarding body</w:t>
      </w:r>
      <w:r>
        <w:rPr>
          <w:rFonts w:ascii="Rockwell" w:hAnsi="Rockwell"/>
          <w:sz w:val="24"/>
          <w:szCs w:val="24"/>
        </w:rPr>
        <w:t>.</w:t>
      </w:r>
    </w:p>
    <w:p w14:paraId="4CD1C495" w14:textId="77777777" w:rsidR="008566E2" w:rsidRPr="008566E2" w:rsidRDefault="008566E2" w:rsidP="008566E2">
      <w:pPr>
        <w:spacing w:line="276" w:lineRule="auto"/>
        <w:ind w:left="720"/>
        <w:contextualSpacing/>
        <w:jc w:val="both"/>
        <w:rPr>
          <w:rFonts w:ascii="Rockwell" w:hAnsi="Rockwell"/>
          <w:sz w:val="24"/>
          <w:szCs w:val="24"/>
        </w:rPr>
      </w:pPr>
    </w:p>
    <w:p w14:paraId="379312B6" w14:textId="77777777" w:rsidR="008566E2" w:rsidRPr="008566E2" w:rsidRDefault="008566E2" w:rsidP="008566E2">
      <w:pPr>
        <w:spacing w:line="276" w:lineRule="auto"/>
        <w:jc w:val="both"/>
        <w:rPr>
          <w:rFonts w:ascii="Rockwell" w:hAnsi="Rockwell"/>
          <w:sz w:val="24"/>
          <w:szCs w:val="24"/>
        </w:rPr>
      </w:pPr>
      <w:r w:rsidRPr="008566E2">
        <w:rPr>
          <w:rFonts w:ascii="Rockwell" w:hAnsi="Rockwell"/>
          <w:sz w:val="24"/>
          <w:szCs w:val="24"/>
        </w:rPr>
        <w:t>Written candidate consent (informed consent via candidate email is acceptable) is required in all cases before a request for a RoR service 1 or 2 (including priority service 2) is submitted to the awarding body. Consent is required to confirm the candidate understands that the final subject grade and/or mark awarded following a clerical re-check or a review of marking, and any subsequent appeal, may be lower than, higher than, or the same as the result which was originally awarded. Candidate consent must only be collected after the publication of results.</w:t>
      </w:r>
    </w:p>
    <w:p w14:paraId="4DB737A9" w14:textId="77777777" w:rsidR="0062773C" w:rsidRDefault="0062773C" w:rsidP="008566E2">
      <w:pPr>
        <w:spacing w:line="276" w:lineRule="auto"/>
        <w:jc w:val="both"/>
        <w:rPr>
          <w:rFonts w:ascii="Rockwell" w:hAnsi="Rockwell"/>
          <w:sz w:val="24"/>
          <w:szCs w:val="24"/>
        </w:rPr>
      </w:pPr>
    </w:p>
    <w:p w14:paraId="0E5C1922" w14:textId="538FC64C" w:rsidR="008566E2" w:rsidRPr="008566E2" w:rsidRDefault="008566E2" w:rsidP="008566E2">
      <w:pPr>
        <w:spacing w:line="276" w:lineRule="auto"/>
        <w:jc w:val="both"/>
        <w:rPr>
          <w:rFonts w:ascii="Rockwell" w:hAnsi="Rockwell"/>
          <w:sz w:val="24"/>
          <w:szCs w:val="24"/>
        </w:rPr>
      </w:pPr>
      <w:r w:rsidRPr="008566E2">
        <w:rPr>
          <w:rFonts w:ascii="Rockwell" w:hAnsi="Rockwell"/>
          <w:sz w:val="24"/>
          <w:szCs w:val="24"/>
        </w:rPr>
        <w:t>For any moderated components that contributed to the final result, the centre will:</w:t>
      </w:r>
    </w:p>
    <w:p w14:paraId="7E3CE3F9" w14:textId="77777777" w:rsidR="008566E2" w:rsidRPr="008566E2" w:rsidRDefault="008566E2" w:rsidP="008566E2">
      <w:pPr>
        <w:numPr>
          <w:ilvl w:val="0"/>
          <w:numId w:val="34"/>
        </w:numPr>
        <w:spacing w:line="276" w:lineRule="auto"/>
        <w:contextualSpacing/>
        <w:jc w:val="both"/>
        <w:rPr>
          <w:rFonts w:ascii="Rockwell" w:hAnsi="Rockwell"/>
          <w:bCs/>
          <w:sz w:val="24"/>
          <w:szCs w:val="24"/>
        </w:rPr>
      </w:pPr>
      <w:r w:rsidRPr="008566E2">
        <w:rPr>
          <w:rFonts w:ascii="Rockwell" w:hAnsi="Rockwell"/>
          <w:bCs/>
          <w:sz w:val="24"/>
          <w:szCs w:val="24"/>
        </w:rPr>
        <w:t>Confirm that a review of moderation cannot be undertaken on the work of an individual candidate or the work of candidates not in the original sample submitted for moderation</w:t>
      </w:r>
    </w:p>
    <w:p w14:paraId="0102B143" w14:textId="77777777" w:rsidR="008566E2" w:rsidRPr="008566E2" w:rsidRDefault="008566E2" w:rsidP="008566E2">
      <w:pPr>
        <w:numPr>
          <w:ilvl w:val="0"/>
          <w:numId w:val="34"/>
        </w:numPr>
        <w:spacing w:line="276" w:lineRule="auto"/>
        <w:contextualSpacing/>
        <w:jc w:val="both"/>
        <w:rPr>
          <w:rFonts w:ascii="Rockwell" w:hAnsi="Rockwell"/>
          <w:bCs/>
          <w:sz w:val="24"/>
          <w:szCs w:val="24"/>
        </w:rPr>
      </w:pPr>
      <w:r w:rsidRPr="008566E2">
        <w:rPr>
          <w:rFonts w:ascii="Rockwell" w:hAnsi="Rockwell"/>
          <w:bCs/>
          <w:sz w:val="24"/>
          <w:szCs w:val="24"/>
        </w:rPr>
        <w:t>Consult the moderator’s report/feedback to identify any issues raised</w:t>
      </w:r>
    </w:p>
    <w:p w14:paraId="5F56F6BC" w14:textId="77777777" w:rsidR="008566E2" w:rsidRPr="008566E2" w:rsidRDefault="008566E2" w:rsidP="008566E2">
      <w:pPr>
        <w:numPr>
          <w:ilvl w:val="0"/>
          <w:numId w:val="34"/>
        </w:numPr>
        <w:spacing w:line="276" w:lineRule="auto"/>
        <w:contextualSpacing/>
        <w:jc w:val="both"/>
        <w:rPr>
          <w:rFonts w:ascii="Rockwell" w:hAnsi="Rockwell"/>
          <w:bCs/>
          <w:sz w:val="24"/>
          <w:szCs w:val="24"/>
        </w:rPr>
      </w:pPr>
      <w:r w:rsidRPr="008566E2">
        <w:rPr>
          <w:rFonts w:ascii="Rockwell" w:hAnsi="Rockwell"/>
          <w:bCs/>
          <w:sz w:val="24"/>
          <w:szCs w:val="24"/>
        </w:rPr>
        <w:t>Determine if the centre’s internally assessed marks have been accepted without change by the awarding body – if this is the case, a RoR service 3 (Review of moderation) will not be available</w:t>
      </w:r>
    </w:p>
    <w:p w14:paraId="26446843" w14:textId="266F668A" w:rsidR="008566E2" w:rsidRPr="008566E2" w:rsidRDefault="008566E2" w:rsidP="008566E2">
      <w:pPr>
        <w:numPr>
          <w:ilvl w:val="0"/>
          <w:numId w:val="34"/>
        </w:numPr>
        <w:spacing w:line="276" w:lineRule="auto"/>
        <w:contextualSpacing/>
        <w:jc w:val="both"/>
        <w:rPr>
          <w:rFonts w:ascii="Rockwell" w:hAnsi="Rockwell"/>
          <w:bCs/>
          <w:sz w:val="24"/>
          <w:szCs w:val="24"/>
        </w:rPr>
      </w:pPr>
      <w:r w:rsidRPr="008566E2">
        <w:rPr>
          <w:rFonts w:ascii="Rockwell" w:hAnsi="Rockwell"/>
          <w:bCs/>
          <w:sz w:val="24"/>
          <w:szCs w:val="24"/>
        </w:rPr>
        <w:t>Determine if there are any grounds to submit a request for a review of moderation for the work of candidates in the original sample</w:t>
      </w:r>
    </w:p>
    <w:p w14:paraId="765BFD58" w14:textId="77777777" w:rsidR="0062773C" w:rsidRDefault="0062773C" w:rsidP="008566E2">
      <w:pPr>
        <w:spacing w:line="276" w:lineRule="auto"/>
        <w:jc w:val="both"/>
        <w:rPr>
          <w:rFonts w:ascii="Rockwell" w:hAnsi="Rockwell" w:cs="Arial"/>
          <w:sz w:val="24"/>
          <w:szCs w:val="24"/>
        </w:rPr>
      </w:pPr>
    </w:p>
    <w:p w14:paraId="296088BD" w14:textId="08DF375F" w:rsidR="008566E2" w:rsidRPr="008566E2" w:rsidRDefault="008566E2" w:rsidP="008566E2">
      <w:pPr>
        <w:spacing w:line="276" w:lineRule="auto"/>
        <w:jc w:val="both"/>
        <w:rPr>
          <w:rFonts w:ascii="Rockwell" w:hAnsi="Rockwell"/>
          <w:sz w:val="24"/>
          <w:szCs w:val="24"/>
        </w:rPr>
      </w:pPr>
      <w:r w:rsidRPr="008566E2">
        <w:rPr>
          <w:rFonts w:ascii="Rockwell" w:hAnsi="Rockwell" w:cs="Arial"/>
          <w:sz w:val="24"/>
          <w:szCs w:val="24"/>
        </w:rPr>
        <w:t>Where a candidate disagrees with a centre decision not to support a clerical re-check, a review of marking or a review of moderation, the centre will:</w:t>
      </w:r>
      <w:r w:rsidRPr="008566E2">
        <w:rPr>
          <w:rFonts w:ascii="Rockwell" w:hAnsi="Rockwell"/>
          <w:sz w:val="24"/>
          <w:szCs w:val="24"/>
        </w:rPr>
        <w:t xml:space="preserve"> </w:t>
      </w:r>
    </w:p>
    <w:p w14:paraId="4E120CB5" w14:textId="77777777" w:rsidR="008566E2" w:rsidRPr="008566E2" w:rsidRDefault="008566E2" w:rsidP="008566E2">
      <w:pPr>
        <w:numPr>
          <w:ilvl w:val="0"/>
          <w:numId w:val="33"/>
        </w:numPr>
        <w:spacing w:line="276" w:lineRule="auto"/>
        <w:contextualSpacing/>
        <w:jc w:val="both"/>
        <w:rPr>
          <w:rFonts w:ascii="Rockwell" w:hAnsi="Rockwell"/>
          <w:b/>
          <w:sz w:val="24"/>
          <w:szCs w:val="24"/>
        </w:rPr>
      </w:pPr>
      <w:r w:rsidRPr="008566E2">
        <w:rPr>
          <w:rFonts w:ascii="Rockwell" w:hAnsi="Rockwell"/>
          <w:sz w:val="24"/>
          <w:szCs w:val="24"/>
        </w:rPr>
        <w:t>For a review of marking (RoR priority service 2), advise the candidate he/she may request the review by providing informed written consent (and the required fee) for this service to the centre by the deadline set by the centre</w:t>
      </w:r>
    </w:p>
    <w:p w14:paraId="257E5898" w14:textId="77777777" w:rsidR="008566E2" w:rsidRPr="008566E2" w:rsidRDefault="008566E2" w:rsidP="008566E2">
      <w:pPr>
        <w:numPr>
          <w:ilvl w:val="0"/>
          <w:numId w:val="33"/>
        </w:numPr>
        <w:spacing w:line="276" w:lineRule="auto"/>
        <w:contextualSpacing/>
        <w:jc w:val="both"/>
        <w:rPr>
          <w:rFonts w:ascii="Rockwell" w:hAnsi="Rockwell"/>
          <w:b/>
          <w:sz w:val="24"/>
          <w:szCs w:val="24"/>
        </w:rPr>
      </w:pPr>
      <w:r w:rsidRPr="008566E2">
        <w:rPr>
          <w:rFonts w:ascii="Rockwell" w:hAnsi="Rockwell"/>
          <w:sz w:val="24"/>
          <w:szCs w:val="24"/>
        </w:rPr>
        <w:t xml:space="preserve">For a review of marking (RoR service 1 or 2), first advise the candidate to access his/her script to support a review of marking by providing written permission for the centre to access the script (and any required fee) for this service to the centre to submit this request </w:t>
      </w:r>
    </w:p>
    <w:p w14:paraId="7B1974B7" w14:textId="77777777" w:rsidR="008566E2" w:rsidRPr="008566E2" w:rsidRDefault="008566E2" w:rsidP="008566E2">
      <w:pPr>
        <w:numPr>
          <w:ilvl w:val="0"/>
          <w:numId w:val="33"/>
        </w:numPr>
        <w:spacing w:line="276" w:lineRule="auto"/>
        <w:contextualSpacing/>
        <w:jc w:val="both"/>
        <w:rPr>
          <w:rFonts w:ascii="Rockwell" w:hAnsi="Rockwell"/>
          <w:b/>
          <w:sz w:val="24"/>
          <w:szCs w:val="24"/>
        </w:rPr>
      </w:pPr>
      <w:r w:rsidRPr="008566E2">
        <w:rPr>
          <w:rFonts w:ascii="Rockwell" w:hAnsi="Rockwell"/>
          <w:sz w:val="24"/>
          <w:szCs w:val="24"/>
        </w:rPr>
        <w:t xml:space="preserve">After accessing the script to consider the marking, inform the candidate that if a request for a review of marking (RoR service 1 or 2) is required, this must be submitted by the </w:t>
      </w:r>
      <w:r w:rsidRPr="008566E2">
        <w:rPr>
          <w:rFonts w:ascii="Rockwell" w:hAnsi="Rockwell"/>
          <w:sz w:val="24"/>
          <w:szCs w:val="24"/>
        </w:rPr>
        <w:lastRenderedPageBreak/>
        <w:t xml:space="preserve">deadline set by the centre by providing informed written consent (and the required fee) for this service to the centre to submit this request </w:t>
      </w:r>
    </w:p>
    <w:p w14:paraId="1A9F84D9" w14:textId="332C6540" w:rsidR="008566E2" w:rsidRPr="008566E2" w:rsidRDefault="008566E2" w:rsidP="008566E2">
      <w:pPr>
        <w:numPr>
          <w:ilvl w:val="0"/>
          <w:numId w:val="33"/>
        </w:numPr>
        <w:spacing w:line="276" w:lineRule="auto"/>
        <w:contextualSpacing/>
        <w:jc w:val="both"/>
        <w:rPr>
          <w:rFonts w:ascii="Rockwell" w:hAnsi="Rockwell"/>
          <w:b/>
          <w:sz w:val="24"/>
          <w:szCs w:val="24"/>
        </w:rPr>
      </w:pPr>
      <w:r w:rsidRPr="008566E2">
        <w:rPr>
          <w:rFonts w:ascii="Rockwell" w:hAnsi="Rockwell"/>
          <w:sz w:val="24"/>
          <w:szCs w:val="24"/>
        </w:rPr>
        <w:t xml:space="preserve">Inform the candidate that a review of moderation (RoR service 3) cannot be requested </w:t>
      </w:r>
      <w:r w:rsidRPr="008566E2">
        <w:rPr>
          <w:rFonts w:ascii="Rockwell" w:hAnsi="Rockwell"/>
          <w:bCs/>
          <w:sz w:val="24"/>
          <w:szCs w:val="24"/>
        </w:rPr>
        <w:t>for the work of an individual candidate or the work of a candidate not in the original sample</w:t>
      </w:r>
      <w:r w:rsidR="0062773C">
        <w:rPr>
          <w:rFonts w:ascii="Rockwell" w:hAnsi="Rockwell"/>
          <w:bCs/>
          <w:sz w:val="24"/>
          <w:szCs w:val="24"/>
        </w:rPr>
        <w:t>.</w:t>
      </w:r>
    </w:p>
    <w:p w14:paraId="6DA32DCE" w14:textId="77777777" w:rsidR="0062773C" w:rsidRDefault="0062773C" w:rsidP="00381FB0">
      <w:pPr>
        <w:spacing w:line="276" w:lineRule="auto"/>
        <w:rPr>
          <w:rFonts w:ascii="Rockwell" w:hAnsi="Rockwell"/>
          <w:sz w:val="24"/>
          <w:szCs w:val="24"/>
        </w:rPr>
      </w:pPr>
      <w:bookmarkStart w:id="0" w:name="_Hlk496616747"/>
    </w:p>
    <w:p w14:paraId="53BCB50B" w14:textId="4212FDE6" w:rsidR="00903444" w:rsidRPr="00381FB0" w:rsidRDefault="00903444" w:rsidP="00381FB0">
      <w:pPr>
        <w:spacing w:line="276" w:lineRule="auto"/>
        <w:rPr>
          <w:rFonts w:ascii="Rockwell" w:hAnsi="Rockwell"/>
          <w:b/>
          <w:sz w:val="24"/>
          <w:szCs w:val="24"/>
        </w:rPr>
      </w:pPr>
      <w:r w:rsidRPr="008566E2">
        <w:rPr>
          <w:rFonts w:ascii="Rockwell" w:hAnsi="Rockwell"/>
          <w:sz w:val="24"/>
          <w:szCs w:val="24"/>
        </w:rPr>
        <w:t xml:space="preserve">If the candidate (or </w:t>
      </w:r>
      <w:r w:rsidR="00FD36DF" w:rsidRPr="008566E2">
        <w:rPr>
          <w:rFonts w:ascii="Rockwell" w:hAnsi="Rockwell"/>
          <w:sz w:val="24"/>
          <w:szCs w:val="24"/>
        </w:rPr>
        <w:t>his/her</w:t>
      </w:r>
      <w:r w:rsidRPr="008566E2">
        <w:rPr>
          <w:rFonts w:ascii="Rockwell" w:hAnsi="Rockwell"/>
          <w:sz w:val="24"/>
          <w:szCs w:val="24"/>
        </w:rPr>
        <w:t xml:space="preserve"> parent/carer) believes there are grounds to</w:t>
      </w:r>
      <w:r w:rsidRPr="00381FB0">
        <w:rPr>
          <w:rFonts w:ascii="Rockwell" w:hAnsi="Rockwell"/>
          <w:sz w:val="24"/>
          <w:szCs w:val="24"/>
        </w:rPr>
        <w:t xml:space="preserve"> appeal against the centre’s decision not to support </w:t>
      </w:r>
      <w:r w:rsidR="00C966CC" w:rsidRPr="007F7E98">
        <w:rPr>
          <w:rFonts w:ascii="Rockwell" w:hAnsi="Rockwell"/>
          <w:sz w:val="24"/>
          <w:szCs w:val="24"/>
        </w:rPr>
        <w:t>a review</w:t>
      </w:r>
      <w:r w:rsidRPr="007F7E98">
        <w:rPr>
          <w:rFonts w:ascii="Rockwell" w:hAnsi="Rockwell"/>
          <w:sz w:val="24"/>
          <w:szCs w:val="24"/>
        </w:rPr>
        <w:t>,</w:t>
      </w:r>
      <w:r w:rsidRPr="00381FB0">
        <w:rPr>
          <w:rFonts w:ascii="Rockwell" w:hAnsi="Rockwell"/>
          <w:sz w:val="24"/>
          <w:szCs w:val="24"/>
        </w:rPr>
        <w:t xml:space="preserve"> an </w:t>
      </w:r>
      <w:r w:rsidR="00F04D19" w:rsidRPr="00381FB0">
        <w:rPr>
          <w:rFonts w:ascii="Rockwell" w:hAnsi="Rockwell"/>
          <w:sz w:val="24"/>
          <w:szCs w:val="24"/>
        </w:rPr>
        <w:t xml:space="preserve">internal </w:t>
      </w:r>
      <w:r w:rsidRPr="00381FB0">
        <w:rPr>
          <w:rFonts w:ascii="Rockwell" w:hAnsi="Rockwell"/>
          <w:sz w:val="24"/>
          <w:szCs w:val="24"/>
        </w:rPr>
        <w:t xml:space="preserve">appeal can be submitted to the centre </w:t>
      </w:r>
      <w:r w:rsidR="00611108" w:rsidRPr="00381FB0">
        <w:rPr>
          <w:rFonts w:ascii="Rockwell" w:hAnsi="Rockwell"/>
          <w:sz w:val="24"/>
          <w:szCs w:val="24"/>
        </w:rPr>
        <w:t>by complet</w:t>
      </w:r>
      <w:r w:rsidR="007F7E98">
        <w:rPr>
          <w:rFonts w:ascii="Rockwell" w:hAnsi="Rockwell"/>
          <w:sz w:val="24"/>
          <w:szCs w:val="24"/>
        </w:rPr>
        <w:t>i</w:t>
      </w:r>
      <w:r w:rsidR="00611108" w:rsidRPr="00381FB0">
        <w:rPr>
          <w:rFonts w:ascii="Rockwell" w:hAnsi="Rockwell"/>
          <w:sz w:val="24"/>
          <w:szCs w:val="24"/>
        </w:rPr>
        <w:t>ng</w:t>
      </w:r>
      <w:r w:rsidRPr="00381FB0">
        <w:rPr>
          <w:rFonts w:ascii="Rockwell" w:hAnsi="Rockwell"/>
          <w:sz w:val="24"/>
          <w:szCs w:val="24"/>
        </w:rPr>
        <w:t xml:space="preserve"> the internal appeals form at least </w:t>
      </w:r>
      <w:r w:rsidR="007F7E98">
        <w:rPr>
          <w:rFonts w:ascii="Rockwell" w:hAnsi="Rockwell"/>
          <w:sz w:val="24"/>
          <w:szCs w:val="24"/>
        </w:rPr>
        <w:t>5</w:t>
      </w:r>
      <w:r w:rsidR="00C91C40" w:rsidRPr="00381FB0">
        <w:rPr>
          <w:rFonts w:ascii="Rockwell" w:hAnsi="Rockwell"/>
          <w:sz w:val="24"/>
          <w:szCs w:val="24"/>
        </w:rPr>
        <w:t xml:space="preserve"> calendar days </w:t>
      </w:r>
      <w:r w:rsidRPr="00381FB0">
        <w:rPr>
          <w:rFonts w:ascii="Rockwell" w:hAnsi="Rockwell"/>
          <w:sz w:val="24"/>
          <w:szCs w:val="24"/>
        </w:rPr>
        <w:t xml:space="preserve">prior to the internal deadline for submitting </w:t>
      </w:r>
      <w:r w:rsidRPr="007F7E98">
        <w:rPr>
          <w:rFonts w:ascii="Rockwell" w:hAnsi="Rockwell"/>
          <w:sz w:val="24"/>
          <w:szCs w:val="24"/>
        </w:rPr>
        <w:t>a</w:t>
      </w:r>
      <w:r w:rsidR="00C966CC" w:rsidRPr="007F7E98">
        <w:rPr>
          <w:rFonts w:ascii="Rockwell" w:hAnsi="Rockwell"/>
          <w:sz w:val="24"/>
          <w:szCs w:val="24"/>
        </w:rPr>
        <w:t xml:space="preserve"> request for a review</w:t>
      </w:r>
      <w:r w:rsidR="008566E2">
        <w:rPr>
          <w:rFonts w:ascii="Rockwell" w:hAnsi="Rockwell"/>
          <w:sz w:val="24"/>
          <w:szCs w:val="24"/>
        </w:rPr>
        <w:t xml:space="preserve"> of results.</w:t>
      </w:r>
    </w:p>
    <w:p w14:paraId="7AE55350" w14:textId="24B96043" w:rsidR="00611108" w:rsidRPr="00381FB0" w:rsidRDefault="00611108" w:rsidP="00381FB0">
      <w:pPr>
        <w:spacing w:line="276" w:lineRule="auto"/>
        <w:rPr>
          <w:rFonts w:ascii="Rockwell" w:hAnsi="Rockwell" w:cs="Calibri"/>
          <w:sz w:val="24"/>
          <w:szCs w:val="24"/>
        </w:rPr>
      </w:pPr>
      <w:r w:rsidRPr="00381FB0">
        <w:rPr>
          <w:rFonts w:ascii="Rockwell" w:hAnsi="Rockwell" w:cs="Calibri"/>
          <w:sz w:val="24"/>
          <w:szCs w:val="24"/>
        </w:rPr>
        <w:t xml:space="preserve">The appellant will be informed of the outcome of his/her appeal before the internal deadline for submitting </w:t>
      </w:r>
      <w:r w:rsidR="00C966CC" w:rsidRPr="007F7E98">
        <w:rPr>
          <w:rFonts w:ascii="Rockwell" w:hAnsi="Rockwell" w:cs="Calibri"/>
          <w:sz w:val="24"/>
          <w:szCs w:val="24"/>
        </w:rPr>
        <w:t>a RoR</w:t>
      </w:r>
      <w:r w:rsidRPr="00381FB0">
        <w:rPr>
          <w:rFonts w:ascii="Rockwell" w:hAnsi="Rockwell" w:cs="Calibri"/>
          <w:sz w:val="24"/>
          <w:szCs w:val="24"/>
        </w:rPr>
        <w:t>.</w:t>
      </w:r>
    </w:p>
    <w:bookmarkEnd w:id="0"/>
    <w:p w14:paraId="66C728F4" w14:textId="77777777" w:rsidR="00611108" w:rsidRPr="00611108" w:rsidRDefault="00611108" w:rsidP="00AB60E7">
      <w:pPr>
        <w:jc w:val="both"/>
      </w:pPr>
    </w:p>
    <w:p w14:paraId="28E05081" w14:textId="1780D05D" w:rsidR="00611108" w:rsidRPr="00752113" w:rsidRDefault="009E683B" w:rsidP="00AB60E7">
      <w:pPr>
        <w:spacing w:before="120" w:after="120" w:line="276" w:lineRule="auto"/>
        <w:jc w:val="both"/>
        <w:rPr>
          <w:rFonts w:ascii="Rockwell" w:hAnsi="Rockwell"/>
          <w:sz w:val="24"/>
          <w:szCs w:val="24"/>
        </w:rPr>
      </w:pPr>
      <w:bookmarkStart w:id="1" w:name="_Hlk496618702"/>
      <w:r w:rsidRPr="00752113">
        <w:rPr>
          <w:rFonts w:ascii="Rockwell" w:hAnsi="Rockwell"/>
          <w:sz w:val="24"/>
          <w:szCs w:val="24"/>
        </w:rPr>
        <w:t xml:space="preserve">Following the </w:t>
      </w:r>
      <w:r w:rsidR="00C966CC" w:rsidRPr="007F7E98">
        <w:rPr>
          <w:rFonts w:ascii="Rockwell" w:hAnsi="Rockwell"/>
          <w:sz w:val="24"/>
          <w:szCs w:val="24"/>
        </w:rPr>
        <w:t>Ro</w:t>
      </w:r>
      <w:r w:rsidR="00C91C40" w:rsidRPr="007F7E98">
        <w:rPr>
          <w:rFonts w:ascii="Rockwell" w:hAnsi="Rockwell"/>
          <w:sz w:val="24"/>
          <w:szCs w:val="24"/>
        </w:rPr>
        <w:t>R</w:t>
      </w:r>
      <w:r w:rsidR="00C91C40">
        <w:rPr>
          <w:rFonts w:ascii="Rockwell" w:hAnsi="Rockwell"/>
          <w:sz w:val="24"/>
          <w:szCs w:val="24"/>
        </w:rPr>
        <w:t xml:space="preserve"> outcome</w:t>
      </w:r>
      <w:r w:rsidRPr="00752113">
        <w:rPr>
          <w:rFonts w:ascii="Rockwell" w:hAnsi="Rockwell"/>
          <w:sz w:val="24"/>
          <w:szCs w:val="24"/>
        </w:rPr>
        <w:t>, a</w:t>
      </w:r>
      <w:r w:rsidR="005E2B3B" w:rsidRPr="00752113">
        <w:rPr>
          <w:rFonts w:ascii="Rockwell" w:hAnsi="Rockwell"/>
          <w:sz w:val="24"/>
          <w:szCs w:val="24"/>
        </w:rPr>
        <w:t xml:space="preserve">n </w:t>
      </w:r>
      <w:r w:rsidR="00611108">
        <w:rPr>
          <w:rFonts w:ascii="Rockwell" w:hAnsi="Rockwell"/>
          <w:sz w:val="24"/>
          <w:szCs w:val="24"/>
        </w:rPr>
        <w:t xml:space="preserve">external </w:t>
      </w:r>
      <w:r w:rsidR="005E2B3B" w:rsidRPr="00752113">
        <w:rPr>
          <w:rFonts w:ascii="Rockwell" w:hAnsi="Rockwell"/>
          <w:sz w:val="24"/>
          <w:szCs w:val="24"/>
        </w:rPr>
        <w:t xml:space="preserve">appeals process is available if the </w:t>
      </w:r>
      <w:r w:rsidR="00E10E9D" w:rsidRPr="00752113">
        <w:rPr>
          <w:rFonts w:ascii="Rockwell" w:hAnsi="Rockwell"/>
          <w:sz w:val="24"/>
          <w:szCs w:val="24"/>
        </w:rPr>
        <w:t xml:space="preserve">head of </w:t>
      </w:r>
      <w:r w:rsidR="005E2B3B" w:rsidRPr="00752113">
        <w:rPr>
          <w:rFonts w:ascii="Rockwell" w:hAnsi="Rockwell"/>
          <w:sz w:val="24"/>
          <w:szCs w:val="24"/>
        </w:rPr>
        <w:t xml:space="preserve">centre </w:t>
      </w:r>
      <w:r w:rsidRPr="00752113">
        <w:rPr>
          <w:rFonts w:ascii="Rockwell" w:hAnsi="Rockwell"/>
          <w:sz w:val="24"/>
          <w:szCs w:val="24"/>
        </w:rPr>
        <w:t xml:space="preserve">remains </w:t>
      </w:r>
      <w:r w:rsidR="005E2B3B" w:rsidRPr="00752113">
        <w:rPr>
          <w:rFonts w:ascii="Rockwell" w:hAnsi="Rockwell"/>
          <w:sz w:val="24"/>
          <w:szCs w:val="24"/>
        </w:rPr>
        <w:t xml:space="preserve">dissatisfied with the outcome </w:t>
      </w:r>
      <w:r w:rsidR="00BC59AD" w:rsidRPr="00752113">
        <w:rPr>
          <w:rFonts w:ascii="Rockwell" w:hAnsi="Rockwell"/>
          <w:sz w:val="24"/>
          <w:szCs w:val="24"/>
        </w:rPr>
        <w:t>and believes there are grounds for appeal</w:t>
      </w:r>
      <w:r w:rsidR="00E10E9D" w:rsidRPr="00752113">
        <w:rPr>
          <w:rFonts w:ascii="Rockwell" w:hAnsi="Rockwell"/>
          <w:sz w:val="24"/>
          <w:szCs w:val="24"/>
        </w:rPr>
        <w:t xml:space="preserve">. </w:t>
      </w:r>
      <w:r w:rsidR="00650B63">
        <w:rPr>
          <w:rFonts w:ascii="Rockwell" w:hAnsi="Rockwell"/>
          <w:sz w:val="24"/>
          <w:szCs w:val="24"/>
        </w:rPr>
        <w:t xml:space="preserve">The </w:t>
      </w:r>
      <w:r w:rsidR="00611108">
        <w:rPr>
          <w:rFonts w:ascii="Rockwell" w:hAnsi="Rockwell"/>
          <w:sz w:val="24"/>
          <w:szCs w:val="24"/>
        </w:rPr>
        <w:t xml:space="preserve">JCQ publications </w:t>
      </w:r>
      <w:r w:rsidR="00611108" w:rsidRPr="00C966CC">
        <w:rPr>
          <w:rFonts w:ascii="Rockwell Condensed" w:hAnsi="Rockwell Condensed"/>
          <w:sz w:val="24"/>
          <w:szCs w:val="24"/>
        </w:rPr>
        <w:t>Post-Results Services</w:t>
      </w:r>
      <w:r w:rsidR="00611108">
        <w:rPr>
          <w:rFonts w:ascii="Rockwell" w:hAnsi="Rockwell"/>
          <w:sz w:val="24"/>
          <w:szCs w:val="24"/>
        </w:rPr>
        <w:t xml:space="preserve"> and </w:t>
      </w:r>
      <w:r w:rsidR="00E10E9D" w:rsidRPr="00C966CC">
        <w:rPr>
          <w:rFonts w:ascii="Rockwell Condensed" w:hAnsi="Rockwell Condensed"/>
          <w:sz w:val="24"/>
          <w:szCs w:val="24"/>
        </w:rPr>
        <w:t>JCQ</w:t>
      </w:r>
      <w:r w:rsidR="00650B63" w:rsidRPr="00C966CC">
        <w:rPr>
          <w:rFonts w:ascii="Rockwell Condensed" w:hAnsi="Rockwell Condensed"/>
          <w:sz w:val="24"/>
          <w:szCs w:val="24"/>
        </w:rPr>
        <w:t xml:space="preserve"> </w:t>
      </w:r>
      <w:r w:rsidR="00E10E9D" w:rsidRPr="00C966CC">
        <w:rPr>
          <w:rFonts w:ascii="Rockwell Condensed" w:hAnsi="Rockwell Condensed"/>
          <w:sz w:val="24"/>
          <w:szCs w:val="24"/>
        </w:rPr>
        <w:t>Appeals Booklet</w:t>
      </w:r>
      <w:r w:rsidR="00E10E9D" w:rsidRPr="00752113">
        <w:rPr>
          <w:rFonts w:ascii="Rockwell" w:hAnsi="Rockwell"/>
          <w:sz w:val="24"/>
          <w:szCs w:val="24"/>
        </w:rPr>
        <w:t xml:space="preserve"> </w:t>
      </w:r>
      <w:r w:rsidR="00E10E9D" w:rsidRPr="00C966CC">
        <w:rPr>
          <w:rFonts w:ascii="Rockwell Condensed" w:hAnsi="Rockwell Condensed"/>
          <w:sz w:val="24"/>
          <w:szCs w:val="24"/>
        </w:rPr>
        <w:t xml:space="preserve">(A guide to the awarding </w:t>
      </w:r>
      <w:bookmarkEnd w:id="1"/>
      <w:r w:rsidR="00E10E9D" w:rsidRPr="00C966CC">
        <w:rPr>
          <w:rFonts w:ascii="Rockwell Condensed" w:hAnsi="Rockwell Condensed"/>
          <w:sz w:val="24"/>
          <w:szCs w:val="24"/>
        </w:rPr>
        <w:t>bodies’ appeals processes)</w:t>
      </w:r>
      <w:r w:rsidR="00E10E9D" w:rsidRPr="00752113">
        <w:rPr>
          <w:rFonts w:ascii="Rockwell" w:hAnsi="Rockwell"/>
          <w:sz w:val="24"/>
          <w:szCs w:val="24"/>
        </w:rPr>
        <w:t xml:space="preserve"> will be consulted to determine the acceptable grounds for </w:t>
      </w:r>
      <w:r w:rsidR="00380EF0">
        <w:rPr>
          <w:rFonts w:ascii="Rockwell" w:hAnsi="Rockwell"/>
          <w:sz w:val="24"/>
          <w:szCs w:val="24"/>
        </w:rPr>
        <w:t xml:space="preserve">a preliminary </w:t>
      </w:r>
      <w:r w:rsidR="00E10E9D" w:rsidRPr="00752113">
        <w:rPr>
          <w:rFonts w:ascii="Rockwell" w:hAnsi="Rockwell"/>
          <w:sz w:val="24"/>
          <w:szCs w:val="24"/>
        </w:rPr>
        <w:t>appeal.</w:t>
      </w:r>
    </w:p>
    <w:p w14:paraId="6C2B951F" w14:textId="21B5D12E" w:rsidR="00380EF0" w:rsidRPr="00752113" w:rsidRDefault="00903444" w:rsidP="00AB60E7">
      <w:pPr>
        <w:pStyle w:val="Default"/>
        <w:spacing w:before="120" w:after="120" w:line="276" w:lineRule="auto"/>
        <w:jc w:val="both"/>
        <w:rPr>
          <w:rFonts w:ascii="Rockwell" w:hAnsi="Rockwell" w:cs="Arial"/>
          <w:bCs/>
        </w:rPr>
      </w:pPr>
      <w:r w:rsidRPr="00752113">
        <w:rPr>
          <w:rFonts w:ascii="Rockwell" w:hAnsi="Rockwell" w:cs="Arial"/>
          <w:bCs/>
        </w:rPr>
        <w:t xml:space="preserve">Where the head of centre is satisfied after receiving the </w:t>
      </w:r>
      <w:r w:rsidR="00A8214A" w:rsidRPr="007F7E98">
        <w:rPr>
          <w:rFonts w:ascii="Rockwell" w:hAnsi="Rockwell" w:cs="Arial"/>
          <w:bCs/>
        </w:rPr>
        <w:t>Ro</w:t>
      </w:r>
      <w:r w:rsidR="00C91C40" w:rsidRPr="007F7E98">
        <w:rPr>
          <w:rFonts w:ascii="Rockwell" w:hAnsi="Rockwell" w:cs="Arial"/>
          <w:bCs/>
        </w:rPr>
        <w:t>R</w:t>
      </w:r>
      <w:r w:rsidR="00C91C40">
        <w:rPr>
          <w:rFonts w:ascii="Rockwell" w:hAnsi="Rockwell" w:cs="Arial"/>
          <w:bCs/>
        </w:rPr>
        <w:t xml:space="preserve"> </w:t>
      </w:r>
      <w:r w:rsidRPr="00752113">
        <w:rPr>
          <w:rFonts w:ascii="Rockwell" w:hAnsi="Rockwell" w:cs="Arial"/>
          <w:bCs/>
        </w:rPr>
        <w:t>outcome</w:t>
      </w:r>
      <w:r w:rsidR="00FD36DF" w:rsidRPr="00752113">
        <w:rPr>
          <w:rFonts w:ascii="Rockwell" w:hAnsi="Rockwell" w:cs="Arial"/>
          <w:bCs/>
        </w:rPr>
        <w:t xml:space="preserve">, but the </w:t>
      </w:r>
      <w:r w:rsidR="009A4FD2" w:rsidRPr="00752113">
        <w:rPr>
          <w:rFonts w:ascii="Rockwell" w:hAnsi="Rockwell" w:cs="Arial"/>
          <w:bCs/>
        </w:rPr>
        <w:t>candidate</w:t>
      </w:r>
      <w:r w:rsidR="00F548D0" w:rsidRPr="00752113">
        <w:rPr>
          <w:rFonts w:ascii="Rockwell" w:hAnsi="Rockwell" w:cs="Arial"/>
          <w:bCs/>
        </w:rPr>
        <w:t xml:space="preserve"> </w:t>
      </w:r>
      <w:r w:rsidR="00FD36DF" w:rsidRPr="00752113">
        <w:rPr>
          <w:rFonts w:ascii="Rockwell" w:hAnsi="Rockwell" w:cs="Arial"/>
          <w:bCs/>
        </w:rPr>
        <w:t>(</w:t>
      </w:r>
      <w:r w:rsidR="00F548D0" w:rsidRPr="00752113">
        <w:rPr>
          <w:rFonts w:ascii="Rockwell" w:hAnsi="Rockwell" w:cs="Arial"/>
          <w:bCs/>
        </w:rPr>
        <w:t xml:space="preserve">or </w:t>
      </w:r>
      <w:r w:rsidR="00FD36DF" w:rsidRPr="00752113">
        <w:rPr>
          <w:rFonts w:ascii="Rockwell" w:hAnsi="Rockwell" w:cs="Arial"/>
          <w:bCs/>
        </w:rPr>
        <w:t>his/her</w:t>
      </w:r>
      <w:r w:rsidR="00F548D0" w:rsidRPr="00752113">
        <w:rPr>
          <w:rFonts w:ascii="Rockwell" w:hAnsi="Rockwell" w:cs="Arial"/>
          <w:bCs/>
        </w:rPr>
        <w:t xml:space="preserve"> parent/carer</w:t>
      </w:r>
      <w:r w:rsidR="00FD36DF" w:rsidRPr="00752113">
        <w:rPr>
          <w:rFonts w:ascii="Rockwell" w:hAnsi="Rockwell" w:cs="Arial"/>
          <w:bCs/>
        </w:rPr>
        <w:t>)</w:t>
      </w:r>
      <w:r w:rsidRPr="00752113">
        <w:rPr>
          <w:rFonts w:ascii="Rockwell" w:hAnsi="Rockwell" w:cs="Arial"/>
          <w:bCs/>
        </w:rPr>
        <w:t xml:space="preserve"> </w:t>
      </w:r>
      <w:r w:rsidR="00FD36DF" w:rsidRPr="00752113">
        <w:rPr>
          <w:rFonts w:ascii="Rockwell" w:hAnsi="Rockwell" w:cs="Arial"/>
          <w:bCs/>
        </w:rPr>
        <w:t xml:space="preserve">believes there </w:t>
      </w:r>
      <w:r w:rsidR="00E5628D">
        <w:rPr>
          <w:rFonts w:ascii="Rockwell" w:hAnsi="Rockwell" w:cs="Arial"/>
          <w:bCs/>
        </w:rPr>
        <w:t>are grounds</w:t>
      </w:r>
      <w:r w:rsidR="00FD36DF" w:rsidRPr="00752113">
        <w:rPr>
          <w:rFonts w:ascii="Rockwell" w:hAnsi="Rockwell" w:cs="Arial"/>
          <w:bCs/>
        </w:rPr>
        <w:t xml:space="preserve"> for a</w:t>
      </w:r>
      <w:r w:rsidR="00380EF0">
        <w:rPr>
          <w:rFonts w:ascii="Rockwell" w:hAnsi="Rockwell" w:cs="Arial"/>
          <w:bCs/>
        </w:rPr>
        <w:t xml:space="preserve"> preliminary</w:t>
      </w:r>
      <w:r w:rsidR="00FD36DF" w:rsidRPr="00752113">
        <w:rPr>
          <w:rFonts w:ascii="Rockwell" w:hAnsi="Rockwell" w:cs="Arial"/>
          <w:bCs/>
        </w:rPr>
        <w:t xml:space="preserve"> appeal to the awarding body</w:t>
      </w:r>
      <w:r w:rsidRPr="00752113">
        <w:rPr>
          <w:rFonts w:ascii="Rockwell" w:hAnsi="Rockwell" w:cs="Arial"/>
          <w:bCs/>
        </w:rPr>
        <w:t xml:space="preserve">, a further </w:t>
      </w:r>
      <w:r w:rsidR="00F04D19">
        <w:rPr>
          <w:rFonts w:ascii="Rockwell" w:hAnsi="Rockwell" w:cs="Arial"/>
          <w:bCs/>
        </w:rPr>
        <w:t xml:space="preserve">internal </w:t>
      </w:r>
      <w:r w:rsidR="00FD36DF" w:rsidRPr="00752113">
        <w:rPr>
          <w:rFonts w:ascii="Rockwell" w:hAnsi="Rockwell" w:cs="Arial"/>
          <w:bCs/>
        </w:rPr>
        <w:t>appeal may be made</w:t>
      </w:r>
      <w:r w:rsidRPr="00752113">
        <w:rPr>
          <w:rFonts w:ascii="Rockwell" w:hAnsi="Rockwell" w:cs="Arial"/>
          <w:bCs/>
        </w:rPr>
        <w:t xml:space="preserve"> to the head of centre. Following this, the head of centre’s decision as to whether to proceed with a</w:t>
      </w:r>
      <w:r w:rsidR="00380EF0">
        <w:rPr>
          <w:rFonts w:ascii="Rockwell" w:hAnsi="Rockwell" w:cs="Arial"/>
          <w:bCs/>
        </w:rPr>
        <w:t xml:space="preserve"> preliminary</w:t>
      </w:r>
      <w:r w:rsidRPr="00752113">
        <w:rPr>
          <w:rFonts w:ascii="Rockwell" w:hAnsi="Rockwell" w:cs="Arial"/>
          <w:bCs/>
        </w:rPr>
        <w:t xml:space="preserve"> appeal will be based upon the </w:t>
      </w:r>
      <w:r w:rsidR="00650B63">
        <w:rPr>
          <w:rFonts w:ascii="Rockwell" w:hAnsi="Rockwell" w:cs="Arial"/>
          <w:bCs/>
        </w:rPr>
        <w:t xml:space="preserve">acceptable grounds as detailed in the </w:t>
      </w:r>
      <w:r w:rsidR="00650B63" w:rsidRPr="00A8214A">
        <w:rPr>
          <w:rFonts w:ascii="Rockwell Condensed" w:hAnsi="Rockwell Condensed"/>
        </w:rPr>
        <w:t>JCQ Appeals Booklet</w:t>
      </w:r>
      <w:r w:rsidRPr="00752113">
        <w:rPr>
          <w:rFonts w:ascii="Rockwell" w:hAnsi="Rockwell" w:cs="Arial"/>
          <w:bCs/>
        </w:rPr>
        <w:t>.  Candidates</w:t>
      </w:r>
      <w:r w:rsidR="00F548D0" w:rsidRPr="00752113">
        <w:rPr>
          <w:rFonts w:ascii="Rockwell" w:hAnsi="Rockwell" w:cs="Arial"/>
          <w:bCs/>
        </w:rPr>
        <w:t xml:space="preserve"> or </w:t>
      </w:r>
      <w:r w:rsidRPr="00752113">
        <w:rPr>
          <w:rFonts w:ascii="Rockwell" w:hAnsi="Rockwell" w:cs="Arial"/>
          <w:bCs/>
        </w:rPr>
        <w:t>parents/carers are not permitted to make direct representations to an awarding body.</w:t>
      </w:r>
    </w:p>
    <w:p w14:paraId="74B9918C" w14:textId="67EA56E8" w:rsidR="00AC09D6" w:rsidRDefault="00903444" w:rsidP="00AB60E7">
      <w:pPr>
        <w:pStyle w:val="Default"/>
        <w:spacing w:before="120" w:after="120" w:line="276" w:lineRule="auto"/>
        <w:jc w:val="both"/>
        <w:rPr>
          <w:rFonts w:ascii="Rockwell" w:hAnsi="Rockwell" w:cs="Arial"/>
        </w:rPr>
      </w:pPr>
      <w:r w:rsidRPr="00752113">
        <w:rPr>
          <w:rFonts w:ascii="Rockwell" w:hAnsi="Rockwell" w:cs="Arial"/>
          <w:bCs/>
        </w:rPr>
        <w:t xml:space="preserve">The </w:t>
      </w:r>
      <w:r w:rsidRPr="00752113">
        <w:rPr>
          <w:rFonts w:ascii="Rockwell" w:hAnsi="Rockwell" w:cs="Arial"/>
          <w:b/>
          <w:bCs/>
        </w:rPr>
        <w:t>internal appeals</w:t>
      </w:r>
      <w:r w:rsidR="00F548D0" w:rsidRPr="00752113">
        <w:rPr>
          <w:rFonts w:ascii="Rockwell" w:hAnsi="Rockwell" w:cs="Arial"/>
          <w:b/>
          <w:bCs/>
        </w:rPr>
        <w:t xml:space="preserve"> </w:t>
      </w:r>
      <w:r w:rsidRPr="00752113">
        <w:rPr>
          <w:rFonts w:ascii="Rockwell" w:hAnsi="Rockwell" w:cs="Arial"/>
          <w:b/>
          <w:bCs/>
        </w:rPr>
        <w:t xml:space="preserve">form </w:t>
      </w:r>
      <w:r w:rsidRPr="00752113">
        <w:rPr>
          <w:rFonts w:ascii="Rockwell" w:hAnsi="Rockwell" w:cs="Arial"/>
          <w:bCs/>
        </w:rPr>
        <w:t xml:space="preserve">should be completed and submitted to the centre within </w:t>
      </w:r>
      <w:r w:rsidR="007F7E98">
        <w:rPr>
          <w:rFonts w:ascii="Rockwell" w:hAnsi="Rockwell" w:cs="Arial"/>
          <w:bCs/>
        </w:rPr>
        <w:t>5</w:t>
      </w:r>
      <w:r w:rsidR="00F548D0" w:rsidRPr="00380EF0">
        <w:rPr>
          <w:rFonts w:ascii="Rockwell" w:hAnsi="Rockwell" w:cs="Arial"/>
          <w:bCs/>
        </w:rPr>
        <w:t xml:space="preserve"> </w:t>
      </w:r>
      <w:r w:rsidRPr="00380EF0">
        <w:rPr>
          <w:rFonts w:ascii="Rockwell" w:hAnsi="Rockwell" w:cs="Arial"/>
          <w:bCs/>
        </w:rPr>
        <w:t xml:space="preserve">calendar days </w:t>
      </w:r>
      <w:r w:rsidRPr="00C91C40">
        <w:rPr>
          <w:rFonts w:ascii="Rockwell" w:hAnsi="Rockwell" w:cs="Arial"/>
        </w:rPr>
        <w:t>of</w:t>
      </w:r>
      <w:r w:rsidRPr="00752113">
        <w:rPr>
          <w:rFonts w:ascii="Rockwell" w:hAnsi="Rockwell" w:cs="Arial"/>
        </w:rPr>
        <w:t xml:space="preserve"> the notification of the outcome of the </w:t>
      </w:r>
      <w:r w:rsidR="00A8214A" w:rsidRPr="007F7E98">
        <w:rPr>
          <w:rFonts w:ascii="Rockwell" w:hAnsi="Rockwell" w:cs="Arial"/>
        </w:rPr>
        <w:t>Ro</w:t>
      </w:r>
      <w:r w:rsidR="00650B63" w:rsidRPr="007F7E98">
        <w:rPr>
          <w:rFonts w:ascii="Rockwell" w:hAnsi="Rockwell" w:cs="Arial"/>
        </w:rPr>
        <w:t>R</w:t>
      </w:r>
      <w:r w:rsidRPr="00752113">
        <w:rPr>
          <w:rFonts w:ascii="Rockwell" w:hAnsi="Rockwell" w:cs="Arial"/>
        </w:rPr>
        <w:t xml:space="preserve">. Subject to the head of centre’s decision, this will allow the centre to process the </w:t>
      </w:r>
      <w:r w:rsidR="006C4B63">
        <w:rPr>
          <w:rFonts w:ascii="Rockwell" w:hAnsi="Rockwell" w:cs="Arial"/>
        </w:rPr>
        <w:t xml:space="preserve">preliminary </w:t>
      </w:r>
      <w:r w:rsidRPr="00752113">
        <w:rPr>
          <w:rFonts w:ascii="Rockwell" w:hAnsi="Rockwell" w:cs="Arial"/>
        </w:rPr>
        <w:t xml:space="preserve">appeal and submit to the awarding body within the required </w:t>
      </w:r>
      <w:r w:rsidR="00C91C40" w:rsidRPr="00814548">
        <w:rPr>
          <w:rFonts w:ascii="Rockwell" w:hAnsi="Rockwell" w:cs="Arial"/>
          <w:b/>
        </w:rPr>
        <w:t>30 calendar days</w:t>
      </w:r>
      <w:r w:rsidR="00C91C40" w:rsidRPr="00C91C40">
        <w:rPr>
          <w:rFonts w:ascii="Rockwell" w:hAnsi="Rockwell" w:cs="Arial"/>
        </w:rPr>
        <w:t xml:space="preserve"> of receiving the outcome of the</w:t>
      </w:r>
      <w:r w:rsidR="00F7093F">
        <w:rPr>
          <w:rFonts w:ascii="Rockwell" w:hAnsi="Rockwell" w:cs="Arial"/>
        </w:rPr>
        <w:t xml:space="preserve"> </w:t>
      </w:r>
      <w:r w:rsidR="00A8214A" w:rsidRPr="0062773C">
        <w:rPr>
          <w:rFonts w:ascii="Rockwell" w:hAnsi="Rockwell" w:cs="Arial"/>
        </w:rPr>
        <w:t>review of</w:t>
      </w:r>
      <w:r w:rsidR="00F7093F">
        <w:rPr>
          <w:rFonts w:ascii="Rockwell" w:hAnsi="Rockwell" w:cs="Arial"/>
        </w:rPr>
        <w:t xml:space="preserve"> results process. </w:t>
      </w:r>
      <w:r w:rsidRPr="00752113">
        <w:rPr>
          <w:rFonts w:ascii="Rockwell" w:hAnsi="Rockwell" w:cs="Arial"/>
        </w:rPr>
        <w:t xml:space="preserve">Awarding body fees which may be charged for the </w:t>
      </w:r>
      <w:r w:rsidR="006C4B63">
        <w:rPr>
          <w:rFonts w:ascii="Rockwell" w:hAnsi="Rockwell" w:cs="Arial"/>
        </w:rPr>
        <w:t xml:space="preserve">preliminary </w:t>
      </w:r>
      <w:r w:rsidRPr="00752113">
        <w:rPr>
          <w:rFonts w:ascii="Rockwell" w:hAnsi="Rockwell" w:cs="Arial"/>
        </w:rPr>
        <w:t xml:space="preserve">appeal must be paid </w:t>
      </w:r>
      <w:r w:rsidR="00327F27">
        <w:rPr>
          <w:rFonts w:ascii="Rockwell" w:hAnsi="Rockwell" w:cs="Arial"/>
        </w:rPr>
        <w:t xml:space="preserve">to the centre </w:t>
      </w:r>
      <w:r w:rsidRPr="00752113">
        <w:rPr>
          <w:rFonts w:ascii="Rockwell" w:hAnsi="Rockwell" w:cs="Arial"/>
        </w:rPr>
        <w:t xml:space="preserve">by the appellant </w:t>
      </w:r>
      <w:r w:rsidR="00327F27">
        <w:rPr>
          <w:rFonts w:ascii="Rockwell" w:hAnsi="Rockwell" w:cs="Arial"/>
        </w:rPr>
        <w:t xml:space="preserve">before the </w:t>
      </w:r>
      <w:r w:rsidR="00380EF0">
        <w:rPr>
          <w:rFonts w:ascii="Rockwell" w:hAnsi="Rockwell" w:cs="Arial"/>
        </w:rPr>
        <w:t xml:space="preserve">preliminary </w:t>
      </w:r>
      <w:r w:rsidR="00327F27">
        <w:rPr>
          <w:rFonts w:ascii="Rockwell" w:hAnsi="Rockwell" w:cs="Arial"/>
        </w:rPr>
        <w:t>appeal is submitted to the awarding body</w:t>
      </w:r>
      <w:r w:rsidR="00DE2CB4">
        <w:rPr>
          <w:rFonts w:ascii="Rockwell" w:hAnsi="Rockwell" w:cs="Arial"/>
        </w:rPr>
        <w:t xml:space="preserve"> (fees are available from the exams officer)</w:t>
      </w:r>
      <w:r w:rsidRPr="00752113">
        <w:rPr>
          <w:rFonts w:ascii="Rockwell" w:hAnsi="Rockwell" w:cs="Arial"/>
        </w:rPr>
        <w:t>. If the appeal is upheld by the awarding body, this fee will be refunded by the awarding body and repaid to the appellant by the centre.</w:t>
      </w:r>
    </w:p>
    <w:p w14:paraId="2414FF57" w14:textId="77777777" w:rsidR="00AC09D6" w:rsidRDefault="00AC09D6" w:rsidP="00AB60E7">
      <w:pPr>
        <w:pStyle w:val="Default"/>
        <w:spacing w:before="120" w:after="120" w:line="276" w:lineRule="auto"/>
        <w:jc w:val="both"/>
        <w:rPr>
          <w:rFonts w:ascii="Rockwell" w:hAnsi="Rockwell" w:cs="Arial"/>
        </w:rPr>
      </w:pPr>
    </w:p>
    <w:p w14:paraId="2D235397" w14:textId="77777777" w:rsidR="00AC09D6" w:rsidRPr="00AC09D6" w:rsidRDefault="00AC09D6" w:rsidP="00AC09D6">
      <w:pPr>
        <w:spacing w:after="240"/>
        <w:outlineLvl w:val="0"/>
        <w:rPr>
          <w:rFonts w:ascii="Times New Roman" w:eastAsia="Times New Roman" w:hAnsi="Times New Roman" w:cs="Times New Roman"/>
          <w:b/>
          <w:color w:val="003399"/>
          <w:sz w:val="24"/>
          <w:szCs w:val="24"/>
        </w:rPr>
      </w:pPr>
      <w:bookmarkStart w:id="2" w:name="_Toc113823269"/>
      <w:r w:rsidRPr="00AC09D6">
        <w:rPr>
          <w:rFonts w:ascii="Tahoma" w:eastAsia="Times New Roman" w:hAnsi="Tahoma" w:cs="Tahoma"/>
          <w:b/>
          <w:color w:val="003399"/>
          <w:sz w:val="24"/>
          <w:szCs w:val="28"/>
        </w:rPr>
        <w:t xml:space="preserve">Appeals regarding centre decisions relating </w:t>
      </w:r>
      <w:r w:rsidRPr="00AC09D6">
        <w:rPr>
          <w:rFonts w:ascii="Tahoma" w:eastAsia="Times New Roman" w:hAnsi="Tahoma" w:cs="Times New Roman"/>
          <w:b/>
          <w:color w:val="003399"/>
          <w:sz w:val="24"/>
          <w:szCs w:val="28"/>
        </w:rPr>
        <w:t>to other administrative issues</w:t>
      </w:r>
      <w:bookmarkEnd w:id="2"/>
    </w:p>
    <w:p w14:paraId="3F4A842C" w14:textId="6E91E825" w:rsidR="00AC09D6" w:rsidRPr="00AC09D6" w:rsidRDefault="00AC09D6" w:rsidP="00AC09D6">
      <w:pPr>
        <w:spacing w:after="120"/>
        <w:rPr>
          <w:rFonts w:ascii="Tahoma" w:eastAsia="Times New Roman" w:hAnsi="Tahoma" w:cs="Tahoma"/>
        </w:rPr>
      </w:pPr>
      <w:r w:rsidRPr="00AC09D6">
        <w:rPr>
          <w:rFonts w:ascii="Tahoma" w:eastAsia="Times New Roman" w:hAnsi="Tahoma" w:cs="Tahoma"/>
        </w:rPr>
        <w:t xml:space="preserve">Circumstances may arise that cause Evolve Academy to make decisions on administrative issues that may affect a candidate’s examinations/assessments. </w:t>
      </w:r>
    </w:p>
    <w:p w14:paraId="28BD6E4B" w14:textId="2C4A47AF" w:rsidR="00AC09D6" w:rsidRPr="00AC09D6" w:rsidRDefault="00AC09D6" w:rsidP="00AC09D6">
      <w:pPr>
        <w:spacing w:after="120"/>
        <w:rPr>
          <w:rFonts w:ascii="Tahoma" w:eastAsia="Times New Roman" w:hAnsi="Tahoma" w:cs="Tahoma"/>
        </w:rPr>
      </w:pPr>
      <w:r w:rsidRPr="00AC09D6">
        <w:rPr>
          <w:rFonts w:ascii="Tahoma" w:eastAsia="Times New Roman" w:hAnsi="Tahoma" w:cs="Tahoma"/>
        </w:rPr>
        <w:t xml:space="preserve">Where </w:t>
      </w:r>
      <w:r w:rsidRPr="00AC09D6">
        <w:rPr>
          <w:rFonts w:ascii="Tahoma" w:eastAsia="Times New Roman" w:hAnsi="Tahoma" w:cs="Tahoma"/>
          <w:noProof/>
        </w:rPr>
        <w:t xml:space="preserve">Evolve Academy may make a decision </w:t>
      </w:r>
      <w:r w:rsidRPr="00AC09D6">
        <w:rPr>
          <w:rFonts w:ascii="Tahoma" w:eastAsia="Times New Roman" w:hAnsi="Tahoma" w:cs="Tahoma"/>
        </w:rPr>
        <w:t>that affects a candidate or candidates:</w:t>
      </w:r>
    </w:p>
    <w:p w14:paraId="063CF2B7" w14:textId="77777777" w:rsidR="00AC09D6" w:rsidRPr="00AC09D6" w:rsidRDefault="00AC09D6" w:rsidP="00AC09D6">
      <w:pPr>
        <w:numPr>
          <w:ilvl w:val="0"/>
          <w:numId w:val="38"/>
        </w:numPr>
        <w:spacing w:after="0"/>
        <w:ind w:left="714" w:hanging="357"/>
        <w:rPr>
          <w:rFonts w:ascii="Tahoma" w:eastAsia="Times New Roman" w:hAnsi="Tahoma" w:cs="Tahoma"/>
        </w:rPr>
      </w:pPr>
      <w:r w:rsidRPr="00AC09D6">
        <w:rPr>
          <w:rFonts w:ascii="Tahoma" w:eastAsia="Times New Roman" w:hAnsi="Tahoma" w:cs="Tahoma"/>
        </w:rPr>
        <w:t>If a candidate who is the subject of the relevant decision (or the candidate’s parent/carer) disagrees with the decision made and reasonably believes that the centre has not complied the regulations or followed due process, a written request setting out the grounds for appeal should be submitted</w:t>
      </w:r>
    </w:p>
    <w:p w14:paraId="6B38042F" w14:textId="026BE4D9" w:rsidR="00AC09D6" w:rsidRPr="00AC09D6" w:rsidRDefault="00AC09D6" w:rsidP="00AC09D6">
      <w:pPr>
        <w:numPr>
          <w:ilvl w:val="0"/>
          <w:numId w:val="38"/>
        </w:numPr>
        <w:spacing w:after="120"/>
        <w:rPr>
          <w:rFonts w:ascii="Tahoma" w:eastAsia="Times New Roman" w:hAnsi="Tahoma" w:cs="Tahoma"/>
        </w:rPr>
      </w:pPr>
      <w:r w:rsidRPr="00AC09D6">
        <w:rPr>
          <w:rFonts w:ascii="Tahoma" w:eastAsia="Times New Roman" w:hAnsi="Tahoma" w:cs="Tahoma"/>
        </w:rPr>
        <w:t xml:space="preserve">An </w:t>
      </w:r>
      <w:r w:rsidRPr="00AC09D6">
        <w:rPr>
          <w:rFonts w:ascii="Tahoma" w:eastAsia="Times New Roman" w:hAnsi="Tahoma" w:cs="Tahoma"/>
          <w:b/>
          <w:bCs/>
        </w:rPr>
        <w:t xml:space="preserve">internal appeals form </w:t>
      </w:r>
      <w:r w:rsidRPr="00AC09D6">
        <w:rPr>
          <w:rFonts w:ascii="Tahoma" w:eastAsia="Times New Roman" w:hAnsi="Tahoma" w:cs="Tahoma"/>
        </w:rPr>
        <w:t>should be completed and submitted within 5 calendar/working days of the decision being made known to the appellant.</w:t>
      </w:r>
    </w:p>
    <w:p w14:paraId="690A95A4" w14:textId="3BBD4AC6" w:rsidR="00AC09D6" w:rsidRPr="00AC09D6" w:rsidRDefault="00AC09D6" w:rsidP="00AC09D6">
      <w:pPr>
        <w:rPr>
          <w:rFonts w:ascii="Tahoma" w:hAnsi="Tahoma" w:cs="Tahoma"/>
        </w:rPr>
      </w:pPr>
      <w:r w:rsidRPr="00AC09D6">
        <w:rPr>
          <w:rFonts w:ascii="Tahoma" w:hAnsi="Tahoma" w:cs="Tahoma"/>
        </w:rPr>
        <w:t>The appellant will be informed of the outcome of the appeal within 5 calendar/working days of the appeal being received and logged by the centre.</w:t>
      </w:r>
    </w:p>
    <w:p w14:paraId="59550EFE" w14:textId="54946626" w:rsidR="00AC09D6" w:rsidRDefault="00AC09D6" w:rsidP="00AB60E7">
      <w:pPr>
        <w:pStyle w:val="Default"/>
        <w:spacing w:before="120" w:after="120" w:line="276" w:lineRule="auto"/>
        <w:jc w:val="both"/>
        <w:rPr>
          <w:rFonts w:ascii="Rockwell" w:hAnsi="Rockwell" w:cs="Arial"/>
        </w:rPr>
      </w:pPr>
      <w:r w:rsidRPr="00AC09D6">
        <w:rPr>
          <w:rFonts w:eastAsiaTheme="minorEastAsia"/>
          <w:color w:val="auto"/>
          <w:sz w:val="20"/>
          <w:szCs w:val="20"/>
          <w:lang w:eastAsia="en-GB"/>
        </w:rPr>
        <w:t xml:space="preserve">This procedure is informed by the JCQ publication </w:t>
      </w:r>
      <w:hyperlink r:id="rId10" w:history="1">
        <w:r w:rsidRPr="00AC09D6">
          <w:rPr>
            <w:rFonts w:eastAsiaTheme="minorEastAsia"/>
            <w:iCs/>
            <w:color w:val="0070C0"/>
            <w:sz w:val="20"/>
            <w:szCs w:val="20"/>
            <w:lang w:eastAsia="en-GB"/>
          </w:rPr>
          <w:t>A guide to the awarding bodies’ appeals processes</w:t>
        </w:r>
      </w:hyperlink>
      <w:r w:rsidRPr="00AC09D6">
        <w:rPr>
          <w:rFonts w:eastAsiaTheme="minorEastAsia"/>
          <w:color w:val="auto"/>
          <w:sz w:val="20"/>
          <w:szCs w:val="20"/>
          <w:lang w:eastAsia="en-GB"/>
        </w:rPr>
        <w:t xml:space="preserve"> (section 7)</w:t>
      </w:r>
    </w:p>
    <w:p w14:paraId="0AB54A52" w14:textId="77777777" w:rsidR="00AC09D6" w:rsidRPr="00AC09D6" w:rsidRDefault="00AC09D6" w:rsidP="00AC09D6">
      <w:pPr>
        <w:spacing w:after="240"/>
        <w:outlineLvl w:val="0"/>
        <w:rPr>
          <w:rFonts w:ascii="Tahoma" w:eastAsia="Times New Roman" w:hAnsi="Tahoma" w:cs="Tahoma"/>
          <w:b/>
          <w:color w:val="003399"/>
          <w:sz w:val="24"/>
          <w:szCs w:val="28"/>
        </w:rPr>
      </w:pPr>
      <w:bookmarkStart w:id="3" w:name="_Toc113823268"/>
      <w:r w:rsidRPr="00AC09D6">
        <w:rPr>
          <w:rFonts w:ascii="Tahoma" w:eastAsia="Times New Roman" w:hAnsi="Tahoma" w:cs="Tahoma"/>
          <w:b/>
          <w:color w:val="003399"/>
          <w:sz w:val="24"/>
          <w:szCs w:val="28"/>
        </w:rPr>
        <w:lastRenderedPageBreak/>
        <w:t>Appeals regarding centre decisions relating to access arrangements and special consideration</w:t>
      </w:r>
      <w:bookmarkEnd w:id="3"/>
      <w:r w:rsidRPr="00AC09D6">
        <w:rPr>
          <w:rFonts w:ascii="Tahoma" w:eastAsia="Times New Roman" w:hAnsi="Tahoma" w:cs="Tahoma"/>
          <w:b/>
          <w:color w:val="003399"/>
          <w:sz w:val="24"/>
          <w:szCs w:val="28"/>
        </w:rPr>
        <w:t xml:space="preserve"> </w:t>
      </w:r>
    </w:p>
    <w:p w14:paraId="67F0D4C6" w14:textId="134B1B4A" w:rsidR="00AC09D6" w:rsidRPr="00AC09D6" w:rsidRDefault="00AC09D6" w:rsidP="00AC09D6">
      <w:pPr>
        <w:spacing w:before="120" w:after="120"/>
        <w:rPr>
          <w:rFonts w:ascii="Tahoma" w:hAnsi="Tahoma" w:cs="Tahoma"/>
        </w:rPr>
      </w:pPr>
      <w:r w:rsidRPr="00AC09D6">
        <w:rPr>
          <w:rFonts w:ascii="Tahoma" w:hAnsi="Tahoma" w:cs="Tahoma"/>
          <w:noProof/>
        </w:rPr>
        <w:t xml:space="preserve">This procedure confirms </w:t>
      </w:r>
      <w:r w:rsidRPr="00BB5D7C">
        <w:rPr>
          <w:rFonts w:ascii="Tahoma" w:hAnsi="Tahoma" w:cs="Tahoma"/>
          <w:noProof/>
        </w:rPr>
        <w:t>Evolve Academy</w:t>
      </w:r>
      <w:r w:rsidRPr="00AC09D6">
        <w:rPr>
          <w:rFonts w:ascii="Tahoma" w:hAnsi="Tahoma" w:cs="Tahoma"/>
        </w:rPr>
        <w:t xml:space="preserve"> compliance with JCQ’s </w:t>
      </w:r>
      <w:r w:rsidRPr="00AC09D6">
        <w:rPr>
          <w:rFonts w:ascii="Tahoma" w:hAnsi="Tahoma" w:cs="Tahoma"/>
          <w:b/>
          <w:bCs/>
        </w:rPr>
        <w:t>General Regulations for Approved Centres</w:t>
      </w:r>
      <w:r w:rsidRPr="00AC09D6">
        <w:rPr>
          <w:rFonts w:ascii="Tahoma" w:hAnsi="Tahoma" w:cs="Tahoma"/>
        </w:rPr>
        <w:t xml:space="preserve"> (section 5.3x)</w:t>
      </w:r>
      <w:r w:rsidRPr="00AC09D6">
        <w:rPr>
          <w:rFonts w:ascii="Tahoma" w:hAnsi="Tahoma" w:cs="Tahoma"/>
          <w:i/>
        </w:rPr>
        <w:t xml:space="preserve"> </w:t>
      </w:r>
      <w:r w:rsidRPr="00AC09D6">
        <w:rPr>
          <w:rFonts w:ascii="Tahoma" w:hAnsi="Tahoma" w:cs="Tahoma"/>
        </w:rPr>
        <w:t xml:space="preserve">that the centre will: </w:t>
      </w:r>
    </w:p>
    <w:p w14:paraId="1D1F977C" w14:textId="77777777" w:rsidR="00AC09D6" w:rsidRPr="00AC09D6" w:rsidRDefault="00AC09D6" w:rsidP="00AC09D6">
      <w:pPr>
        <w:numPr>
          <w:ilvl w:val="0"/>
          <w:numId w:val="35"/>
        </w:numPr>
        <w:spacing w:before="120" w:after="120"/>
        <w:contextualSpacing/>
        <w:rPr>
          <w:rFonts w:ascii="Tahoma" w:hAnsi="Tahoma" w:cs="Tahoma"/>
        </w:rPr>
      </w:pPr>
      <w:r w:rsidRPr="00AC09D6">
        <w:rPr>
          <w:rFonts w:ascii="Tahoma" w:eastAsia="Times New Roman" w:hAnsi="Tahoma" w:cs="Tahoma"/>
        </w:rPr>
        <w:t>have in place and available for inspection a written internal appeals procedure which must cover at least appeals regarding... centre decisions relating to access arrangements and special consideration</w:t>
      </w:r>
    </w:p>
    <w:p w14:paraId="60032492" w14:textId="43FE310D" w:rsidR="00AC09D6" w:rsidRPr="00AC09D6" w:rsidRDefault="00AC09D6" w:rsidP="00AC09D6">
      <w:pPr>
        <w:spacing w:before="120" w:after="120"/>
        <w:rPr>
          <w:rFonts w:ascii="Tahoma" w:eastAsia="Times New Roman" w:hAnsi="Tahoma" w:cs="Tahoma"/>
        </w:rPr>
      </w:pPr>
      <w:r w:rsidRPr="00BB5D7C">
        <w:rPr>
          <w:rFonts w:ascii="Tahoma" w:hAnsi="Tahoma" w:cs="Tahoma"/>
          <w:noProof/>
        </w:rPr>
        <w:t>Evolve Academy</w:t>
      </w:r>
      <w:r w:rsidRPr="00AC09D6">
        <w:rPr>
          <w:rFonts w:ascii="Tahoma" w:hAnsi="Tahoma" w:cs="Tahoma"/>
        </w:rPr>
        <w:t xml:space="preserve"> </w:t>
      </w:r>
      <w:r w:rsidRPr="00AC09D6">
        <w:rPr>
          <w:rFonts w:ascii="Tahoma" w:eastAsia="Times New Roman" w:hAnsi="Tahoma" w:cs="Tahoma"/>
        </w:rPr>
        <w:t>will:</w:t>
      </w:r>
    </w:p>
    <w:p w14:paraId="739EDB8A" w14:textId="77777777" w:rsidR="00AC09D6" w:rsidRPr="00AC09D6" w:rsidRDefault="00AC09D6" w:rsidP="00AC09D6">
      <w:pPr>
        <w:numPr>
          <w:ilvl w:val="0"/>
          <w:numId w:val="35"/>
        </w:numPr>
        <w:spacing w:before="120" w:after="120"/>
        <w:contextualSpacing/>
        <w:rPr>
          <w:rFonts w:ascii="Tahoma" w:hAnsi="Tahoma" w:cs="Tahoma"/>
        </w:rPr>
      </w:pPr>
      <w:r w:rsidRPr="00AC09D6">
        <w:rPr>
          <w:rFonts w:ascii="Tahoma" w:eastAsia="Times New Roman" w:hAnsi="Tahoma" w:cs="Tahoma"/>
        </w:rPr>
        <w:t xml:space="preserve">comply with </w:t>
      </w:r>
      <w:r w:rsidRPr="00AC09D6">
        <w:rPr>
          <w:rFonts w:ascii="Tahoma" w:hAnsi="Tahoma" w:cs="Tahoma"/>
        </w:rPr>
        <w:t xml:space="preserve">the principles and regulations governing access arrangements and special consideration as set out in the JCQ publications </w:t>
      </w:r>
      <w:r w:rsidRPr="00AC09D6">
        <w:rPr>
          <w:rFonts w:ascii="Tahoma" w:hAnsi="Tahoma" w:cs="Tahoma"/>
          <w:b/>
          <w:bCs/>
        </w:rPr>
        <w:t>Access Arrangements and Reasonable Adjustments</w:t>
      </w:r>
      <w:r w:rsidRPr="00AC09D6">
        <w:rPr>
          <w:rFonts w:ascii="Tahoma" w:hAnsi="Tahoma" w:cs="Tahoma"/>
          <w:i/>
          <w:iCs/>
        </w:rPr>
        <w:t xml:space="preserve"> </w:t>
      </w:r>
      <w:r w:rsidRPr="00AC09D6">
        <w:rPr>
          <w:rFonts w:ascii="Tahoma" w:hAnsi="Tahoma" w:cs="Tahoma"/>
        </w:rPr>
        <w:t xml:space="preserve">and </w:t>
      </w:r>
      <w:r w:rsidRPr="00AC09D6">
        <w:rPr>
          <w:rFonts w:ascii="Tahoma" w:hAnsi="Tahoma" w:cs="Tahoma"/>
          <w:b/>
          <w:bCs/>
        </w:rPr>
        <w:t>A guide to the special consideration process</w:t>
      </w:r>
      <w:r w:rsidRPr="00AC09D6">
        <w:rPr>
          <w:rFonts w:ascii="Tahoma" w:hAnsi="Tahoma" w:cs="Tahoma"/>
        </w:rPr>
        <w:t xml:space="preserve"> </w:t>
      </w:r>
    </w:p>
    <w:p w14:paraId="3059298E" w14:textId="77777777" w:rsidR="00AC09D6" w:rsidRPr="00AC09D6" w:rsidRDefault="00AC09D6" w:rsidP="00AC09D6">
      <w:pPr>
        <w:numPr>
          <w:ilvl w:val="0"/>
          <w:numId w:val="35"/>
        </w:numPr>
        <w:spacing w:before="240" w:after="120"/>
        <w:contextualSpacing/>
        <w:rPr>
          <w:rFonts w:ascii="Tahoma" w:eastAsia="Times New Roman" w:hAnsi="Tahoma" w:cs="Tahoma"/>
          <w:b/>
          <w:bCs/>
        </w:rPr>
      </w:pPr>
      <w:r w:rsidRPr="00AC09D6">
        <w:rPr>
          <w:rFonts w:ascii="Tahoma" w:hAnsi="Tahoma" w:cs="Tahoma"/>
        </w:rPr>
        <w:t xml:space="preserve">ensure that all staff who manage and implement access arrangements and special consideration are aware of the requirements and are appropriately supported and resourced </w:t>
      </w:r>
    </w:p>
    <w:p w14:paraId="679C0021" w14:textId="77777777" w:rsidR="00AC09D6" w:rsidRPr="00AC09D6" w:rsidRDefault="00AC09D6" w:rsidP="00AC09D6">
      <w:pPr>
        <w:spacing w:before="240" w:after="120"/>
        <w:rPr>
          <w:rFonts w:ascii="Tahoma" w:eastAsia="Times New Roman" w:hAnsi="Tahoma" w:cs="Tahoma"/>
          <w:b/>
          <w:bCs/>
        </w:rPr>
      </w:pPr>
      <w:r w:rsidRPr="00AC09D6">
        <w:rPr>
          <w:rFonts w:ascii="Tahoma" w:eastAsia="Times New Roman" w:hAnsi="Tahoma" w:cs="Tahoma"/>
          <w:b/>
          <w:bCs/>
        </w:rPr>
        <w:t>Access arrangements and reasonable adjustments</w:t>
      </w:r>
    </w:p>
    <w:p w14:paraId="66BDE021" w14:textId="60791CF4" w:rsidR="00AC09D6" w:rsidRPr="00AC09D6" w:rsidRDefault="00AC09D6" w:rsidP="00AC09D6">
      <w:pPr>
        <w:spacing w:after="120"/>
        <w:rPr>
          <w:rFonts w:ascii="Tahoma" w:eastAsia="Times New Roman" w:hAnsi="Tahoma" w:cs="Tahoma"/>
        </w:rPr>
      </w:pPr>
      <w:r w:rsidRPr="00AC09D6">
        <w:rPr>
          <w:rFonts w:ascii="Tahoma" w:eastAsia="Times New Roman" w:hAnsi="Tahoma" w:cs="Tahoma"/>
        </w:rPr>
        <w:t xml:space="preserve">In accordance with the regulations, </w:t>
      </w:r>
      <w:r w:rsidRPr="00BB5D7C">
        <w:rPr>
          <w:rFonts w:ascii="Tahoma" w:eastAsia="Times New Roman" w:hAnsi="Tahoma" w:cs="Tahoma"/>
          <w:noProof/>
        </w:rPr>
        <w:t>Evolve Academy</w:t>
      </w:r>
      <w:r w:rsidRPr="00AC09D6">
        <w:rPr>
          <w:rFonts w:ascii="Tahoma" w:eastAsia="Times New Roman" w:hAnsi="Tahoma" w:cs="Tahoma"/>
        </w:rPr>
        <w:t>:</w:t>
      </w:r>
    </w:p>
    <w:p w14:paraId="1D4C52A5" w14:textId="77777777" w:rsidR="00AC09D6" w:rsidRPr="00AC09D6" w:rsidRDefault="00AC09D6" w:rsidP="00AC09D6">
      <w:pPr>
        <w:numPr>
          <w:ilvl w:val="0"/>
          <w:numId w:val="37"/>
        </w:numPr>
        <w:spacing w:after="0"/>
        <w:ind w:left="714" w:hanging="357"/>
        <w:rPr>
          <w:rFonts w:ascii="Tahoma" w:eastAsia="Times New Roman" w:hAnsi="Tahoma" w:cs="Tahoma"/>
        </w:rPr>
      </w:pPr>
      <w:r w:rsidRPr="00AC09D6">
        <w:rPr>
          <w:rFonts w:ascii="Tahoma" w:eastAsia="Times New Roman" w:hAnsi="Tahoma" w:cs="Tahoma"/>
        </w:rPr>
        <w:t xml:space="preserve">recognises its duty to explore and provide access to suitable courses, through the access arrangements process submit applications for reasonable adjustments and make reasonable adjustments to the service the centre provides to disabled candidates. </w:t>
      </w:r>
    </w:p>
    <w:p w14:paraId="140B32B3" w14:textId="77777777" w:rsidR="00AC09D6" w:rsidRPr="00AC09D6" w:rsidRDefault="00AC09D6" w:rsidP="00AC09D6">
      <w:pPr>
        <w:numPr>
          <w:ilvl w:val="0"/>
          <w:numId w:val="37"/>
        </w:numPr>
        <w:spacing w:after="120"/>
        <w:rPr>
          <w:rFonts w:ascii="Tahoma" w:eastAsia="Times New Roman" w:hAnsi="Tahoma" w:cs="Tahoma"/>
        </w:rPr>
      </w:pPr>
      <w:r w:rsidRPr="00AC09D6">
        <w:rPr>
          <w:rFonts w:ascii="Tahoma" w:eastAsia="Times New Roman" w:hAnsi="Tahoma" w:cs="Tahoma"/>
        </w:rPr>
        <w:t xml:space="preserve">complies with its responsibilities in identifying, determining and implementing appropriate access arrangements and reasonable adjustments </w:t>
      </w:r>
    </w:p>
    <w:p w14:paraId="0CA4BDB2" w14:textId="77777777" w:rsidR="00AC09D6" w:rsidRPr="00AC09D6" w:rsidRDefault="00AC09D6" w:rsidP="00AC09D6">
      <w:pPr>
        <w:spacing w:after="120"/>
        <w:rPr>
          <w:rFonts w:ascii="Tahoma" w:eastAsia="Times New Roman" w:hAnsi="Tahoma" w:cs="Tahoma"/>
        </w:rPr>
      </w:pPr>
      <w:r w:rsidRPr="00AC09D6">
        <w:rPr>
          <w:rFonts w:ascii="Tahoma" w:eastAsia="Times New Roman" w:hAnsi="Tahoma" w:cs="Tahoma"/>
        </w:rPr>
        <w:t xml:space="preserve">Failure to comply with the regulations have the potential to constitute malpractice which may impact on a candidate’s result(s). </w:t>
      </w:r>
    </w:p>
    <w:p w14:paraId="270DFFC7" w14:textId="77777777" w:rsidR="00AC09D6" w:rsidRPr="00AC09D6" w:rsidRDefault="00AC09D6" w:rsidP="00AC09D6">
      <w:pPr>
        <w:spacing w:after="120"/>
        <w:rPr>
          <w:rFonts w:ascii="Tahoma" w:eastAsia="Times New Roman" w:hAnsi="Tahoma" w:cs="Tahoma"/>
        </w:rPr>
      </w:pPr>
      <w:r w:rsidRPr="00AC09D6">
        <w:rPr>
          <w:rFonts w:ascii="Tahoma" w:hAnsi="Tahoma" w:cs="Tahoma"/>
        </w:rPr>
        <w:t>Examples of failure to comply include:</w:t>
      </w:r>
    </w:p>
    <w:p w14:paraId="5F1A2BEA" w14:textId="77777777" w:rsidR="00AC09D6" w:rsidRPr="00AC09D6" w:rsidRDefault="00AC09D6" w:rsidP="00AC09D6">
      <w:pPr>
        <w:numPr>
          <w:ilvl w:val="0"/>
          <w:numId w:val="36"/>
        </w:numPr>
        <w:spacing w:after="0"/>
        <w:ind w:left="714" w:hanging="357"/>
        <w:rPr>
          <w:rFonts w:ascii="Tahoma" w:eastAsia="Times New Roman" w:hAnsi="Tahoma" w:cs="Tahoma"/>
        </w:rPr>
      </w:pPr>
      <w:r w:rsidRPr="00AC09D6">
        <w:rPr>
          <w:rFonts w:ascii="Tahoma" w:eastAsia="Times New Roman" w:hAnsi="Tahoma" w:cs="Tahoma"/>
        </w:rPr>
        <w:t xml:space="preserve">putting in place access arrangements/adjustments that are not approved </w:t>
      </w:r>
    </w:p>
    <w:p w14:paraId="0A1399CF" w14:textId="77777777" w:rsidR="00AC09D6" w:rsidRPr="00AC09D6" w:rsidRDefault="00AC09D6" w:rsidP="00AC09D6">
      <w:pPr>
        <w:numPr>
          <w:ilvl w:val="0"/>
          <w:numId w:val="36"/>
        </w:numPr>
        <w:spacing w:after="0"/>
        <w:ind w:left="714" w:hanging="357"/>
        <w:rPr>
          <w:rFonts w:ascii="Tahoma" w:eastAsia="Times New Roman" w:hAnsi="Tahoma" w:cs="Tahoma"/>
        </w:rPr>
      </w:pPr>
      <w:r w:rsidRPr="00AC09D6">
        <w:rPr>
          <w:rFonts w:ascii="Tahoma" w:eastAsia="Times New Roman" w:hAnsi="Tahoma" w:cs="Tahoma"/>
        </w:rPr>
        <w:t xml:space="preserve">failing to consider putting in place access arrangements (which may be a failure to comply with the duty to make reasonable adjustments) </w:t>
      </w:r>
    </w:p>
    <w:p w14:paraId="2D005FF5" w14:textId="77777777" w:rsidR="00AC09D6" w:rsidRPr="00AC09D6" w:rsidRDefault="00AC09D6" w:rsidP="00AC09D6">
      <w:pPr>
        <w:numPr>
          <w:ilvl w:val="0"/>
          <w:numId w:val="36"/>
        </w:numPr>
        <w:spacing w:after="0"/>
        <w:ind w:left="714" w:hanging="357"/>
        <w:rPr>
          <w:rFonts w:ascii="Tahoma" w:eastAsia="Times New Roman" w:hAnsi="Tahoma" w:cs="Tahoma"/>
        </w:rPr>
      </w:pPr>
      <w:r w:rsidRPr="00AC09D6">
        <w:rPr>
          <w:rFonts w:ascii="Tahoma" w:eastAsia="Times New Roman" w:hAnsi="Tahoma" w:cs="Tahoma"/>
        </w:rPr>
        <w:t xml:space="preserve">permitting access arrangements/adjustments within the centre which are not supported by appropriate evidence </w:t>
      </w:r>
    </w:p>
    <w:p w14:paraId="026E17F8" w14:textId="77777777" w:rsidR="00AC09D6" w:rsidRPr="00AC09D6" w:rsidRDefault="00AC09D6" w:rsidP="00AC09D6">
      <w:pPr>
        <w:numPr>
          <w:ilvl w:val="0"/>
          <w:numId w:val="36"/>
        </w:numPr>
        <w:spacing w:after="120"/>
        <w:ind w:left="714" w:hanging="357"/>
        <w:rPr>
          <w:rFonts w:ascii="Tahoma" w:eastAsia="Times New Roman" w:hAnsi="Tahoma" w:cs="Tahoma"/>
        </w:rPr>
      </w:pPr>
      <w:r w:rsidRPr="00AC09D6">
        <w:rPr>
          <w:rFonts w:ascii="Tahoma" w:eastAsia="Times New Roman" w:hAnsi="Tahoma" w:cs="Tahoma"/>
        </w:rPr>
        <w:t>charging a fee for providing reasonable adjustments to disabled candidates AARA (Importance of these regulations)</w:t>
      </w:r>
    </w:p>
    <w:p w14:paraId="549A3007" w14:textId="77777777" w:rsidR="00AC09D6" w:rsidRPr="00AC09D6" w:rsidRDefault="00AC09D6" w:rsidP="00AC09D6">
      <w:pPr>
        <w:spacing w:before="240" w:after="120"/>
        <w:rPr>
          <w:rFonts w:ascii="Tahoma" w:eastAsia="Times New Roman" w:hAnsi="Tahoma" w:cs="Tahoma"/>
          <w:b/>
          <w:bCs/>
        </w:rPr>
      </w:pPr>
      <w:r w:rsidRPr="00AC09D6">
        <w:rPr>
          <w:rFonts w:ascii="Tahoma" w:eastAsia="Times New Roman" w:hAnsi="Tahoma" w:cs="Tahoma"/>
          <w:b/>
          <w:bCs/>
        </w:rPr>
        <w:t>Special consideration</w:t>
      </w:r>
    </w:p>
    <w:p w14:paraId="3A315975" w14:textId="1B0CCF91" w:rsidR="00AC09D6" w:rsidRPr="00AC09D6" w:rsidRDefault="00AC09D6" w:rsidP="00AC09D6">
      <w:pPr>
        <w:spacing w:after="120"/>
        <w:rPr>
          <w:rFonts w:ascii="Tahoma" w:eastAsia="Times New Roman" w:hAnsi="Tahoma" w:cs="Tahoma"/>
        </w:rPr>
      </w:pPr>
      <w:r w:rsidRPr="00AC09D6">
        <w:rPr>
          <w:rFonts w:ascii="Tahoma" w:hAnsi="Tahoma" w:cs="Tahoma"/>
          <w:noProof/>
        </w:rPr>
        <w:t xml:space="preserve">Where </w:t>
      </w:r>
      <w:r w:rsidRPr="00BB5D7C">
        <w:rPr>
          <w:rFonts w:ascii="Tahoma" w:hAnsi="Tahoma" w:cs="Tahoma"/>
          <w:noProof/>
        </w:rPr>
        <w:t>Evolve Academy</w:t>
      </w:r>
      <w:r w:rsidRPr="00AC09D6">
        <w:rPr>
          <w:rFonts w:ascii="Tahoma" w:hAnsi="Tahoma" w:cs="Tahoma"/>
        </w:rPr>
        <w:t xml:space="preserve"> can provide signed evidence to support an application, it will apply for special consideration </w:t>
      </w:r>
      <w:r w:rsidRPr="00AC09D6">
        <w:rPr>
          <w:rFonts w:ascii="Tahoma" w:eastAsia="Times New Roman" w:hAnsi="Tahoma" w:cs="Tahoma"/>
        </w:rPr>
        <w:t xml:space="preserve">at the time of the assessment for a candidate who has temporarily experienced illness, injury or some other event outside of their control when the issue or event has had, or is reasonably likely to have had, a material effect on the candidate’s ability to take an assessment or demonstrate his or her normal level of attainment in an assessment. </w:t>
      </w:r>
    </w:p>
    <w:p w14:paraId="1241B0FA" w14:textId="77777777" w:rsidR="00AC09D6" w:rsidRPr="00AC09D6" w:rsidRDefault="00AC09D6" w:rsidP="00AC09D6">
      <w:pPr>
        <w:spacing w:before="240" w:after="120"/>
        <w:rPr>
          <w:rFonts w:ascii="Tahoma" w:hAnsi="Tahoma" w:cs="Tahoma"/>
          <w:b/>
          <w:bCs/>
        </w:rPr>
      </w:pPr>
      <w:r w:rsidRPr="00AC09D6">
        <w:rPr>
          <w:rFonts w:ascii="Tahoma" w:hAnsi="Tahoma" w:cs="Tahoma"/>
          <w:b/>
          <w:bCs/>
        </w:rPr>
        <w:t xml:space="preserve">Centre decisions relating to access arrangements, reasonable adjustments and special consideration </w:t>
      </w:r>
    </w:p>
    <w:p w14:paraId="7D2F27A1" w14:textId="3EF9C899" w:rsidR="00AC09D6" w:rsidRPr="00AC09D6" w:rsidRDefault="00AC09D6" w:rsidP="00AC09D6">
      <w:pPr>
        <w:spacing w:after="120"/>
        <w:rPr>
          <w:rFonts w:ascii="Tahoma" w:eastAsia="Times New Roman" w:hAnsi="Tahoma" w:cs="Tahoma"/>
          <w:noProof/>
        </w:rPr>
      </w:pPr>
      <w:r w:rsidRPr="00AC09D6">
        <w:rPr>
          <w:rFonts w:ascii="Tahoma" w:eastAsia="Times New Roman" w:hAnsi="Tahoma" w:cs="Tahoma"/>
        </w:rPr>
        <w:t xml:space="preserve">This may include </w:t>
      </w:r>
      <w:r w:rsidRPr="00BB5D7C">
        <w:rPr>
          <w:rFonts w:ascii="Tahoma" w:eastAsia="Times New Roman" w:hAnsi="Tahoma" w:cs="Tahoma"/>
        </w:rPr>
        <w:t>Evolve Academy</w:t>
      </w:r>
      <w:r w:rsidRPr="00AC09D6">
        <w:rPr>
          <w:rFonts w:ascii="Tahoma" w:eastAsia="Times New Roman" w:hAnsi="Tahoma" w:cs="Tahoma"/>
        </w:rPr>
        <w:t xml:space="preserve"> decision not to make/apply for a specific reasonable adjustment or to apply for special consideration, in circumstances where a candidate does not meet the criteria for, or there is no evidence/insufficient evidence to support the implementation of an access arrangement/reasonable adjustment or the application of special consideration.</w:t>
      </w:r>
    </w:p>
    <w:p w14:paraId="15105044" w14:textId="73CAAE1B" w:rsidR="00AC09D6" w:rsidRPr="00AC09D6" w:rsidRDefault="00AC09D6" w:rsidP="00AC09D6">
      <w:pPr>
        <w:spacing w:after="120"/>
        <w:rPr>
          <w:rFonts w:ascii="Tahoma" w:eastAsia="Times New Roman" w:hAnsi="Tahoma" w:cs="Tahoma"/>
        </w:rPr>
      </w:pPr>
      <w:r w:rsidRPr="00AC09D6">
        <w:rPr>
          <w:rFonts w:ascii="Tahoma" w:eastAsia="Times New Roman" w:hAnsi="Tahoma" w:cs="Tahoma"/>
        </w:rPr>
        <w:t xml:space="preserve">Where </w:t>
      </w:r>
      <w:r w:rsidRPr="00BB5D7C">
        <w:rPr>
          <w:rFonts w:ascii="Tahoma" w:eastAsia="Times New Roman" w:hAnsi="Tahoma" w:cs="Tahoma"/>
          <w:noProof/>
        </w:rPr>
        <w:t>Evolve Academy</w:t>
      </w:r>
      <w:r w:rsidRPr="00AC09D6">
        <w:rPr>
          <w:rFonts w:ascii="Tahoma" w:eastAsia="Times New Roman" w:hAnsi="Tahoma" w:cs="Tahoma"/>
          <w:noProof/>
        </w:rPr>
        <w:t xml:space="preserve"> makes a decision in relation to the access arrangement(s),</w:t>
      </w:r>
      <w:r w:rsidRPr="00AC09D6">
        <w:rPr>
          <w:rFonts w:ascii="Tahoma" w:eastAsia="Times New Roman" w:hAnsi="Tahoma" w:cs="Tahoma"/>
        </w:rPr>
        <w:t xml:space="preserve"> reasonable adjustment(s) or special consideration that apply for a candidate or candidates:</w:t>
      </w:r>
    </w:p>
    <w:p w14:paraId="2DE3EF16" w14:textId="77777777" w:rsidR="00AC09D6" w:rsidRPr="00AC09D6" w:rsidRDefault="00AC09D6" w:rsidP="00AC09D6">
      <w:pPr>
        <w:numPr>
          <w:ilvl w:val="0"/>
          <w:numId w:val="39"/>
        </w:numPr>
        <w:spacing w:after="120"/>
        <w:ind w:left="714" w:hanging="357"/>
        <w:rPr>
          <w:rFonts w:ascii="Tahoma" w:eastAsia="Times New Roman" w:hAnsi="Tahoma" w:cs="Tahoma"/>
        </w:rPr>
      </w:pPr>
      <w:r w:rsidRPr="00AC09D6">
        <w:rPr>
          <w:rFonts w:ascii="Tahoma" w:eastAsia="Times New Roman" w:hAnsi="Tahoma" w:cs="Tahoma"/>
        </w:rPr>
        <w:t xml:space="preserve">If a candidate who is the subject of the relevant decision (or the candidate’s parent/carer) disagrees with the decision made and reasonably believes that the centre has not complied with its </w:t>
      </w:r>
      <w:r w:rsidRPr="00AC09D6">
        <w:rPr>
          <w:rFonts w:ascii="Tahoma" w:eastAsia="Times New Roman" w:hAnsi="Tahoma" w:cs="Tahoma"/>
        </w:rPr>
        <w:lastRenderedPageBreak/>
        <w:t>responsibilities or followed due procedures, a written request setting out the grounds for appeal should be submitted</w:t>
      </w:r>
    </w:p>
    <w:p w14:paraId="1C57E32E" w14:textId="60FD7018" w:rsidR="00AC09D6" w:rsidRPr="00AC09D6" w:rsidRDefault="00AC09D6" w:rsidP="00AC09D6">
      <w:pPr>
        <w:numPr>
          <w:ilvl w:val="0"/>
          <w:numId w:val="39"/>
        </w:numPr>
        <w:spacing w:after="75"/>
        <w:rPr>
          <w:rFonts w:ascii="Tahoma" w:hAnsi="Tahoma" w:cs="Tahoma"/>
        </w:rPr>
      </w:pPr>
      <w:r w:rsidRPr="00AC09D6">
        <w:rPr>
          <w:rFonts w:ascii="Tahoma" w:hAnsi="Tahoma" w:cs="Tahoma"/>
        </w:rPr>
        <w:t xml:space="preserve">An </w:t>
      </w:r>
      <w:r w:rsidRPr="00AC09D6">
        <w:rPr>
          <w:rFonts w:ascii="Tahoma" w:hAnsi="Tahoma" w:cs="Tahoma"/>
          <w:b/>
          <w:bCs/>
        </w:rPr>
        <w:t xml:space="preserve">internal appeals form </w:t>
      </w:r>
      <w:r w:rsidRPr="00AC09D6">
        <w:rPr>
          <w:rFonts w:ascii="Tahoma" w:hAnsi="Tahoma" w:cs="Tahoma"/>
        </w:rPr>
        <w:t xml:space="preserve">should be completed and submitted within </w:t>
      </w:r>
      <w:r w:rsidRPr="00BB5D7C">
        <w:rPr>
          <w:rFonts w:ascii="Tahoma" w:hAnsi="Tahoma" w:cs="Tahoma"/>
        </w:rPr>
        <w:t>5</w:t>
      </w:r>
      <w:r w:rsidRPr="00AC09D6">
        <w:rPr>
          <w:rFonts w:ascii="Tahoma" w:hAnsi="Tahoma" w:cs="Tahoma"/>
        </w:rPr>
        <w:t xml:space="preserve"> calendar/working days of the decision being made known to the appellant.</w:t>
      </w:r>
    </w:p>
    <w:p w14:paraId="72B31A6C" w14:textId="77777777" w:rsidR="00AC09D6" w:rsidRPr="00AC09D6" w:rsidRDefault="00AC09D6" w:rsidP="00AC09D6">
      <w:pPr>
        <w:spacing w:before="120" w:after="120"/>
        <w:rPr>
          <w:rFonts w:ascii="Tahoma" w:hAnsi="Tahoma" w:cs="Tahoma"/>
          <w:noProof/>
        </w:rPr>
      </w:pPr>
      <w:r w:rsidRPr="00AC09D6">
        <w:rPr>
          <w:rFonts w:ascii="Tahoma" w:eastAsia="Times New Roman" w:hAnsi="Tahoma" w:cs="Tahoma"/>
        </w:rPr>
        <w:t xml:space="preserve">To determine the outcome of the appeal, the head of centre will consult the respective JCQ publication to confirm </w:t>
      </w:r>
      <w:r w:rsidRPr="00AC09D6">
        <w:rPr>
          <w:rFonts w:ascii="Tahoma" w:hAnsi="Tahoma" w:cs="Tahoma"/>
        </w:rPr>
        <w:t>the centre has complied with the principles and regulations governing access arrangements and/or special consideration and followed due procedures.</w:t>
      </w:r>
    </w:p>
    <w:p w14:paraId="5C09A2B6" w14:textId="0DB0842D" w:rsidR="00AC09D6" w:rsidRPr="00AC09D6" w:rsidRDefault="00AC09D6" w:rsidP="00AC09D6">
      <w:pPr>
        <w:rPr>
          <w:rFonts w:ascii="Tahoma" w:hAnsi="Tahoma" w:cs="Tahoma"/>
        </w:rPr>
      </w:pPr>
      <w:r w:rsidRPr="00AC09D6">
        <w:rPr>
          <w:rFonts w:ascii="Tahoma" w:hAnsi="Tahoma" w:cs="Tahoma"/>
        </w:rPr>
        <w:t xml:space="preserve">The appellant will be informed of the outcome of the appeal within </w:t>
      </w:r>
      <w:r w:rsidRPr="00BB5D7C">
        <w:rPr>
          <w:rFonts w:ascii="Tahoma" w:hAnsi="Tahoma" w:cs="Tahoma"/>
        </w:rPr>
        <w:t>5</w:t>
      </w:r>
      <w:r w:rsidRPr="00AC09D6">
        <w:rPr>
          <w:rFonts w:ascii="Tahoma" w:hAnsi="Tahoma" w:cs="Tahoma"/>
        </w:rPr>
        <w:t xml:space="preserve"> calendar/working days of the appeal being received and logged by the centre.</w:t>
      </w:r>
    </w:p>
    <w:p w14:paraId="78B3F528" w14:textId="72163B31" w:rsidR="00AC09D6" w:rsidRPr="00AC09D6" w:rsidRDefault="00AC09D6" w:rsidP="00AC09D6">
      <w:pPr>
        <w:rPr>
          <w:rFonts w:ascii="Tahoma" w:hAnsi="Tahoma" w:cs="Tahoma"/>
          <w:noProof/>
        </w:rPr>
      </w:pPr>
      <w:r w:rsidRPr="00AC09D6">
        <w:rPr>
          <w:rFonts w:ascii="Tahoma" w:hAnsi="Tahoma" w:cs="Tahoma"/>
        </w:rPr>
        <w:t xml:space="preserve">If the appeal is upheld, </w:t>
      </w:r>
      <w:r w:rsidRPr="00BB5D7C">
        <w:rPr>
          <w:rFonts w:ascii="Tahoma" w:hAnsi="Tahoma" w:cs="Tahoma"/>
          <w:noProof/>
        </w:rPr>
        <w:t>Evolve Academy</w:t>
      </w:r>
      <w:r w:rsidRPr="00AC09D6">
        <w:rPr>
          <w:rFonts w:ascii="Tahoma" w:hAnsi="Tahoma" w:cs="Tahoma"/>
          <w:noProof/>
        </w:rPr>
        <w:t xml:space="preserve"> will proceed to implement the necessary arrangements/submit the necessary application.</w:t>
      </w:r>
    </w:p>
    <w:p w14:paraId="2AD105F4" w14:textId="77777777" w:rsidR="00AC09D6" w:rsidRPr="00AC09D6" w:rsidRDefault="00AC09D6" w:rsidP="00AC09D6">
      <w:pPr>
        <w:rPr>
          <w:rFonts w:ascii="Tahoma" w:hAnsi="Tahoma" w:cs="Tahoma"/>
          <w:noProof/>
        </w:rPr>
      </w:pPr>
    </w:p>
    <w:p w14:paraId="2FDE3663" w14:textId="77777777" w:rsidR="00AC09D6" w:rsidRPr="00AC09D6" w:rsidRDefault="00AC09D6" w:rsidP="00AC09D6">
      <w:pPr>
        <w:pBdr>
          <w:bottom w:val="single" w:sz="6" w:space="1" w:color="auto"/>
        </w:pBdr>
        <w:spacing w:line="276" w:lineRule="auto"/>
        <w:rPr>
          <w:rFonts w:ascii="Tahoma" w:hAnsi="Tahoma" w:cs="Arial"/>
          <w:color w:val="7F7F7F" w:themeColor="text1" w:themeTint="80"/>
        </w:rPr>
      </w:pPr>
    </w:p>
    <w:p w14:paraId="0665F5F3" w14:textId="7930BB59" w:rsidR="00A654B7" w:rsidRPr="00BB5D7C" w:rsidRDefault="00AC09D6" w:rsidP="00AC09D6">
      <w:pPr>
        <w:spacing w:after="0"/>
        <w:rPr>
          <w:rFonts w:ascii="Tahoma" w:eastAsia="Times New Roman" w:hAnsi="Tahoma" w:cs="Tahoma"/>
          <w:sz w:val="20"/>
          <w:szCs w:val="20"/>
        </w:rPr>
      </w:pPr>
      <w:r w:rsidRPr="00AC09D6">
        <w:rPr>
          <w:rFonts w:ascii="Tahoma" w:hAnsi="Tahoma" w:cs="Tahoma"/>
          <w:sz w:val="20"/>
          <w:szCs w:val="20"/>
        </w:rPr>
        <w:t xml:space="preserve">This procedure is informed by the JCQ publications </w:t>
      </w:r>
      <w:hyperlink r:id="rId11" w:history="1">
        <w:r w:rsidRPr="00AC09D6">
          <w:rPr>
            <w:rFonts w:ascii="Tahoma" w:hAnsi="Tahoma" w:cs="Tahoma"/>
            <w:iCs/>
            <w:color w:val="0070C0"/>
            <w:sz w:val="20"/>
            <w:szCs w:val="20"/>
          </w:rPr>
          <w:t>A guide to the awarding bodies’ appeals processes</w:t>
        </w:r>
      </w:hyperlink>
      <w:r w:rsidRPr="00AC09D6">
        <w:rPr>
          <w:rFonts w:ascii="Tahoma" w:hAnsi="Tahoma" w:cs="Tahoma"/>
          <w:sz w:val="20"/>
          <w:szCs w:val="20"/>
        </w:rPr>
        <w:t xml:space="preserve"> (section 3), </w:t>
      </w:r>
      <w:hyperlink r:id="rId12" w:history="1">
        <w:r w:rsidRPr="00AC09D6">
          <w:rPr>
            <w:rFonts w:ascii="Tahoma" w:hAnsi="Tahoma" w:cs="Tahoma"/>
            <w:color w:val="0070C0"/>
            <w:sz w:val="20"/>
            <w:szCs w:val="20"/>
          </w:rPr>
          <w:t>Suspected Malpractice: Policies and Procedures</w:t>
        </w:r>
      </w:hyperlink>
      <w:r w:rsidRPr="00AC09D6">
        <w:rPr>
          <w:rFonts w:ascii="Tahoma" w:hAnsi="Tahoma" w:cs="Tahoma"/>
          <w:iCs/>
          <w:color w:val="0070C0"/>
          <w:sz w:val="20"/>
          <w:szCs w:val="20"/>
        </w:rPr>
        <w:t xml:space="preserve"> </w:t>
      </w:r>
      <w:r w:rsidRPr="00AC09D6">
        <w:rPr>
          <w:rFonts w:ascii="Tahoma" w:hAnsi="Tahoma" w:cs="Tahoma"/>
          <w:iCs/>
          <w:sz w:val="20"/>
          <w:szCs w:val="20"/>
        </w:rPr>
        <w:t xml:space="preserve">(section 3.3), </w:t>
      </w:r>
      <w:hyperlink r:id="rId13" w:history="1">
        <w:r w:rsidRPr="00AC09D6">
          <w:rPr>
            <w:rFonts w:ascii="Tahoma" w:hAnsi="Tahoma" w:cs="Tahoma"/>
            <w:iCs/>
            <w:color w:val="0070C0"/>
            <w:sz w:val="20"/>
            <w:szCs w:val="20"/>
          </w:rPr>
          <w:t>General Regulations for Approved Centres</w:t>
        </w:r>
      </w:hyperlink>
      <w:r w:rsidRPr="00AC09D6">
        <w:rPr>
          <w:rFonts w:ascii="Tahoma" w:hAnsi="Tahoma" w:cs="Tahoma"/>
          <w:iCs/>
          <w:sz w:val="20"/>
          <w:szCs w:val="20"/>
        </w:rPr>
        <w:t xml:space="preserve"> (section 5.4), </w:t>
      </w:r>
      <w:hyperlink r:id="rId14" w:history="1">
        <w:r w:rsidRPr="00AC09D6">
          <w:rPr>
            <w:rFonts w:ascii="Tahoma" w:eastAsia="Times New Roman" w:hAnsi="Tahoma" w:cs="Tahoma"/>
            <w:color w:val="0070C0"/>
            <w:sz w:val="20"/>
            <w:szCs w:val="20"/>
          </w:rPr>
          <w:t>Access Arrangements and Reasonable Adjustments</w:t>
        </w:r>
      </w:hyperlink>
      <w:r w:rsidRPr="00AC09D6">
        <w:rPr>
          <w:rFonts w:ascii="Tahoma" w:eastAsia="Times New Roman" w:hAnsi="Tahoma" w:cs="Tahoma"/>
          <w:sz w:val="20"/>
          <w:szCs w:val="20"/>
        </w:rPr>
        <w:t xml:space="preserve"> (Importance of these regulations) </w:t>
      </w:r>
      <w:r w:rsidRPr="00AC09D6">
        <w:rPr>
          <w:rFonts w:ascii="Tahoma" w:hAnsi="Tahoma" w:cs="Tahoma"/>
          <w:iCs/>
          <w:sz w:val="20"/>
          <w:szCs w:val="20"/>
        </w:rPr>
        <w:t>and</w:t>
      </w:r>
      <w:r w:rsidRPr="00AC09D6">
        <w:rPr>
          <w:rFonts w:ascii="Tahoma" w:hAnsi="Tahoma" w:cs="Tahoma"/>
          <w:i/>
          <w:sz w:val="20"/>
          <w:szCs w:val="20"/>
        </w:rPr>
        <w:t xml:space="preserve"> </w:t>
      </w:r>
      <w:hyperlink r:id="rId15" w:history="1">
        <w:r w:rsidRPr="00AC09D6">
          <w:rPr>
            <w:rFonts w:ascii="Tahoma" w:hAnsi="Tahoma" w:cs="Tahoma"/>
            <w:color w:val="0070C0"/>
            <w:sz w:val="20"/>
            <w:szCs w:val="20"/>
          </w:rPr>
          <w:t>A guide to the special consideration process</w:t>
        </w:r>
      </w:hyperlink>
      <w:r w:rsidRPr="00AC09D6">
        <w:rPr>
          <w:rFonts w:ascii="Tahoma" w:hAnsi="Tahoma" w:cs="Tahoma"/>
          <w:color w:val="0070C0"/>
          <w:sz w:val="20"/>
          <w:szCs w:val="20"/>
        </w:rPr>
        <w:t xml:space="preserve"> </w:t>
      </w:r>
      <w:r w:rsidRPr="00AC09D6">
        <w:rPr>
          <w:rFonts w:ascii="Tahoma" w:hAnsi="Tahoma" w:cs="Tahoma"/>
          <w:sz w:val="20"/>
          <w:szCs w:val="20"/>
        </w:rPr>
        <w:t>(sections 1, 2, 6)</w:t>
      </w:r>
      <w:r w:rsidRPr="00AC09D6">
        <w:rPr>
          <w:rFonts w:ascii="Tahoma" w:hAnsi="Tahoma"/>
        </w:rPr>
        <w:br w:type="page"/>
      </w:r>
    </w:p>
    <w:tbl>
      <w:tblPr>
        <w:tblStyle w:val="TableGrid"/>
        <w:tblW w:w="0" w:type="auto"/>
        <w:tblLook w:val="04A0" w:firstRow="1" w:lastRow="0" w:firstColumn="1" w:lastColumn="0" w:noHBand="0" w:noVBand="1"/>
      </w:tblPr>
      <w:tblGrid>
        <w:gridCol w:w="6487"/>
        <w:gridCol w:w="1559"/>
        <w:gridCol w:w="2222"/>
      </w:tblGrid>
      <w:tr w:rsidR="00936297" w:rsidRPr="00665067" w14:paraId="71E4AACE" w14:textId="77777777" w:rsidTr="00DC5489">
        <w:tc>
          <w:tcPr>
            <w:tcW w:w="6487" w:type="dxa"/>
            <w:vMerge w:val="restart"/>
            <w:tcBorders>
              <w:top w:val="nil"/>
              <w:left w:val="nil"/>
              <w:right w:val="single" w:sz="4" w:space="0" w:color="FF3300"/>
            </w:tcBorders>
            <w:vAlign w:val="center"/>
          </w:tcPr>
          <w:p w14:paraId="10990EB9" w14:textId="77777777" w:rsidR="00936297" w:rsidRPr="00665067" w:rsidRDefault="00936297" w:rsidP="004268DF">
            <w:pPr>
              <w:spacing w:before="120" w:after="120" w:line="276" w:lineRule="auto"/>
              <w:rPr>
                <w:rFonts w:ascii="Rockwell" w:eastAsia="Times New Roman" w:hAnsi="Rockwell" w:cs="Arial"/>
                <w:b/>
                <w:color w:val="003399"/>
                <w:sz w:val="28"/>
                <w:szCs w:val="28"/>
              </w:rPr>
            </w:pPr>
            <w:bookmarkStart w:id="4" w:name="_Hlk496619748"/>
            <w:r w:rsidRPr="00143D70">
              <w:rPr>
                <w:rFonts w:ascii="Rockwell" w:eastAsia="Times New Roman" w:hAnsi="Rockwell" w:cs="Arial"/>
                <w:b/>
                <w:color w:val="003399"/>
                <w:sz w:val="28"/>
                <w:szCs w:val="28"/>
              </w:rPr>
              <w:lastRenderedPageBreak/>
              <w:t>Internal appeals form</w:t>
            </w:r>
          </w:p>
        </w:tc>
        <w:tc>
          <w:tcPr>
            <w:tcW w:w="3781" w:type="dxa"/>
            <w:gridSpan w:val="2"/>
            <w:tcBorders>
              <w:top w:val="single" w:sz="4" w:space="0" w:color="FF3300"/>
              <w:left w:val="single" w:sz="4" w:space="0" w:color="FF3300"/>
              <w:bottom w:val="single" w:sz="4" w:space="0" w:color="FF3300"/>
              <w:right w:val="single" w:sz="4" w:space="0" w:color="FF3300"/>
            </w:tcBorders>
            <w:shd w:val="clear" w:color="auto" w:fill="FDE9D9" w:themeFill="accent6" w:themeFillTint="33"/>
            <w:vAlign w:val="center"/>
          </w:tcPr>
          <w:p w14:paraId="5AD67F76" w14:textId="77777777" w:rsidR="00936297" w:rsidRPr="00A8214A" w:rsidRDefault="00936297" w:rsidP="00665067">
            <w:pPr>
              <w:spacing w:before="120" w:after="120"/>
              <w:jc w:val="center"/>
              <w:rPr>
                <w:rFonts w:ascii="Rockwell" w:eastAsia="Times New Roman" w:hAnsi="Rockwell" w:cs="Arial"/>
                <w:b/>
                <w:sz w:val="28"/>
                <w:szCs w:val="28"/>
              </w:rPr>
            </w:pPr>
            <w:r w:rsidRPr="00A8214A">
              <w:rPr>
                <w:rFonts w:ascii="Rockwell Condensed" w:hAnsi="Rockwell Condensed"/>
                <w:b/>
                <w:sz w:val="20"/>
                <w:szCs w:val="20"/>
              </w:rPr>
              <w:t>FOR CENTRE USE ONLY</w:t>
            </w:r>
          </w:p>
        </w:tc>
      </w:tr>
      <w:tr w:rsidR="00936297" w:rsidRPr="00665067" w14:paraId="733FEBB0" w14:textId="77777777" w:rsidTr="00DC5489">
        <w:trPr>
          <w:trHeight w:val="310"/>
        </w:trPr>
        <w:tc>
          <w:tcPr>
            <w:tcW w:w="6487" w:type="dxa"/>
            <w:vMerge/>
            <w:tcBorders>
              <w:left w:val="nil"/>
              <w:bottom w:val="nil"/>
              <w:right w:val="single" w:sz="4" w:space="0" w:color="FF3300"/>
            </w:tcBorders>
          </w:tcPr>
          <w:p w14:paraId="6C7991FA" w14:textId="77777777" w:rsidR="00936297" w:rsidRPr="00936297" w:rsidRDefault="00936297" w:rsidP="004268DF">
            <w:pPr>
              <w:spacing w:before="120" w:after="120" w:line="276" w:lineRule="auto"/>
              <w:rPr>
                <w:rFonts w:ascii="Rockwell" w:eastAsia="Times New Roman" w:hAnsi="Rockwell" w:cs="Arial"/>
                <w:sz w:val="20"/>
                <w:szCs w:val="20"/>
              </w:rPr>
            </w:pPr>
          </w:p>
        </w:tc>
        <w:tc>
          <w:tcPr>
            <w:tcW w:w="1559" w:type="dxa"/>
            <w:tcBorders>
              <w:top w:val="single" w:sz="4" w:space="0" w:color="FF3300"/>
              <w:left w:val="single" w:sz="4" w:space="0" w:color="FF3300"/>
              <w:bottom w:val="single" w:sz="4" w:space="0" w:color="FF3300"/>
              <w:right w:val="single" w:sz="4" w:space="0" w:color="FF3300"/>
            </w:tcBorders>
            <w:shd w:val="clear" w:color="auto" w:fill="FDE9D9" w:themeFill="accent6" w:themeFillTint="33"/>
            <w:vAlign w:val="center"/>
          </w:tcPr>
          <w:p w14:paraId="0EE20874" w14:textId="7846DDAC" w:rsidR="00936297" w:rsidRPr="00A8214A" w:rsidRDefault="00936297" w:rsidP="004268DF">
            <w:pPr>
              <w:spacing w:before="120" w:after="120" w:line="276" w:lineRule="auto"/>
              <w:rPr>
                <w:rFonts w:ascii="Rockwell" w:eastAsia="Times New Roman" w:hAnsi="Rockwell" w:cs="Arial"/>
                <w:sz w:val="28"/>
                <w:szCs w:val="28"/>
              </w:rPr>
            </w:pPr>
            <w:r w:rsidRPr="00A8214A">
              <w:rPr>
                <w:rFonts w:ascii="Rockwell" w:hAnsi="Rockwell"/>
                <w:sz w:val="20"/>
                <w:szCs w:val="20"/>
              </w:rPr>
              <w:t>Date received</w:t>
            </w:r>
          </w:p>
        </w:tc>
        <w:tc>
          <w:tcPr>
            <w:tcW w:w="2222" w:type="dxa"/>
            <w:tcBorders>
              <w:top w:val="single" w:sz="4" w:space="0" w:color="FF3300"/>
              <w:left w:val="single" w:sz="4" w:space="0" w:color="FF3300"/>
              <w:bottom w:val="single" w:sz="4" w:space="0" w:color="FF3300"/>
              <w:right w:val="single" w:sz="4" w:space="0" w:color="FF3300"/>
            </w:tcBorders>
          </w:tcPr>
          <w:p w14:paraId="106AFB86" w14:textId="77777777" w:rsidR="00936297" w:rsidRPr="00A8214A" w:rsidRDefault="00936297" w:rsidP="004268DF">
            <w:pPr>
              <w:spacing w:before="120" w:after="120" w:line="276" w:lineRule="auto"/>
              <w:rPr>
                <w:rFonts w:ascii="Rockwell" w:eastAsia="Times New Roman" w:hAnsi="Rockwell" w:cs="Arial"/>
                <w:b/>
                <w:sz w:val="28"/>
                <w:szCs w:val="28"/>
              </w:rPr>
            </w:pPr>
          </w:p>
        </w:tc>
      </w:tr>
      <w:tr w:rsidR="00936297" w:rsidRPr="00665067" w14:paraId="2526C0A9" w14:textId="77777777" w:rsidTr="00DC5489">
        <w:trPr>
          <w:trHeight w:val="579"/>
        </w:trPr>
        <w:tc>
          <w:tcPr>
            <w:tcW w:w="6487" w:type="dxa"/>
            <w:tcBorders>
              <w:top w:val="nil"/>
              <w:left w:val="nil"/>
              <w:bottom w:val="nil"/>
              <w:right w:val="single" w:sz="4" w:space="0" w:color="FF3300"/>
            </w:tcBorders>
            <w:vAlign w:val="bottom"/>
          </w:tcPr>
          <w:p w14:paraId="7641BEFD" w14:textId="77777777" w:rsidR="00936297" w:rsidRPr="00665067" w:rsidRDefault="00936297" w:rsidP="00380EF0">
            <w:pPr>
              <w:spacing w:before="120" w:after="0" w:line="276" w:lineRule="auto"/>
              <w:rPr>
                <w:rFonts w:ascii="Rockwell" w:eastAsia="Times New Roman" w:hAnsi="Rockwell" w:cs="Arial"/>
                <w:b/>
                <w:color w:val="003399"/>
                <w:sz w:val="28"/>
                <w:szCs w:val="28"/>
              </w:rPr>
            </w:pPr>
            <w:r w:rsidRPr="00A4728A">
              <w:rPr>
                <w:rFonts w:ascii="Rockwell" w:eastAsia="Times New Roman" w:hAnsi="Rockwell" w:cs="Arial"/>
                <w:sz w:val="20"/>
                <w:szCs w:val="20"/>
              </w:rPr>
              <w:t xml:space="preserve">Please tick </w:t>
            </w:r>
            <w:r>
              <w:rPr>
                <w:rFonts w:ascii="Rockwell" w:eastAsia="Times New Roman" w:hAnsi="Rockwell" w:cs="Arial"/>
                <w:sz w:val="20"/>
                <w:szCs w:val="20"/>
              </w:rPr>
              <w:t xml:space="preserve">box </w:t>
            </w:r>
            <w:r w:rsidRPr="00A4728A">
              <w:rPr>
                <w:rFonts w:ascii="Rockwell" w:eastAsia="Times New Roman" w:hAnsi="Rockwell" w:cs="Arial"/>
                <w:sz w:val="20"/>
                <w:szCs w:val="20"/>
              </w:rPr>
              <w:t xml:space="preserve">to indicate </w:t>
            </w:r>
            <w:r>
              <w:rPr>
                <w:rFonts w:ascii="Rockwell" w:eastAsia="Times New Roman" w:hAnsi="Rockwell" w:cs="Arial"/>
                <w:sz w:val="20"/>
                <w:szCs w:val="20"/>
              </w:rPr>
              <w:t xml:space="preserve">the nature of your appeal and complete all white boxes on the form below </w:t>
            </w:r>
          </w:p>
        </w:tc>
        <w:tc>
          <w:tcPr>
            <w:tcW w:w="1559" w:type="dxa"/>
            <w:tcBorders>
              <w:top w:val="single" w:sz="4" w:space="0" w:color="FF3300"/>
              <w:left w:val="single" w:sz="4" w:space="0" w:color="FF3300"/>
              <w:bottom w:val="single" w:sz="4" w:space="0" w:color="FF3300"/>
              <w:right w:val="single" w:sz="4" w:space="0" w:color="FF3300"/>
            </w:tcBorders>
            <w:shd w:val="clear" w:color="auto" w:fill="FDE9D9" w:themeFill="accent6" w:themeFillTint="33"/>
            <w:vAlign w:val="center"/>
          </w:tcPr>
          <w:p w14:paraId="5348DA15" w14:textId="3534DA4D" w:rsidR="00936297" w:rsidRPr="00A8214A" w:rsidRDefault="00DE706D" w:rsidP="004268DF">
            <w:pPr>
              <w:spacing w:before="120" w:after="120" w:line="276" w:lineRule="auto"/>
              <w:rPr>
                <w:rFonts w:ascii="Rockwell" w:hAnsi="Rockwell"/>
                <w:sz w:val="20"/>
                <w:szCs w:val="20"/>
              </w:rPr>
            </w:pPr>
            <w:r w:rsidRPr="00A8214A">
              <w:rPr>
                <w:rFonts w:ascii="Rockwell" w:hAnsi="Rockwell"/>
                <w:sz w:val="20"/>
                <w:szCs w:val="20"/>
              </w:rPr>
              <w:t xml:space="preserve">Reference No. </w:t>
            </w:r>
          </w:p>
        </w:tc>
        <w:tc>
          <w:tcPr>
            <w:tcW w:w="2222" w:type="dxa"/>
            <w:tcBorders>
              <w:top w:val="single" w:sz="4" w:space="0" w:color="FF3300"/>
              <w:left w:val="single" w:sz="4" w:space="0" w:color="FF3300"/>
              <w:bottom w:val="single" w:sz="4" w:space="0" w:color="FF3300"/>
              <w:right w:val="single" w:sz="4" w:space="0" w:color="FF3300"/>
            </w:tcBorders>
          </w:tcPr>
          <w:p w14:paraId="2CE3404E" w14:textId="77777777" w:rsidR="00936297" w:rsidRPr="00A8214A" w:rsidRDefault="00936297" w:rsidP="004268DF">
            <w:pPr>
              <w:spacing w:before="120" w:after="120" w:line="276" w:lineRule="auto"/>
              <w:rPr>
                <w:rFonts w:ascii="Rockwell" w:eastAsia="Times New Roman" w:hAnsi="Rockwell" w:cs="Arial"/>
                <w:b/>
                <w:sz w:val="28"/>
                <w:szCs w:val="28"/>
              </w:rPr>
            </w:pPr>
          </w:p>
        </w:tc>
      </w:tr>
    </w:tbl>
    <w:p w14:paraId="5AB9E271" w14:textId="5C4AB66A" w:rsidR="00341346" w:rsidRPr="00341346" w:rsidRDefault="00E70668" w:rsidP="00E624EE">
      <w:pPr>
        <w:pStyle w:val="ListParagraph"/>
        <w:numPr>
          <w:ilvl w:val="0"/>
          <w:numId w:val="17"/>
        </w:numPr>
        <w:spacing w:before="120" w:after="120" w:line="276" w:lineRule="auto"/>
        <w:ind w:left="426" w:hanging="426"/>
        <w:rPr>
          <w:rFonts w:ascii="Rockwell" w:hAnsi="Rockwell" w:cs="Arial"/>
          <w:sz w:val="24"/>
          <w:szCs w:val="24"/>
        </w:rPr>
      </w:pPr>
      <w:r w:rsidRPr="00341346">
        <w:rPr>
          <w:rFonts w:ascii="Rockwell" w:hAnsi="Rockwell" w:cs="Arial"/>
          <w:sz w:val="24"/>
          <w:szCs w:val="24"/>
        </w:rPr>
        <w:t>Appeal against an internal assessment decision</w:t>
      </w:r>
      <w:r>
        <w:rPr>
          <w:rFonts w:ascii="Rockwell" w:hAnsi="Rockwell" w:cs="Arial"/>
          <w:sz w:val="24"/>
          <w:szCs w:val="24"/>
        </w:rPr>
        <w:t xml:space="preserve"> and/or request </w:t>
      </w:r>
      <w:r w:rsidR="00A13EAE">
        <w:rPr>
          <w:rFonts w:ascii="Rockwell" w:hAnsi="Rockwell" w:cs="Arial"/>
          <w:sz w:val="24"/>
          <w:szCs w:val="24"/>
        </w:rPr>
        <w:t>for a review of marking</w:t>
      </w:r>
    </w:p>
    <w:p w14:paraId="2830FB18" w14:textId="77777777" w:rsidR="006C4285" w:rsidRPr="00341346" w:rsidRDefault="00341346" w:rsidP="00E624EE">
      <w:pPr>
        <w:pStyle w:val="ListParagraph"/>
        <w:numPr>
          <w:ilvl w:val="0"/>
          <w:numId w:val="17"/>
        </w:numPr>
        <w:spacing w:before="120" w:after="120" w:line="276" w:lineRule="auto"/>
        <w:ind w:left="426" w:hanging="426"/>
        <w:rPr>
          <w:rFonts w:ascii="Rockwell" w:hAnsi="Rockwell" w:cs="Arial"/>
          <w:sz w:val="24"/>
          <w:szCs w:val="24"/>
        </w:rPr>
      </w:pPr>
      <w:r w:rsidRPr="00341346">
        <w:rPr>
          <w:rFonts w:ascii="Rockwell" w:eastAsia="Times New Roman" w:hAnsi="Rockwell" w:cs="Arial"/>
          <w:sz w:val="24"/>
          <w:szCs w:val="24"/>
        </w:rPr>
        <w:t xml:space="preserve">Appeal against </w:t>
      </w:r>
      <w:r w:rsidR="00903444" w:rsidRPr="00341346">
        <w:rPr>
          <w:rFonts w:ascii="Rockwell" w:eastAsia="Times New Roman" w:hAnsi="Rockwell" w:cs="Arial"/>
          <w:sz w:val="24"/>
          <w:szCs w:val="24"/>
        </w:rPr>
        <w:t>the centre</w:t>
      </w:r>
      <w:r w:rsidR="00650B63" w:rsidRPr="00341346">
        <w:rPr>
          <w:rFonts w:ascii="Rockwell" w:eastAsia="Times New Roman" w:hAnsi="Rockwell" w:cs="Arial"/>
          <w:sz w:val="24"/>
          <w:szCs w:val="24"/>
        </w:rPr>
        <w:t>’s</w:t>
      </w:r>
      <w:r w:rsidR="00903444" w:rsidRPr="00341346">
        <w:rPr>
          <w:rFonts w:ascii="Rockwell" w:eastAsia="Times New Roman" w:hAnsi="Rockwell" w:cs="Arial"/>
          <w:sz w:val="24"/>
          <w:szCs w:val="24"/>
        </w:rPr>
        <w:t xml:space="preserve"> decision not to support </w:t>
      </w:r>
      <w:r w:rsidR="00650B63" w:rsidRPr="00341346">
        <w:rPr>
          <w:rFonts w:ascii="Rockwell" w:eastAsia="Times New Roman" w:hAnsi="Rockwell" w:cs="Arial"/>
          <w:sz w:val="24"/>
          <w:szCs w:val="24"/>
        </w:rPr>
        <w:t>a clerical check, a review of marking, a review of moderation or an appeal</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85" w:type="dxa"/>
        </w:tblCellMar>
        <w:tblLook w:val="04A0" w:firstRow="1" w:lastRow="0" w:firstColumn="1" w:lastColumn="0" w:noHBand="0" w:noVBand="1"/>
      </w:tblPr>
      <w:tblGrid>
        <w:gridCol w:w="1659"/>
        <w:gridCol w:w="3150"/>
        <w:gridCol w:w="1794"/>
        <w:gridCol w:w="3792"/>
      </w:tblGrid>
      <w:tr w:rsidR="00903444" w:rsidRPr="00AB60E7" w14:paraId="2C94E267" w14:textId="77777777" w:rsidTr="00AB60E7">
        <w:trPr>
          <w:cantSplit/>
          <w:trHeight w:val="596"/>
          <w:tblHeader/>
        </w:trPr>
        <w:tc>
          <w:tcPr>
            <w:tcW w:w="798" w:type="pct"/>
            <w:shd w:val="clear" w:color="auto" w:fill="003399"/>
            <w:vAlign w:val="center"/>
          </w:tcPr>
          <w:p w14:paraId="7A1D8CB9" w14:textId="77777777" w:rsidR="00903444" w:rsidRPr="00AB60E7" w:rsidRDefault="00903444" w:rsidP="00A4728A">
            <w:pPr>
              <w:spacing w:before="120" w:after="120" w:line="276" w:lineRule="auto"/>
              <w:rPr>
                <w:rFonts w:ascii="Rockwell Condensed" w:eastAsia="Times New Roman" w:hAnsi="Rockwell Condensed" w:cs="Times New Roman"/>
                <w:color w:val="FFFFFF" w:themeColor="background1"/>
              </w:rPr>
            </w:pPr>
            <w:r w:rsidRPr="00AB60E7">
              <w:rPr>
                <w:rFonts w:ascii="Rockwell Condensed" w:eastAsia="Times New Roman" w:hAnsi="Rockwell Condensed" w:cs="Times New Roman"/>
                <w:color w:val="FFFFFF" w:themeColor="background1"/>
              </w:rPr>
              <w:t>Name of appellant</w:t>
            </w:r>
          </w:p>
        </w:tc>
        <w:tc>
          <w:tcPr>
            <w:tcW w:w="1515" w:type="pct"/>
            <w:vAlign w:val="center"/>
          </w:tcPr>
          <w:p w14:paraId="5AACA093" w14:textId="77777777" w:rsidR="00903444" w:rsidRPr="00AB60E7" w:rsidRDefault="00903444" w:rsidP="00A4728A">
            <w:pPr>
              <w:spacing w:before="120" w:after="120" w:line="276" w:lineRule="auto"/>
              <w:rPr>
                <w:rFonts w:ascii="Rockwell" w:eastAsia="Times New Roman" w:hAnsi="Rockwell" w:cs="Times New Roman"/>
                <w:color w:val="FFFFFF" w:themeColor="background1"/>
                <w:sz w:val="20"/>
                <w:szCs w:val="20"/>
              </w:rPr>
            </w:pPr>
          </w:p>
        </w:tc>
        <w:tc>
          <w:tcPr>
            <w:tcW w:w="863" w:type="pct"/>
            <w:shd w:val="clear" w:color="auto" w:fill="003399"/>
            <w:vAlign w:val="center"/>
          </w:tcPr>
          <w:p w14:paraId="2B98FB8C" w14:textId="4E72BF11" w:rsidR="00903444" w:rsidRPr="00AB60E7" w:rsidRDefault="00903444" w:rsidP="00AB60E7">
            <w:pPr>
              <w:spacing w:before="120" w:after="0" w:line="276" w:lineRule="auto"/>
              <w:rPr>
                <w:rFonts w:ascii="Rockwell Condensed" w:eastAsia="Times New Roman" w:hAnsi="Rockwell Condensed" w:cs="Times New Roman"/>
                <w:color w:val="FFFFFF" w:themeColor="background1"/>
              </w:rPr>
            </w:pPr>
            <w:r w:rsidRPr="00AB60E7">
              <w:rPr>
                <w:rFonts w:ascii="Rockwell Condensed" w:eastAsia="Times New Roman" w:hAnsi="Rockwell Condensed" w:cs="Times New Roman"/>
                <w:color w:val="FFFFFF" w:themeColor="background1"/>
              </w:rPr>
              <w:t>Candidate name</w:t>
            </w:r>
          </w:p>
          <w:p w14:paraId="26F70307" w14:textId="77777777" w:rsidR="00903444" w:rsidRPr="00AB60E7" w:rsidRDefault="00903444" w:rsidP="00794ADD">
            <w:pPr>
              <w:spacing w:after="0" w:line="276" w:lineRule="auto"/>
              <w:rPr>
                <w:rFonts w:ascii="Rockwell Condensed" w:eastAsia="Times New Roman" w:hAnsi="Rockwell Condensed" w:cs="Times New Roman"/>
                <w:color w:val="FFFFFF" w:themeColor="background1"/>
                <w:sz w:val="20"/>
                <w:szCs w:val="20"/>
              </w:rPr>
            </w:pPr>
            <w:r w:rsidRPr="00AB60E7">
              <w:rPr>
                <w:rFonts w:ascii="Rockwell Condensed" w:eastAsia="Times New Roman" w:hAnsi="Rockwell Condensed" w:cs="Times New Roman"/>
                <w:color w:val="FFFFFF" w:themeColor="background1"/>
                <w:sz w:val="20"/>
                <w:szCs w:val="20"/>
              </w:rPr>
              <w:t>if different to appellant</w:t>
            </w:r>
          </w:p>
        </w:tc>
        <w:tc>
          <w:tcPr>
            <w:tcW w:w="1825" w:type="pct"/>
            <w:vAlign w:val="center"/>
          </w:tcPr>
          <w:p w14:paraId="6D3BDCDC" w14:textId="77777777" w:rsidR="00903444" w:rsidRPr="00AB60E7" w:rsidRDefault="00903444" w:rsidP="00A4728A">
            <w:pPr>
              <w:spacing w:before="120" w:after="120" w:line="276" w:lineRule="auto"/>
              <w:rPr>
                <w:rFonts w:ascii="Rockwell" w:eastAsia="Times New Roman" w:hAnsi="Rockwell" w:cs="Times New Roman"/>
                <w:color w:val="FFFFFF" w:themeColor="background1"/>
                <w:sz w:val="20"/>
                <w:szCs w:val="20"/>
              </w:rPr>
            </w:pPr>
          </w:p>
        </w:tc>
      </w:tr>
      <w:tr w:rsidR="00903444" w:rsidRPr="00A4728A" w14:paraId="274AA3C9" w14:textId="77777777" w:rsidTr="00AB60E7">
        <w:trPr>
          <w:trHeight w:val="448"/>
          <w:tblHeader/>
        </w:trPr>
        <w:tc>
          <w:tcPr>
            <w:tcW w:w="798" w:type="pct"/>
            <w:shd w:val="clear" w:color="auto" w:fill="FDE9D9" w:themeFill="accent6" w:themeFillTint="33"/>
            <w:vAlign w:val="center"/>
          </w:tcPr>
          <w:p w14:paraId="66BE5445" w14:textId="77777777" w:rsidR="00903444" w:rsidRPr="00A8214A" w:rsidRDefault="00794ADD" w:rsidP="00A4728A">
            <w:pPr>
              <w:spacing w:before="120" w:after="120" w:line="276" w:lineRule="auto"/>
              <w:rPr>
                <w:rFonts w:ascii="Rockwell Condensed" w:eastAsia="Times New Roman" w:hAnsi="Rockwell Condensed" w:cs="Times New Roman"/>
              </w:rPr>
            </w:pPr>
            <w:r w:rsidRPr="00A8214A">
              <w:rPr>
                <w:rFonts w:ascii="Rockwell Condensed" w:eastAsia="Times New Roman" w:hAnsi="Rockwell Condensed" w:cs="Times New Roman"/>
              </w:rPr>
              <w:t>Awarding body</w:t>
            </w:r>
          </w:p>
        </w:tc>
        <w:tc>
          <w:tcPr>
            <w:tcW w:w="1515" w:type="pct"/>
            <w:vAlign w:val="center"/>
          </w:tcPr>
          <w:p w14:paraId="2EB3C684" w14:textId="77777777" w:rsidR="00903444" w:rsidRPr="00A4728A" w:rsidRDefault="00903444" w:rsidP="00A4728A">
            <w:pPr>
              <w:spacing w:before="120" w:after="120" w:line="276" w:lineRule="auto"/>
              <w:rPr>
                <w:rFonts w:ascii="Rockwell" w:eastAsia="Times New Roman" w:hAnsi="Rockwell" w:cs="Times New Roman"/>
                <w:b/>
                <w:i/>
                <w:color w:val="BFBFBF" w:themeColor="background1" w:themeShade="BF"/>
                <w:sz w:val="20"/>
                <w:szCs w:val="20"/>
              </w:rPr>
            </w:pPr>
          </w:p>
        </w:tc>
        <w:tc>
          <w:tcPr>
            <w:tcW w:w="863" w:type="pct"/>
            <w:shd w:val="clear" w:color="auto" w:fill="FDE9D9" w:themeFill="accent6" w:themeFillTint="33"/>
            <w:vAlign w:val="center"/>
          </w:tcPr>
          <w:p w14:paraId="41D37B90" w14:textId="77777777" w:rsidR="00903444" w:rsidRPr="00A8214A" w:rsidRDefault="00F85BC7" w:rsidP="00A4728A">
            <w:pPr>
              <w:spacing w:before="120" w:after="120" w:line="276" w:lineRule="auto"/>
              <w:rPr>
                <w:rFonts w:ascii="Rockwell Condensed" w:eastAsia="Times New Roman" w:hAnsi="Rockwell Condensed" w:cs="Times New Roman"/>
              </w:rPr>
            </w:pPr>
            <w:r w:rsidRPr="00A8214A">
              <w:rPr>
                <w:rFonts w:ascii="Rockwell Condensed" w:eastAsia="Times New Roman" w:hAnsi="Rockwell Condensed" w:cs="Times New Roman"/>
              </w:rPr>
              <w:t>Exam</w:t>
            </w:r>
            <w:r w:rsidR="00903444" w:rsidRPr="00A8214A">
              <w:rPr>
                <w:rFonts w:ascii="Rockwell Condensed" w:eastAsia="Times New Roman" w:hAnsi="Rockwell Condensed" w:cs="Times New Roman"/>
              </w:rPr>
              <w:t xml:space="preserve"> paper code</w:t>
            </w:r>
          </w:p>
        </w:tc>
        <w:tc>
          <w:tcPr>
            <w:tcW w:w="1825" w:type="pct"/>
            <w:vAlign w:val="center"/>
          </w:tcPr>
          <w:p w14:paraId="69381355" w14:textId="77777777" w:rsidR="00903444" w:rsidRPr="00A4728A" w:rsidRDefault="00903444" w:rsidP="00A4728A">
            <w:pPr>
              <w:spacing w:before="120" w:after="120" w:line="276" w:lineRule="auto"/>
              <w:rPr>
                <w:rFonts w:ascii="Rockwell" w:eastAsia="Times New Roman" w:hAnsi="Rockwell" w:cs="Times New Roman"/>
                <w:i/>
                <w:color w:val="BFBFBF" w:themeColor="background1" w:themeShade="BF"/>
                <w:sz w:val="20"/>
                <w:szCs w:val="20"/>
              </w:rPr>
            </w:pPr>
          </w:p>
        </w:tc>
      </w:tr>
      <w:tr w:rsidR="00903444" w:rsidRPr="00A4728A" w14:paraId="35E8A6B6" w14:textId="77777777" w:rsidTr="00AB60E7">
        <w:trPr>
          <w:trHeight w:val="340"/>
          <w:tblHeader/>
        </w:trPr>
        <w:tc>
          <w:tcPr>
            <w:tcW w:w="798" w:type="pct"/>
            <w:shd w:val="clear" w:color="auto" w:fill="FDE9D9" w:themeFill="accent6" w:themeFillTint="33"/>
            <w:vAlign w:val="center"/>
          </w:tcPr>
          <w:p w14:paraId="757A0BD1" w14:textId="77777777" w:rsidR="00903444" w:rsidRPr="00A8214A" w:rsidRDefault="00903444" w:rsidP="00A4728A">
            <w:pPr>
              <w:spacing w:before="120" w:after="120" w:line="276" w:lineRule="auto"/>
              <w:rPr>
                <w:rFonts w:ascii="Rockwell Condensed" w:eastAsia="Times New Roman" w:hAnsi="Rockwell Condensed" w:cs="Times New Roman"/>
              </w:rPr>
            </w:pPr>
            <w:r w:rsidRPr="00A8214A">
              <w:rPr>
                <w:rFonts w:ascii="Rockwell Condensed" w:eastAsia="Times New Roman" w:hAnsi="Rockwell Condensed" w:cs="Times New Roman"/>
              </w:rPr>
              <w:t>Subject</w:t>
            </w:r>
          </w:p>
        </w:tc>
        <w:tc>
          <w:tcPr>
            <w:tcW w:w="1515" w:type="pct"/>
            <w:vAlign w:val="center"/>
          </w:tcPr>
          <w:p w14:paraId="66243ACC" w14:textId="77777777" w:rsidR="00903444" w:rsidRPr="00A4728A" w:rsidRDefault="00903444" w:rsidP="00A4728A">
            <w:pPr>
              <w:spacing w:before="120" w:after="120" w:line="276" w:lineRule="auto"/>
              <w:rPr>
                <w:rFonts w:ascii="Rockwell" w:eastAsia="Times New Roman" w:hAnsi="Rockwell" w:cs="Times New Roman"/>
                <w:i/>
                <w:color w:val="BFBFBF" w:themeColor="background1" w:themeShade="BF"/>
                <w:sz w:val="20"/>
                <w:szCs w:val="20"/>
              </w:rPr>
            </w:pPr>
          </w:p>
        </w:tc>
        <w:tc>
          <w:tcPr>
            <w:tcW w:w="863" w:type="pct"/>
            <w:shd w:val="clear" w:color="auto" w:fill="FDE9D9" w:themeFill="accent6" w:themeFillTint="33"/>
            <w:vAlign w:val="center"/>
          </w:tcPr>
          <w:p w14:paraId="16F09747" w14:textId="77777777" w:rsidR="00903444" w:rsidRPr="00A8214A" w:rsidRDefault="00F85BC7" w:rsidP="00A4728A">
            <w:pPr>
              <w:spacing w:before="120" w:after="120" w:line="276" w:lineRule="auto"/>
              <w:rPr>
                <w:rFonts w:ascii="Rockwell Condensed" w:eastAsia="Times New Roman" w:hAnsi="Rockwell Condensed" w:cs="Times New Roman"/>
              </w:rPr>
            </w:pPr>
            <w:r w:rsidRPr="00A8214A">
              <w:rPr>
                <w:rFonts w:ascii="Rockwell Condensed" w:eastAsia="Times New Roman" w:hAnsi="Rockwell Condensed" w:cs="Times New Roman"/>
              </w:rPr>
              <w:t>Exam paper title</w:t>
            </w:r>
          </w:p>
        </w:tc>
        <w:tc>
          <w:tcPr>
            <w:tcW w:w="1825" w:type="pct"/>
            <w:vAlign w:val="center"/>
          </w:tcPr>
          <w:p w14:paraId="26E8393D" w14:textId="77777777" w:rsidR="00903444" w:rsidRPr="00A4728A" w:rsidRDefault="00903444" w:rsidP="00A4728A">
            <w:pPr>
              <w:spacing w:before="120" w:after="120" w:line="276" w:lineRule="auto"/>
              <w:rPr>
                <w:rFonts w:ascii="Rockwell" w:eastAsia="Times New Roman" w:hAnsi="Rockwell" w:cs="Times New Roman"/>
                <w:sz w:val="20"/>
                <w:szCs w:val="20"/>
              </w:rPr>
            </w:pPr>
          </w:p>
        </w:tc>
      </w:tr>
      <w:tr w:rsidR="00903444" w:rsidRPr="00A4728A" w14:paraId="09650109" w14:textId="77777777" w:rsidTr="004268DF">
        <w:trPr>
          <w:trHeight w:val="110"/>
          <w:tblHeader/>
        </w:trPr>
        <w:tc>
          <w:tcPr>
            <w:tcW w:w="5000" w:type="pct"/>
            <w:gridSpan w:val="4"/>
          </w:tcPr>
          <w:p w14:paraId="39506DE2" w14:textId="052D453D" w:rsidR="00903444" w:rsidRPr="00F04D19" w:rsidRDefault="00903444" w:rsidP="00A4728A">
            <w:pPr>
              <w:spacing w:before="120" w:after="120" w:line="276" w:lineRule="auto"/>
              <w:jc w:val="both"/>
              <w:rPr>
                <w:rFonts w:ascii="Rockwell" w:eastAsia="Times New Roman" w:hAnsi="Rockwell" w:cs="Times New Roman"/>
                <w:b/>
                <w:sz w:val="20"/>
                <w:szCs w:val="20"/>
              </w:rPr>
            </w:pPr>
            <w:r w:rsidRPr="00F04D19">
              <w:rPr>
                <w:rFonts w:ascii="Rockwell" w:eastAsia="Times New Roman" w:hAnsi="Rockwell" w:cs="Times New Roman"/>
                <w:b/>
                <w:sz w:val="20"/>
                <w:szCs w:val="20"/>
              </w:rPr>
              <w:t xml:space="preserve">Please state the grounds for your appeal </w:t>
            </w:r>
            <w:r w:rsidR="00380EF0">
              <w:rPr>
                <w:rFonts w:ascii="Rockwell" w:eastAsia="Times New Roman" w:hAnsi="Rockwell" w:cs="Times New Roman"/>
                <w:b/>
                <w:sz w:val="20"/>
                <w:szCs w:val="20"/>
              </w:rPr>
              <w:t>below</w:t>
            </w:r>
          </w:p>
          <w:p w14:paraId="5D9441CE" w14:textId="77777777" w:rsidR="00903444" w:rsidRPr="009A1353" w:rsidRDefault="00903444" w:rsidP="00A4728A">
            <w:pPr>
              <w:spacing w:before="120" w:after="120" w:line="276" w:lineRule="auto"/>
              <w:jc w:val="both"/>
              <w:rPr>
                <w:rFonts w:ascii="Rockwell Condensed" w:eastAsia="Times New Roman" w:hAnsi="Rockwell Condensed" w:cs="Times New Roman"/>
                <w:sz w:val="20"/>
                <w:szCs w:val="20"/>
              </w:rPr>
            </w:pPr>
          </w:p>
          <w:p w14:paraId="1BAD5959" w14:textId="77777777" w:rsidR="00903444" w:rsidRPr="009A1353" w:rsidRDefault="00903444" w:rsidP="00A4728A">
            <w:pPr>
              <w:spacing w:before="120" w:after="120" w:line="276" w:lineRule="auto"/>
              <w:jc w:val="both"/>
              <w:rPr>
                <w:rFonts w:ascii="Rockwell Condensed" w:eastAsia="Times New Roman" w:hAnsi="Rockwell Condensed" w:cs="Times New Roman"/>
                <w:sz w:val="20"/>
                <w:szCs w:val="20"/>
              </w:rPr>
            </w:pPr>
          </w:p>
          <w:p w14:paraId="6449792E" w14:textId="77777777" w:rsidR="00903444" w:rsidRDefault="00903444" w:rsidP="00A4728A">
            <w:pPr>
              <w:spacing w:before="120" w:after="120" w:line="276" w:lineRule="auto"/>
              <w:jc w:val="both"/>
              <w:rPr>
                <w:rFonts w:ascii="Rockwell Condensed" w:eastAsia="Times New Roman" w:hAnsi="Rockwell Condensed" w:cs="Times New Roman"/>
                <w:sz w:val="20"/>
                <w:szCs w:val="20"/>
              </w:rPr>
            </w:pPr>
          </w:p>
          <w:p w14:paraId="71BACF58" w14:textId="70FE552E" w:rsidR="006C4285" w:rsidRDefault="006C4285" w:rsidP="00A4728A">
            <w:pPr>
              <w:spacing w:before="120" w:after="120" w:line="276" w:lineRule="auto"/>
              <w:jc w:val="both"/>
              <w:rPr>
                <w:rFonts w:ascii="Rockwell Condensed" w:eastAsia="Times New Roman" w:hAnsi="Rockwell Condensed" w:cs="Times New Roman"/>
                <w:sz w:val="20"/>
                <w:szCs w:val="20"/>
              </w:rPr>
            </w:pPr>
          </w:p>
          <w:p w14:paraId="6816AEFC" w14:textId="5F39E4A2" w:rsidR="00E624EE" w:rsidRDefault="00E624EE" w:rsidP="00A4728A">
            <w:pPr>
              <w:spacing w:before="120" w:after="120" w:line="276" w:lineRule="auto"/>
              <w:jc w:val="both"/>
              <w:rPr>
                <w:rFonts w:ascii="Rockwell Condensed" w:eastAsia="Times New Roman" w:hAnsi="Rockwell Condensed" w:cs="Times New Roman"/>
                <w:sz w:val="20"/>
                <w:szCs w:val="20"/>
              </w:rPr>
            </w:pPr>
          </w:p>
          <w:p w14:paraId="4B050FD0" w14:textId="1B0B7B4F" w:rsidR="00E624EE" w:rsidRDefault="00E624EE" w:rsidP="00A4728A">
            <w:pPr>
              <w:spacing w:before="120" w:after="120" w:line="276" w:lineRule="auto"/>
              <w:jc w:val="both"/>
              <w:rPr>
                <w:rFonts w:ascii="Rockwell Condensed" w:eastAsia="Times New Roman" w:hAnsi="Rockwell Condensed" w:cs="Times New Roman"/>
                <w:sz w:val="20"/>
                <w:szCs w:val="20"/>
              </w:rPr>
            </w:pPr>
          </w:p>
          <w:p w14:paraId="228647F0" w14:textId="65E64C1A" w:rsidR="00E624EE" w:rsidRDefault="00E624EE" w:rsidP="00A4728A">
            <w:pPr>
              <w:spacing w:before="120" w:after="120" w:line="276" w:lineRule="auto"/>
              <w:jc w:val="both"/>
              <w:rPr>
                <w:rFonts w:ascii="Rockwell Condensed" w:eastAsia="Times New Roman" w:hAnsi="Rockwell Condensed" w:cs="Times New Roman"/>
                <w:sz w:val="20"/>
                <w:szCs w:val="20"/>
              </w:rPr>
            </w:pPr>
          </w:p>
          <w:p w14:paraId="4F0275F5" w14:textId="2F37AD6F" w:rsidR="00E624EE" w:rsidRDefault="00E624EE" w:rsidP="00A4728A">
            <w:pPr>
              <w:spacing w:before="120" w:after="120" w:line="276" w:lineRule="auto"/>
              <w:jc w:val="both"/>
              <w:rPr>
                <w:rFonts w:ascii="Rockwell Condensed" w:eastAsia="Times New Roman" w:hAnsi="Rockwell Condensed" w:cs="Times New Roman"/>
                <w:sz w:val="20"/>
                <w:szCs w:val="20"/>
              </w:rPr>
            </w:pPr>
          </w:p>
          <w:p w14:paraId="06054E20" w14:textId="0F7F7D76" w:rsidR="00E624EE" w:rsidRDefault="00E624EE" w:rsidP="00A4728A">
            <w:pPr>
              <w:spacing w:before="120" w:after="120" w:line="276" w:lineRule="auto"/>
              <w:jc w:val="both"/>
              <w:rPr>
                <w:rFonts w:ascii="Rockwell Condensed" w:eastAsia="Times New Roman" w:hAnsi="Rockwell Condensed" w:cs="Times New Roman"/>
                <w:sz w:val="20"/>
                <w:szCs w:val="20"/>
              </w:rPr>
            </w:pPr>
          </w:p>
          <w:p w14:paraId="28FCD589" w14:textId="15679A33" w:rsidR="00E624EE" w:rsidRDefault="00E624EE" w:rsidP="00A4728A">
            <w:pPr>
              <w:spacing w:before="120" w:after="120" w:line="276" w:lineRule="auto"/>
              <w:jc w:val="both"/>
              <w:rPr>
                <w:rFonts w:ascii="Rockwell Condensed" w:eastAsia="Times New Roman" w:hAnsi="Rockwell Condensed" w:cs="Times New Roman"/>
                <w:sz w:val="20"/>
                <w:szCs w:val="20"/>
              </w:rPr>
            </w:pPr>
          </w:p>
          <w:p w14:paraId="42935398" w14:textId="58DA774F" w:rsidR="00E624EE" w:rsidRDefault="00E624EE" w:rsidP="00A4728A">
            <w:pPr>
              <w:spacing w:before="120" w:after="120" w:line="276" w:lineRule="auto"/>
              <w:jc w:val="both"/>
              <w:rPr>
                <w:rFonts w:ascii="Rockwell Condensed" w:eastAsia="Times New Roman" w:hAnsi="Rockwell Condensed" w:cs="Times New Roman"/>
                <w:sz w:val="20"/>
                <w:szCs w:val="20"/>
              </w:rPr>
            </w:pPr>
          </w:p>
          <w:p w14:paraId="5B48C47E" w14:textId="313B5CD1" w:rsidR="00E624EE" w:rsidRPr="009A1353" w:rsidRDefault="00E624EE" w:rsidP="00A4728A">
            <w:pPr>
              <w:spacing w:before="120" w:after="120" w:line="276" w:lineRule="auto"/>
              <w:jc w:val="both"/>
              <w:rPr>
                <w:rFonts w:ascii="Rockwell Condensed" w:eastAsia="Times New Roman" w:hAnsi="Rockwell Condensed" w:cs="Times New Roman"/>
                <w:sz w:val="20"/>
                <w:szCs w:val="20"/>
              </w:rPr>
            </w:pPr>
          </w:p>
          <w:p w14:paraId="26B169EB" w14:textId="77777777" w:rsidR="00903444" w:rsidRPr="009A1353" w:rsidRDefault="00903444" w:rsidP="00A4728A">
            <w:pPr>
              <w:spacing w:before="120" w:after="120" w:line="276" w:lineRule="auto"/>
              <w:jc w:val="both"/>
              <w:rPr>
                <w:rFonts w:ascii="Rockwell Condensed" w:eastAsia="Times New Roman" w:hAnsi="Rockwell Condensed" w:cs="Times New Roman"/>
                <w:sz w:val="20"/>
                <w:szCs w:val="20"/>
              </w:rPr>
            </w:pPr>
          </w:p>
          <w:p w14:paraId="7F391517" w14:textId="77777777" w:rsidR="00903444" w:rsidRPr="009A1353" w:rsidRDefault="00903444" w:rsidP="00A4728A">
            <w:pPr>
              <w:spacing w:before="120" w:after="120" w:line="276" w:lineRule="auto"/>
              <w:jc w:val="both"/>
              <w:rPr>
                <w:rFonts w:ascii="Rockwell Condensed" w:eastAsia="Times New Roman" w:hAnsi="Rockwell Condensed" w:cs="Times New Roman"/>
                <w:sz w:val="20"/>
                <w:szCs w:val="20"/>
              </w:rPr>
            </w:pPr>
          </w:p>
          <w:p w14:paraId="4BEB0073" w14:textId="56FBE2A1" w:rsidR="00903444" w:rsidRPr="00A13EAE" w:rsidRDefault="00903444" w:rsidP="00A13EAE">
            <w:pPr>
              <w:spacing w:before="120" w:after="120" w:line="276" w:lineRule="auto"/>
              <w:jc w:val="both"/>
              <w:rPr>
                <w:rFonts w:ascii="Rockwell Condensed" w:eastAsia="Times New Roman" w:hAnsi="Rockwell Condensed" w:cs="Times New Roman"/>
                <w:sz w:val="20"/>
                <w:szCs w:val="20"/>
              </w:rPr>
            </w:pPr>
          </w:p>
          <w:p w14:paraId="0C701D18" w14:textId="22CFCCA8" w:rsidR="00A13EAE" w:rsidRDefault="00380EF0" w:rsidP="00E624EE">
            <w:pPr>
              <w:spacing w:before="120" w:after="0" w:line="276" w:lineRule="auto"/>
              <w:rPr>
                <w:rFonts w:ascii="Rockwell" w:hAnsi="Rockwell" w:cs="Arial"/>
                <w:i/>
                <w:sz w:val="18"/>
                <w:szCs w:val="18"/>
              </w:rPr>
            </w:pPr>
            <w:r w:rsidRPr="00A13EAE">
              <w:rPr>
                <w:rFonts w:ascii="Rockwell" w:hAnsi="Rockwell" w:cs="Arial"/>
                <w:i/>
                <w:sz w:val="18"/>
                <w:szCs w:val="18"/>
              </w:rPr>
              <w:t xml:space="preserve"> </w:t>
            </w:r>
            <w:r w:rsidR="00A13EAE" w:rsidRPr="00A13EAE">
              <w:rPr>
                <w:rFonts w:ascii="Rockwell" w:hAnsi="Rockwell" w:cs="Arial"/>
                <w:i/>
                <w:sz w:val="18"/>
                <w:szCs w:val="18"/>
              </w:rPr>
              <w:t xml:space="preserve">(If applicable, tick </w:t>
            </w:r>
            <w:r w:rsidR="00A13EAE">
              <w:rPr>
                <w:rFonts w:ascii="Rockwell" w:hAnsi="Rockwell" w:cs="Arial"/>
                <w:i/>
                <w:sz w:val="18"/>
                <w:szCs w:val="18"/>
              </w:rPr>
              <w:t>below)</w:t>
            </w:r>
          </w:p>
          <w:p w14:paraId="652B9875" w14:textId="77777777" w:rsidR="00A13EAE" w:rsidRPr="00380EF0" w:rsidRDefault="00A13EAE" w:rsidP="00E624EE">
            <w:pPr>
              <w:pStyle w:val="ListParagraph"/>
              <w:numPr>
                <w:ilvl w:val="0"/>
                <w:numId w:val="17"/>
              </w:numPr>
              <w:spacing w:before="120" w:after="120" w:line="276" w:lineRule="auto"/>
              <w:ind w:left="426" w:hanging="426"/>
              <w:rPr>
                <w:rFonts w:ascii="Rockwell" w:hAnsi="Rockwell" w:cs="Arial"/>
                <w:sz w:val="24"/>
                <w:szCs w:val="24"/>
              </w:rPr>
            </w:pPr>
            <w:r w:rsidRPr="00E624EE">
              <w:rPr>
                <w:rFonts w:ascii="Rockwell" w:hAnsi="Rockwell" w:cs="Arial"/>
                <w:sz w:val="18"/>
                <w:szCs w:val="18"/>
              </w:rPr>
              <w:t xml:space="preserve">Where my appeal is against an internal assessment decision I wish to request a review of the centre’s marking </w:t>
            </w:r>
          </w:p>
          <w:p w14:paraId="117D279A" w14:textId="3402525E" w:rsidR="00380EF0" w:rsidRPr="00380EF0" w:rsidRDefault="00380EF0" w:rsidP="00380EF0">
            <w:pPr>
              <w:spacing w:before="120" w:after="60" w:line="276" w:lineRule="auto"/>
              <w:jc w:val="right"/>
              <w:rPr>
                <w:rFonts w:ascii="Rockwell" w:eastAsia="Times New Roman" w:hAnsi="Rockwell" w:cs="Times New Roman"/>
                <w:i/>
                <w:sz w:val="16"/>
                <w:szCs w:val="16"/>
              </w:rPr>
            </w:pPr>
            <w:r w:rsidRPr="00A13EAE">
              <w:rPr>
                <w:rFonts w:ascii="Rockwell" w:eastAsia="Times New Roman" w:hAnsi="Rockwell" w:cs="Times New Roman"/>
                <w:i/>
                <w:sz w:val="16"/>
                <w:szCs w:val="16"/>
              </w:rPr>
              <w:t xml:space="preserve">If </w:t>
            </w:r>
            <w:r w:rsidR="004268DF" w:rsidRPr="00A13EAE">
              <w:rPr>
                <w:rFonts w:ascii="Rockwell" w:eastAsia="Times New Roman" w:hAnsi="Rockwell" w:cs="Times New Roman"/>
                <w:i/>
                <w:sz w:val="16"/>
                <w:szCs w:val="16"/>
              </w:rPr>
              <w:t>necessary,</w:t>
            </w:r>
            <w:r w:rsidRPr="00A13EAE">
              <w:rPr>
                <w:rFonts w:ascii="Rockwell" w:eastAsia="Times New Roman" w:hAnsi="Rockwell" w:cs="Times New Roman"/>
                <w:i/>
                <w:sz w:val="16"/>
                <w:szCs w:val="16"/>
              </w:rPr>
              <w:t xml:space="preserve"> continue</w:t>
            </w:r>
            <w:r>
              <w:rPr>
                <w:rFonts w:ascii="Rockwell" w:eastAsia="Times New Roman" w:hAnsi="Rockwell" w:cs="Times New Roman"/>
                <w:i/>
                <w:sz w:val="16"/>
                <w:szCs w:val="16"/>
              </w:rPr>
              <w:t xml:space="preserve"> on </w:t>
            </w:r>
            <w:r w:rsidRPr="00A13EAE">
              <w:rPr>
                <w:rFonts w:ascii="Rockwell" w:eastAsia="Times New Roman" w:hAnsi="Rockwell" w:cs="Times New Roman"/>
                <w:i/>
                <w:sz w:val="16"/>
                <w:szCs w:val="16"/>
              </w:rPr>
              <w:t>an additional page if this form is being completed electronically or overleaf if hard copy being completed</w:t>
            </w:r>
          </w:p>
        </w:tc>
      </w:tr>
      <w:tr w:rsidR="00903444" w:rsidRPr="00A4728A" w14:paraId="44AF6F40" w14:textId="77777777" w:rsidTr="004268DF">
        <w:trPr>
          <w:tblHeader/>
        </w:trPr>
        <w:tc>
          <w:tcPr>
            <w:tcW w:w="5000" w:type="pct"/>
            <w:gridSpan w:val="4"/>
          </w:tcPr>
          <w:p w14:paraId="3747485A" w14:textId="6676476F" w:rsidR="00903444" w:rsidRPr="00A13EAE" w:rsidRDefault="00341346" w:rsidP="00A4728A">
            <w:pPr>
              <w:pStyle w:val="Headinglevel1"/>
              <w:spacing w:before="120" w:after="120" w:line="276" w:lineRule="auto"/>
              <w:rPr>
                <w:rFonts w:ascii="Rockwell Condensed" w:hAnsi="Rockwell Condensed"/>
                <w:b w:val="0"/>
                <w:color w:val="auto"/>
                <w:sz w:val="22"/>
                <w:szCs w:val="22"/>
              </w:rPr>
            </w:pPr>
            <w:r w:rsidRPr="00A13EAE">
              <w:rPr>
                <w:rFonts w:ascii="Rockwell Condensed" w:hAnsi="Rockwell Condensed"/>
                <w:b w:val="0"/>
                <w:color w:val="auto"/>
                <w:sz w:val="22"/>
                <w:szCs w:val="22"/>
              </w:rPr>
              <w:t>Appellant s</w:t>
            </w:r>
            <w:r w:rsidR="00903444" w:rsidRPr="00A13EAE">
              <w:rPr>
                <w:rFonts w:ascii="Rockwell Condensed" w:hAnsi="Rockwell Condensed"/>
                <w:b w:val="0"/>
                <w:color w:val="auto"/>
                <w:sz w:val="22"/>
                <w:szCs w:val="22"/>
              </w:rPr>
              <w:t xml:space="preserve">ignature:                                                        </w:t>
            </w:r>
            <w:r w:rsidR="00A13EAE">
              <w:rPr>
                <w:rFonts w:ascii="Rockwell Condensed" w:hAnsi="Rockwell Condensed"/>
                <w:b w:val="0"/>
                <w:color w:val="auto"/>
                <w:sz w:val="22"/>
                <w:szCs w:val="22"/>
              </w:rPr>
              <w:t xml:space="preserve">         </w:t>
            </w:r>
            <w:r w:rsidR="00903444" w:rsidRPr="00A13EAE">
              <w:rPr>
                <w:rFonts w:ascii="Rockwell Condensed" w:hAnsi="Rockwell Condensed"/>
                <w:b w:val="0"/>
                <w:color w:val="auto"/>
                <w:sz w:val="22"/>
                <w:szCs w:val="22"/>
              </w:rPr>
              <w:t xml:space="preserve"> Date of signature:</w:t>
            </w:r>
          </w:p>
        </w:tc>
      </w:tr>
    </w:tbl>
    <w:p w14:paraId="194BD0D4" w14:textId="21C73B61" w:rsidR="00903444" w:rsidRPr="00341346" w:rsidRDefault="00341346" w:rsidP="00E624EE">
      <w:pPr>
        <w:spacing w:before="120" w:after="120" w:line="276" w:lineRule="auto"/>
        <w:jc w:val="center"/>
        <w:rPr>
          <w:rFonts w:ascii="Rockwell" w:hAnsi="Rockwell"/>
          <w:b/>
          <w:sz w:val="20"/>
          <w:szCs w:val="20"/>
        </w:rPr>
      </w:pPr>
      <w:r w:rsidRPr="00341346">
        <w:rPr>
          <w:rFonts w:ascii="Rockwell" w:hAnsi="Rockwell"/>
          <w:b/>
          <w:sz w:val="20"/>
          <w:szCs w:val="20"/>
        </w:rPr>
        <w:t>This form must be signed, date</w:t>
      </w:r>
      <w:r w:rsidR="00DE706D">
        <w:rPr>
          <w:rFonts w:ascii="Rockwell" w:hAnsi="Rockwell"/>
          <w:b/>
          <w:sz w:val="20"/>
          <w:szCs w:val="20"/>
        </w:rPr>
        <w:t>d</w:t>
      </w:r>
      <w:r w:rsidRPr="00341346">
        <w:rPr>
          <w:rFonts w:ascii="Rockwell" w:hAnsi="Rockwell"/>
          <w:b/>
          <w:sz w:val="20"/>
          <w:szCs w:val="20"/>
        </w:rPr>
        <w:t xml:space="preserve"> and returned to the exams officer on behalf of the head of centre to the timescale indicated in the relevant </w:t>
      </w:r>
      <w:r>
        <w:rPr>
          <w:rFonts w:ascii="Rockwell" w:hAnsi="Rockwell"/>
          <w:b/>
          <w:sz w:val="20"/>
          <w:szCs w:val="20"/>
        </w:rPr>
        <w:t xml:space="preserve">appeals </w:t>
      </w:r>
      <w:r w:rsidR="00DE706D">
        <w:rPr>
          <w:rFonts w:ascii="Rockwell" w:hAnsi="Rockwell"/>
          <w:b/>
          <w:sz w:val="20"/>
          <w:szCs w:val="20"/>
        </w:rPr>
        <w:t>procedure</w:t>
      </w:r>
    </w:p>
    <w:p w14:paraId="0C97220C" w14:textId="77777777" w:rsidR="00972530" w:rsidRDefault="00972530">
      <w:pPr>
        <w:spacing w:after="200" w:line="276" w:lineRule="auto"/>
        <w:rPr>
          <w:rFonts w:ascii="Rockwell" w:eastAsia="Times New Roman" w:hAnsi="Rockwell" w:cs="Arial"/>
          <w:b/>
          <w:color w:val="003399"/>
          <w:sz w:val="24"/>
          <w:szCs w:val="24"/>
        </w:rPr>
      </w:pPr>
      <w:r>
        <w:rPr>
          <w:rFonts w:ascii="Rockwell" w:eastAsia="Times New Roman" w:hAnsi="Rockwell" w:cs="Arial"/>
          <w:b/>
          <w:color w:val="003399"/>
          <w:sz w:val="24"/>
          <w:szCs w:val="24"/>
        </w:rPr>
        <w:br w:type="page"/>
      </w:r>
    </w:p>
    <w:p w14:paraId="1D01CF59" w14:textId="77777777" w:rsidR="006C4285" w:rsidRPr="0038011C" w:rsidRDefault="006C4285" w:rsidP="006C4285">
      <w:pPr>
        <w:spacing w:before="120" w:after="120" w:line="276" w:lineRule="auto"/>
        <w:rPr>
          <w:rFonts w:ascii="Rockwell" w:eastAsia="Times New Roman" w:hAnsi="Rockwell" w:cs="Arial"/>
          <w:b/>
          <w:color w:val="003399"/>
          <w:sz w:val="28"/>
          <w:szCs w:val="28"/>
        </w:rPr>
      </w:pPr>
      <w:bookmarkStart w:id="5" w:name="_Hlk495914523"/>
      <w:r w:rsidRPr="00143D70">
        <w:rPr>
          <w:rFonts w:ascii="Rockwell" w:eastAsia="Times New Roman" w:hAnsi="Rockwell" w:cs="Arial"/>
          <w:b/>
          <w:color w:val="003399"/>
          <w:sz w:val="28"/>
          <w:szCs w:val="28"/>
        </w:rPr>
        <w:lastRenderedPageBreak/>
        <w:t>Complaints</w:t>
      </w:r>
      <w:r w:rsidR="0038011C" w:rsidRPr="00143D70">
        <w:rPr>
          <w:rFonts w:ascii="Rockwell" w:eastAsia="Times New Roman" w:hAnsi="Rockwell" w:cs="Arial"/>
          <w:b/>
          <w:color w:val="003399"/>
          <w:sz w:val="28"/>
          <w:szCs w:val="28"/>
        </w:rPr>
        <w:t xml:space="preserve"> and appeals</w:t>
      </w:r>
      <w:r w:rsidRPr="00143D70">
        <w:rPr>
          <w:rFonts w:ascii="Rockwell" w:eastAsia="Times New Roman" w:hAnsi="Rockwell" w:cs="Arial"/>
          <w:b/>
          <w:color w:val="003399"/>
          <w:sz w:val="28"/>
          <w:szCs w:val="28"/>
        </w:rPr>
        <w:t xml:space="preserve"> log</w:t>
      </w:r>
    </w:p>
    <w:p w14:paraId="5B73375E" w14:textId="5BBFB1E4" w:rsidR="00AB4F5F" w:rsidRPr="00D24906" w:rsidRDefault="004268DF" w:rsidP="00AB4F5F">
      <w:pPr>
        <w:spacing w:line="276" w:lineRule="auto"/>
        <w:rPr>
          <w:rFonts w:ascii="Rockwell" w:eastAsia="Times New Roman" w:hAnsi="Rockwell" w:cs="Arial"/>
        </w:rPr>
      </w:pPr>
      <w:r w:rsidRPr="00D24906">
        <w:rPr>
          <w:rFonts w:ascii="Rockwell" w:eastAsia="Times New Roman" w:hAnsi="Rockwell" w:cs="Arial"/>
        </w:rPr>
        <w:t xml:space="preserve">[Insert your centre’s process on the use of this log, for example - On receipt, all complaints/appeals are assigned a reference number and logged. </w:t>
      </w:r>
      <w:bookmarkStart w:id="6" w:name="_Hlk497161196"/>
      <w:r w:rsidRPr="00D24906">
        <w:rPr>
          <w:rFonts w:ascii="Rockwell" w:eastAsia="Times New Roman" w:hAnsi="Rockwell" w:cs="Arial"/>
        </w:rPr>
        <w:t>Outcome and outcome date is also recorded.</w:t>
      </w:r>
    </w:p>
    <w:p w14:paraId="5C9C0B0A" w14:textId="417DA154" w:rsidR="00296128" w:rsidRPr="00D24906" w:rsidRDefault="00AB4F5F" w:rsidP="00AB4F5F">
      <w:pPr>
        <w:spacing w:line="276" w:lineRule="auto"/>
        <w:rPr>
          <w:rFonts w:ascii="Rockwell" w:hAnsi="Rockwell" w:cs="Arial"/>
          <w:sz w:val="20"/>
          <w:szCs w:val="20"/>
        </w:rPr>
      </w:pPr>
      <w:r w:rsidRPr="00D24906">
        <w:rPr>
          <w:rFonts w:ascii="Rockwell" w:hAnsi="Rockwell" w:cs="Arial"/>
          <w:sz w:val="20"/>
          <w:szCs w:val="20"/>
        </w:rPr>
        <w:t xml:space="preserve">The outcome of any review of the centre’s marking will be made known to the head of centre.  </w:t>
      </w:r>
      <w:r w:rsidR="00296128" w:rsidRPr="00D24906">
        <w:rPr>
          <w:rFonts w:ascii="Rockwell" w:hAnsi="Rockwell" w:cs="Arial"/>
          <w:sz w:val="20"/>
          <w:szCs w:val="20"/>
        </w:rPr>
        <w:t xml:space="preserve">[Insert your centre’s process to confirm how a written record of the review will be kept (as example… </w:t>
      </w:r>
      <w:r w:rsidRPr="00D24906">
        <w:rPr>
          <w:rFonts w:ascii="Rockwell" w:hAnsi="Rockwell" w:cs="Arial"/>
          <w:sz w:val="20"/>
          <w:szCs w:val="20"/>
        </w:rPr>
        <w:t xml:space="preserve">A written record of the review will be kept and logged as an appeal, so </w:t>
      </w:r>
      <w:r w:rsidR="00296128" w:rsidRPr="00D24906">
        <w:rPr>
          <w:rFonts w:ascii="Rockwell" w:hAnsi="Rockwell" w:cs="Arial"/>
          <w:sz w:val="20"/>
          <w:szCs w:val="20"/>
        </w:rPr>
        <w:t>information</w:t>
      </w:r>
      <w:r w:rsidRPr="00D24906">
        <w:rPr>
          <w:rFonts w:ascii="Rockwell" w:hAnsi="Rockwell" w:cs="Arial"/>
          <w:sz w:val="20"/>
          <w:szCs w:val="20"/>
        </w:rPr>
        <w:t xml:space="preserve"> can be easily made available to an awarding body upon request.]</w:t>
      </w:r>
      <w:bookmarkEnd w:id="6"/>
    </w:p>
    <w:tbl>
      <w:tblPr>
        <w:tblStyle w:val="TableGrid"/>
        <w:tblW w:w="0" w:type="auto"/>
        <w:tblLook w:val="04A0" w:firstRow="1" w:lastRow="0" w:firstColumn="1" w:lastColumn="0" w:noHBand="0" w:noVBand="1"/>
      </w:tblPr>
      <w:tblGrid>
        <w:gridCol w:w="949"/>
        <w:gridCol w:w="1404"/>
        <w:gridCol w:w="4600"/>
        <w:gridCol w:w="2098"/>
        <w:gridCol w:w="1405"/>
      </w:tblGrid>
      <w:tr w:rsidR="00D24906" w:rsidRPr="00D24906" w14:paraId="1633C2C2" w14:textId="77777777" w:rsidTr="006B00C4">
        <w:tc>
          <w:tcPr>
            <w:tcW w:w="959" w:type="dxa"/>
            <w:shd w:val="clear" w:color="auto" w:fill="FDE9D9" w:themeFill="accent6" w:themeFillTint="33"/>
          </w:tcPr>
          <w:p w14:paraId="66D41885" w14:textId="77777777" w:rsidR="00794ADD" w:rsidRPr="00D24906" w:rsidRDefault="00794ADD" w:rsidP="002940E8">
            <w:pPr>
              <w:spacing w:before="120" w:after="120" w:line="276" w:lineRule="auto"/>
              <w:rPr>
                <w:rFonts w:ascii="Rockwell Condensed" w:eastAsia="Times New Roman" w:hAnsi="Rockwell Condensed" w:cs="Arial"/>
              </w:rPr>
            </w:pPr>
            <w:r w:rsidRPr="00D24906">
              <w:rPr>
                <w:rFonts w:ascii="Rockwell Condensed" w:eastAsia="Times New Roman" w:hAnsi="Rockwell Condensed" w:cs="Arial"/>
              </w:rPr>
              <w:t>Ref No.</w:t>
            </w:r>
          </w:p>
        </w:tc>
        <w:tc>
          <w:tcPr>
            <w:tcW w:w="1417" w:type="dxa"/>
            <w:shd w:val="clear" w:color="auto" w:fill="FDE9D9" w:themeFill="accent6" w:themeFillTint="33"/>
          </w:tcPr>
          <w:p w14:paraId="71BD84B9" w14:textId="77777777" w:rsidR="00794ADD" w:rsidRPr="00D24906" w:rsidRDefault="00794ADD" w:rsidP="002940E8">
            <w:pPr>
              <w:spacing w:before="120" w:after="120" w:line="276" w:lineRule="auto"/>
              <w:rPr>
                <w:rFonts w:ascii="Rockwell Condensed" w:eastAsia="Times New Roman" w:hAnsi="Rockwell Condensed" w:cs="Arial"/>
              </w:rPr>
            </w:pPr>
            <w:r w:rsidRPr="00D24906">
              <w:rPr>
                <w:rFonts w:ascii="Rockwell Condensed" w:eastAsia="Times New Roman" w:hAnsi="Rockwell Condensed" w:cs="Arial"/>
              </w:rPr>
              <w:t>Date received</w:t>
            </w:r>
          </w:p>
        </w:tc>
        <w:tc>
          <w:tcPr>
            <w:tcW w:w="4678" w:type="dxa"/>
            <w:shd w:val="clear" w:color="auto" w:fill="FDE9D9" w:themeFill="accent6" w:themeFillTint="33"/>
          </w:tcPr>
          <w:p w14:paraId="0E99A851" w14:textId="595E7DAE" w:rsidR="00794ADD" w:rsidRPr="00D24906" w:rsidRDefault="00DE706D" w:rsidP="002940E8">
            <w:pPr>
              <w:spacing w:before="120" w:after="120" w:line="276" w:lineRule="auto"/>
              <w:rPr>
                <w:rFonts w:ascii="Rockwell Condensed" w:eastAsia="Times New Roman" w:hAnsi="Rockwell Condensed" w:cs="Arial"/>
              </w:rPr>
            </w:pPr>
            <w:r w:rsidRPr="00D24906">
              <w:rPr>
                <w:rFonts w:ascii="Rockwell Condensed" w:eastAsia="Times New Roman" w:hAnsi="Rockwell Condensed" w:cs="Arial"/>
              </w:rPr>
              <w:t>Complaint or Appeal</w:t>
            </w:r>
          </w:p>
        </w:tc>
        <w:tc>
          <w:tcPr>
            <w:tcW w:w="2126" w:type="dxa"/>
            <w:shd w:val="clear" w:color="auto" w:fill="FDE9D9" w:themeFill="accent6" w:themeFillTint="33"/>
          </w:tcPr>
          <w:p w14:paraId="37DAEFB0" w14:textId="77777777" w:rsidR="00794ADD" w:rsidRPr="00D24906" w:rsidRDefault="00794ADD" w:rsidP="002940E8">
            <w:pPr>
              <w:spacing w:before="120" w:after="120" w:line="276" w:lineRule="auto"/>
              <w:rPr>
                <w:rFonts w:ascii="Rockwell Condensed" w:hAnsi="Rockwell Condensed" w:cs="Arial"/>
                <w:bCs/>
              </w:rPr>
            </w:pPr>
            <w:r w:rsidRPr="00D24906">
              <w:rPr>
                <w:rFonts w:ascii="Rockwell Condensed" w:hAnsi="Rockwell Condensed" w:cs="Arial"/>
                <w:bCs/>
              </w:rPr>
              <w:t>Outcome</w:t>
            </w:r>
          </w:p>
        </w:tc>
        <w:tc>
          <w:tcPr>
            <w:tcW w:w="1418" w:type="dxa"/>
            <w:shd w:val="clear" w:color="auto" w:fill="FDE9D9" w:themeFill="accent6" w:themeFillTint="33"/>
          </w:tcPr>
          <w:p w14:paraId="6529F89E" w14:textId="77777777" w:rsidR="00794ADD" w:rsidRPr="00D24906" w:rsidRDefault="00794ADD" w:rsidP="002940E8">
            <w:pPr>
              <w:spacing w:before="120" w:after="120" w:line="276" w:lineRule="auto"/>
              <w:rPr>
                <w:rFonts w:ascii="Rockwell Condensed" w:hAnsi="Rockwell Condensed" w:cs="Arial"/>
                <w:bCs/>
              </w:rPr>
            </w:pPr>
            <w:r w:rsidRPr="00D24906">
              <w:rPr>
                <w:rFonts w:ascii="Rockwell Condensed" w:hAnsi="Rockwell Condensed" w:cs="Arial"/>
                <w:bCs/>
              </w:rPr>
              <w:t>Outcome date</w:t>
            </w:r>
          </w:p>
        </w:tc>
      </w:tr>
      <w:tr w:rsidR="00794ADD" w14:paraId="035BEE6B" w14:textId="77777777" w:rsidTr="006B00C4">
        <w:tc>
          <w:tcPr>
            <w:tcW w:w="959" w:type="dxa"/>
          </w:tcPr>
          <w:p w14:paraId="5AC33B88" w14:textId="77777777" w:rsidR="00794ADD" w:rsidRPr="006C4285" w:rsidRDefault="00794ADD" w:rsidP="004268DF">
            <w:pPr>
              <w:spacing w:after="200" w:line="276" w:lineRule="auto"/>
              <w:rPr>
                <w:rFonts w:ascii="Rockwell" w:eastAsia="Times New Roman" w:hAnsi="Rockwell" w:cs="Arial"/>
              </w:rPr>
            </w:pPr>
          </w:p>
        </w:tc>
        <w:tc>
          <w:tcPr>
            <w:tcW w:w="1417" w:type="dxa"/>
          </w:tcPr>
          <w:p w14:paraId="0ECFACF2" w14:textId="77777777" w:rsidR="00794ADD" w:rsidRPr="006C4285" w:rsidRDefault="00794ADD" w:rsidP="004268DF">
            <w:pPr>
              <w:spacing w:after="200" w:line="276" w:lineRule="auto"/>
              <w:rPr>
                <w:rFonts w:ascii="Rockwell" w:eastAsia="Times New Roman" w:hAnsi="Rockwell" w:cs="Arial"/>
              </w:rPr>
            </w:pPr>
          </w:p>
        </w:tc>
        <w:tc>
          <w:tcPr>
            <w:tcW w:w="4678" w:type="dxa"/>
          </w:tcPr>
          <w:p w14:paraId="502A7FE7" w14:textId="77777777" w:rsidR="00794ADD" w:rsidRPr="006C4285" w:rsidRDefault="00794ADD" w:rsidP="004268DF">
            <w:pPr>
              <w:spacing w:after="200" w:line="276" w:lineRule="auto"/>
              <w:rPr>
                <w:rFonts w:ascii="Rockwell" w:eastAsia="Times New Roman" w:hAnsi="Rockwell" w:cs="Arial"/>
              </w:rPr>
            </w:pPr>
          </w:p>
        </w:tc>
        <w:tc>
          <w:tcPr>
            <w:tcW w:w="2126" w:type="dxa"/>
          </w:tcPr>
          <w:p w14:paraId="09799F68" w14:textId="77777777" w:rsidR="00794ADD" w:rsidRDefault="00794ADD" w:rsidP="004268DF">
            <w:pPr>
              <w:spacing w:after="200" w:line="276" w:lineRule="auto"/>
              <w:rPr>
                <w:rFonts w:ascii="Rockwell" w:hAnsi="Rockwell" w:cs="Arial"/>
                <w:b/>
                <w:bCs/>
              </w:rPr>
            </w:pPr>
          </w:p>
        </w:tc>
        <w:tc>
          <w:tcPr>
            <w:tcW w:w="1418" w:type="dxa"/>
          </w:tcPr>
          <w:p w14:paraId="19E50E22" w14:textId="77777777" w:rsidR="00794ADD" w:rsidRDefault="00794ADD" w:rsidP="004268DF">
            <w:pPr>
              <w:spacing w:after="200" w:line="276" w:lineRule="auto"/>
              <w:rPr>
                <w:rFonts w:ascii="Rockwell" w:hAnsi="Rockwell" w:cs="Arial"/>
                <w:b/>
                <w:bCs/>
              </w:rPr>
            </w:pPr>
          </w:p>
        </w:tc>
      </w:tr>
      <w:tr w:rsidR="00794ADD" w14:paraId="3356C01A" w14:textId="77777777" w:rsidTr="006B00C4">
        <w:tc>
          <w:tcPr>
            <w:tcW w:w="959" w:type="dxa"/>
          </w:tcPr>
          <w:p w14:paraId="78D63DF5" w14:textId="77777777" w:rsidR="00794ADD" w:rsidRPr="006C4285" w:rsidRDefault="00794ADD" w:rsidP="004268DF">
            <w:pPr>
              <w:spacing w:after="200" w:line="276" w:lineRule="auto"/>
              <w:rPr>
                <w:rFonts w:ascii="Rockwell" w:eastAsia="Times New Roman" w:hAnsi="Rockwell" w:cs="Arial"/>
              </w:rPr>
            </w:pPr>
          </w:p>
        </w:tc>
        <w:tc>
          <w:tcPr>
            <w:tcW w:w="1417" w:type="dxa"/>
          </w:tcPr>
          <w:p w14:paraId="4E13DDF5" w14:textId="77777777" w:rsidR="00794ADD" w:rsidRPr="006C4285" w:rsidRDefault="00794ADD" w:rsidP="004268DF">
            <w:pPr>
              <w:spacing w:after="200" w:line="276" w:lineRule="auto"/>
              <w:rPr>
                <w:rFonts w:ascii="Rockwell" w:eastAsia="Times New Roman" w:hAnsi="Rockwell" w:cs="Arial"/>
              </w:rPr>
            </w:pPr>
          </w:p>
        </w:tc>
        <w:tc>
          <w:tcPr>
            <w:tcW w:w="4678" w:type="dxa"/>
          </w:tcPr>
          <w:p w14:paraId="6B36E6E1" w14:textId="77777777" w:rsidR="00794ADD" w:rsidRPr="006C4285" w:rsidRDefault="00794ADD" w:rsidP="004268DF">
            <w:pPr>
              <w:spacing w:after="200" w:line="276" w:lineRule="auto"/>
              <w:rPr>
                <w:rFonts w:ascii="Rockwell" w:eastAsia="Times New Roman" w:hAnsi="Rockwell" w:cs="Arial"/>
              </w:rPr>
            </w:pPr>
          </w:p>
        </w:tc>
        <w:tc>
          <w:tcPr>
            <w:tcW w:w="2126" w:type="dxa"/>
          </w:tcPr>
          <w:p w14:paraId="34442EA4" w14:textId="77777777" w:rsidR="00794ADD" w:rsidRDefault="00794ADD" w:rsidP="004268DF">
            <w:pPr>
              <w:spacing w:after="200" w:line="276" w:lineRule="auto"/>
              <w:rPr>
                <w:rFonts w:ascii="Rockwell" w:hAnsi="Rockwell" w:cs="Arial"/>
                <w:b/>
                <w:bCs/>
              </w:rPr>
            </w:pPr>
          </w:p>
        </w:tc>
        <w:tc>
          <w:tcPr>
            <w:tcW w:w="1418" w:type="dxa"/>
          </w:tcPr>
          <w:p w14:paraId="36BE0872" w14:textId="77777777" w:rsidR="00794ADD" w:rsidRDefault="00794ADD" w:rsidP="004268DF">
            <w:pPr>
              <w:spacing w:after="200" w:line="276" w:lineRule="auto"/>
              <w:rPr>
                <w:rFonts w:ascii="Rockwell" w:hAnsi="Rockwell" w:cs="Arial"/>
                <w:b/>
                <w:bCs/>
              </w:rPr>
            </w:pPr>
          </w:p>
        </w:tc>
      </w:tr>
      <w:tr w:rsidR="00794ADD" w14:paraId="4EEBEDDE" w14:textId="77777777" w:rsidTr="006B00C4">
        <w:tc>
          <w:tcPr>
            <w:tcW w:w="959" w:type="dxa"/>
          </w:tcPr>
          <w:p w14:paraId="22147240" w14:textId="77777777" w:rsidR="00794ADD" w:rsidRPr="006C4285" w:rsidRDefault="00794ADD" w:rsidP="004268DF">
            <w:pPr>
              <w:spacing w:after="200" w:line="276" w:lineRule="auto"/>
              <w:rPr>
                <w:rFonts w:ascii="Rockwell" w:eastAsia="Times New Roman" w:hAnsi="Rockwell" w:cs="Arial"/>
              </w:rPr>
            </w:pPr>
          </w:p>
        </w:tc>
        <w:tc>
          <w:tcPr>
            <w:tcW w:w="1417" w:type="dxa"/>
          </w:tcPr>
          <w:p w14:paraId="056FBBB3" w14:textId="77777777" w:rsidR="00794ADD" w:rsidRPr="006C4285" w:rsidRDefault="00794ADD" w:rsidP="004268DF">
            <w:pPr>
              <w:spacing w:after="200" w:line="276" w:lineRule="auto"/>
              <w:rPr>
                <w:rFonts w:ascii="Rockwell" w:eastAsia="Times New Roman" w:hAnsi="Rockwell" w:cs="Arial"/>
              </w:rPr>
            </w:pPr>
          </w:p>
        </w:tc>
        <w:tc>
          <w:tcPr>
            <w:tcW w:w="4678" w:type="dxa"/>
          </w:tcPr>
          <w:p w14:paraId="2A806937" w14:textId="77777777" w:rsidR="00794ADD" w:rsidRPr="006C4285" w:rsidRDefault="00794ADD" w:rsidP="004268DF">
            <w:pPr>
              <w:spacing w:after="200" w:line="276" w:lineRule="auto"/>
              <w:rPr>
                <w:rFonts w:ascii="Rockwell" w:eastAsia="Times New Roman" w:hAnsi="Rockwell" w:cs="Arial"/>
              </w:rPr>
            </w:pPr>
          </w:p>
        </w:tc>
        <w:tc>
          <w:tcPr>
            <w:tcW w:w="2126" w:type="dxa"/>
          </w:tcPr>
          <w:p w14:paraId="1B513CBF" w14:textId="77777777" w:rsidR="00794ADD" w:rsidRDefault="00794ADD" w:rsidP="004268DF">
            <w:pPr>
              <w:spacing w:after="200" w:line="276" w:lineRule="auto"/>
              <w:rPr>
                <w:rFonts w:ascii="Rockwell" w:hAnsi="Rockwell" w:cs="Arial"/>
                <w:b/>
                <w:bCs/>
              </w:rPr>
            </w:pPr>
          </w:p>
        </w:tc>
        <w:tc>
          <w:tcPr>
            <w:tcW w:w="1418" w:type="dxa"/>
          </w:tcPr>
          <w:p w14:paraId="16943618" w14:textId="77777777" w:rsidR="00794ADD" w:rsidRDefault="00794ADD" w:rsidP="004268DF">
            <w:pPr>
              <w:spacing w:after="200" w:line="276" w:lineRule="auto"/>
              <w:rPr>
                <w:rFonts w:ascii="Rockwell" w:hAnsi="Rockwell" w:cs="Arial"/>
                <w:b/>
                <w:bCs/>
              </w:rPr>
            </w:pPr>
          </w:p>
        </w:tc>
      </w:tr>
      <w:tr w:rsidR="00794ADD" w14:paraId="22184EB3" w14:textId="77777777" w:rsidTr="006B00C4">
        <w:tc>
          <w:tcPr>
            <w:tcW w:w="959" w:type="dxa"/>
          </w:tcPr>
          <w:p w14:paraId="4C112B80" w14:textId="77777777" w:rsidR="00794ADD" w:rsidRPr="006C4285" w:rsidRDefault="00794ADD" w:rsidP="004268DF">
            <w:pPr>
              <w:spacing w:after="200" w:line="276" w:lineRule="auto"/>
              <w:rPr>
                <w:rFonts w:ascii="Rockwell" w:eastAsia="Times New Roman" w:hAnsi="Rockwell" w:cs="Arial"/>
              </w:rPr>
            </w:pPr>
          </w:p>
        </w:tc>
        <w:tc>
          <w:tcPr>
            <w:tcW w:w="1417" w:type="dxa"/>
          </w:tcPr>
          <w:p w14:paraId="49BE9CC6" w14:textId="77777777" w:rsidR="00794ADD" w:rsidRPr="006C4285" w:rsidRDefault="00794ADD" w:rsidP="004268DF">
            <w:pPr>
              <w:spacing w:after="200" w:line="276" w:lineRule="auto"/>
              <w:rPr>
                <w:rFonts w:ascii="Rockwell" w:eastAsia="Times New Roman" w:hAnsi="Rockwell" w:cs="Arial"/>
              </w:rPr>
            </w:pPr>
          </w:p>
        </w:tc>
        <w:tc>
          <w:tcPr>
            <w:tcW w:w="4678" w:type="dxa"/>
          </w:tcPr>
          <w:p w14:paraId="30913883" w14:textId="77777777" w:rsidR="00794ADD" w:rsidRPr="006C4285" w:rsidRDefault="00794ADD" w:rsidP="004268DF">
            <w:pPr>
              <w:spacing w:after="200" w:line="276" w:lineRule="auto"/>
              <w:rPr>
                <w:rFonts w:ascii="Rockwell" w:eastAsia="Times New Roman" w:hAnsi="Rockwell" w:cs="Arial"/>
              </w:rPr>
            </w:pPr>
          </w:p>
        </w:tc>
        <w:tc>
          <w:tcPr>
            <w:tcW w:w="2126" w:type="dxa"/>
          </w:tcPr>
          <w:p w14:paraId="4E31D899" w14:textId="77777777" w:rsidR="00794ADD" w:rsidRDefault="00794ADD" w:rsidP="004268DF">
            <w:pPr>
              <w:spacing w:after="200" w:line="276" w:lineRule="auto"/>
              <w:rPr>
                <w:rFonts w:ascii="Rockwell" w:hAnsi="Rockwell" w:cs="Arial"/>
                <w:b/>
                <w:bCs/>
              </w:rPr>
            </w:pPr>
          </w:p>
        </w:tc>
        <w:tc>
          <w:tcPr>
            <w:tcW w:w="1418" w:type="dxa"/>
          </w:tcPr>
          <w:p w14:paraId="694F4BB5" w14:textId="77777777" w:rsidR="00794ADD" w:rsidRDefault="00794ADD" w:rsidP="004268DF">
            <w:pPr>
              <w:spacing w:after="200" w:line="276" w:lineRule="auto"/>
              <w:rPr>
                <w:rFonts w:ascii="Rockwell" w:hAnsi="Rockwell" w:cs="Arial"/>
                <w:b/>
                <w:bCs/>
              </w:rPr>
            </w:pPr>
          </w:p>
        </w:tc>
      </w:tr>
      <w:tr w:rsidR="00794ADD" w14:paraId="0A133C79" w14:textId="77777777" w:rsidTr="006B00C4">
        <w:tc>
          <w:tcPr>
            <w:tcW w:w="959" w:type="dxa"/>
          </w:tcPr>
          <w:p w14:paraId="198FEABE" w14:textId="77777777" w:rsidR="00794ADD" w:rsidRPr="006C4285" w:rsidRDefault="00794ADD" w:rsidP="004268DF">
            <w:pPr>
              <w:spacing w:after="200" w:line="276" w:lineRule="auto"/>
              <w:rPr>
                <w:rFonts w:ascii="Rockwell" w:eastAsia="Times New Roman" w:hAnsi="Rockwell" w:cs="Arial"/>
              </w:rPr>
            </w:pPr>
          </w:p>
        </w:tc>
        <w:tc>
          <w:tcPr>
            <w:tcW w:w="1417" w:type="dxa"/>
          </w:tcPr>
          <w:p w14:paraId="412D39F7" w14:textId="77777777" w:rsidR="00794ADD" w:rsidRPr="006C4285" w:rsidRDefault="00794ADD" w:rsidP="004268DF">
            <w:pPr>
              <w:spacing w:after="200" w:line="276" w:lineRule="auto"/>
              <w:rPr>
                <w:rFonts w:ascii="Rockwell" w:eastAsia="Times New Roman" w:hAnsi="Rockwell" w:cs="Arial"/>
              </w:rPr>
            </w:pPr>
          </w:p>
        </w:tc>
        <w:tc>
          <w:tcPr>
            <w:tcW w:w="4678" w:type="dxa"/>
          </w:tcPr>
          <w:p w14:paraId="7F158262" w14:textId="77777777" w:rsidR="00794ADD" w:rsidRPr="006C4285" w:rsidRDefault="00794ADD" w:rsidP="004268DF">
            <w:pPr>
              <w:spacing w:after="200" w:line="276" w:lineRule="auto"/>
              <w:rPr>
                <w:rFonts w:ascii="Rockwell" w:eastAsia="Times New Roman" w:hAnsi="Rockwell" w:cs="Arial"/>
              </w:rPr>
            </w:pPr>
          </w:p>
        </w:tc>
        <w:tc>
          <w:tcPr>
            <w:tcW w:w="2126" w:type="dxa"/>
          </w:tcPr>
          <w:p w14:paraId="7737D8A4" w14:textId="77777777" w:rsidR="00794ADD" w:rsidRDefault="00794ADD" w:rsidP="004268DF">
            <w:pPr>
              <w:spacing w:after="200" w:line="276" w:lineRule="auto"/>
              <w:rPr>
                <w:rFonts w:ascii="Rockwell" w:hAnsi="Rockwell" w:cs="Arial"/>
                <w:b/>
                <w:bCs/>
              </w:rPr>
            </w:pPr>
          </w:p>
        </w:tc>
        <w:tc>
          <w:tcPr>
            <w:tcW w:w="1418" w:type="dxa"/>
          </w:tcPr>
          <w:p w14:paraId="347F1346" w14:textId="77777777" w:rsidR="00794ADD" w:rsidRDefault="00794ADD" w:rsidP="004268DF">
            <w:pPr>
              <w:spacing w:after="200" w:line="276" w:lineRule="auto"/>
              <w:rPr>
                <w:rFonts w:ascii="Rockwell" w:hAnsi="Rockwell" w:cs="Arial"/>
                <w:b/>
                <w:bCs/>
              </w:rPr>
            </w:pPr>
          </w:p>
        </w:tc>
      </w:tr>
      <w:tr w:rsidR="00794ADD" w14:paraId="16332948" w14:textId="77777777" w:rsidTr="006B00C4">
        <w:tc>
          <w:tcPr>
            <w:tcW w:w="959" w:type="dxa"/>
          </w:tcPr>
          <w:p w14:paraId="1F03B1D8" w14:textId="77777777" w:rsidR="00794ADD" w:rsidRPr="006C4285" w:rsidRDefault="00794ADD" w:rsidP="004268DF">
            <w:pPr>
              <w:spacing w:after="200" w:line="276" w:lineRule="auto"/>
              <w:rPr>
                <w:rFonts w:ascii="Rockwell" w:eastAsia="Times New Roman" w:hAnsi="Rockwell" w:cs="Arial"/>
              </w:rPr>
            </w:pPr>
          </w:p>
        </w:tc>
        <w:tc>
          <w:tcPr>
            <w:tcW w:w="1417" w:type="dxa"/>
          </w:tcPr>
          <w:p w14:paraId="6BCA74AC" w14:textId="77777777" w:rsidR="00794ADD" w:rsidRPr="006C4285" w:rsidRDefault="00794ADD" w:rsidP="004268DF">
            <w:pPr>
              <w:spacing w:after="200" w:line="276" w:lineRule="auto"/>
              <w:rPr>
                <w:rFonts w:ascii="Rockwell" w:eastAsia="Times New Roman" w:hAnsi="Rockwell" w:cs="Arial"/>
              </w:rPr>
            </w:pPr>
          </w:p>
        </w:tc>
        <w:tc>
          <w:tcPr>
            <w:tcW w:w="4678" w:type="dxa"/>
          </w:tcPr>
          <w:p w14:paraId="50EAD615" w14:textId="77777777" w:rsidR="00794ADD" w:rsidRPr="006C4285" w:rsidRDefault="00794ADD" w:rsidP="004268DF">
            <w:pPr>
              <w:spacing w:after="200" w:line="276" w:lineRule="auto"/>
              <w:rPr>
                <w:rFonts w:ascii="Rockwell" w:eastAsia="Times New Roman" w:hAnsi="Rockwell" w:cs="Arial"/>
              </w:rPr>
            </w:pPr>
          </w:p>
        </w:tc>
        <w:tc>
          <w:tcPr>
            <w:tcW w:w="2126" w:type="dxa"/>
          </w:tcPr>
          <w:p w14:paraId="5C23B72C" w14:textId="77777777" w:rsidR="00794ADD" w:rsidRDefault="00794ADD" w:rsidP="004268DF">
            <w:pPr>
              <w:spacing w:after="200" w:line="276" w:lineRule="auto"/>
              <w:rPr>
                <w:rFonts w:ascii="Rockwell" w:hAnsi="Rockwell" w:cs="Arial"/>
                <w:b/>
                <w:bCs/>
              </w:rPr>
            </w:pPr>
          </w:p>
        </w:tc>
        <w:tc>
          <w:tcPr>
            <w:tcW w:w="1418" w:type="dxa"/>
          </w:tcPr>
          <w:p w14:paraId="61370121" w14:textId="77777777" w:rsidR="00794ADD" w:rsidRDefault="00794ADD" w:rsidP="004268DF">
            <w:pPr>
              <w:spacing w:after="200" w:line="276" w:lineRule="auto"/>
              <w:rPr>
                <w:rFonts w:ascii="Rockwell" w:hAnsi="Rockwell" w:cs="Arial"/>
                <w:b/>
                <w:bCs/>
              </w:rPr>
            </w:pPr>
          </w:p>
        </w:tc>
      </w:tr>
      <w:tr w:rsidR="00794ADD" w14:paraId="709EC5DF" w14:textId="77777777" w:rsidTr="006B00C4">
        <w:tc>
          <w:tcPr>
            <w:tcW w:w="959" w:type="dxa"/>
          </w:tcPr>
          <w:p w14:paraId="43C35DE9" w14:textId="77777777" w:rsidR="00794ADD" w:rsidRPr="006C4285" w:rsidRDefault="00794ADD" w:rsidP="004268DF">
            <w:pPr>
              <w:spacing w:after="200" w:line="276" w:lineRule="auto"/>
              <w:rPr>
                <w:rFonts w:ascii="Rockwell" w:eastAsia="Times New Roman" w:hAnsi="Rockwell" w:cs="Arial"/>
              </w:rPr>
            </w:pPr>
          </w:p>
        </w:tc>
        <w:tc>
          <w:tcPr>
            <w:tcW w:w="1417" w:type="dxa"/>
          </w:tcPr>
          <w:p w14:paraId="38F69AAC" w14:textId="77777777" w:rsidR="00794ADD" w:rsidRPr="006C4285" w:rsidRDefault="00794ADD" w:rsidP="004268DF">
            <w:pPr>
              <w:spacing w:after="200" w:line="276" w:lineRule="auto"/>
              <w:rPr>
                <w:rFonts w:ascii="Rockwell" w:eastAsia="Times New Roman" w:hAnsi="Rockwell" w:cs="Arial"/>
              </w:rPr>
            </w:pPr>
          </w:p>
        </w:tc>
        <w:tc>
          <w:tcPr>
            <w:tcW w:w="4678" w:type="dxa"/>
          </w:tcPr>
          <w:p w14:paraId="679888F5" w14:textId="77777777" w:rsidR="00794ADD" w:rsidRPr="006C4285" w:rsidRDefault="00794ADD" w:rsidP="004268DF">
            <w:pPr>
              <w:spacing w:after="200" w:line="276" w:lineRule="auto"/>
              <w:rPr>
                <w:rFonts w:ascii="Rockwell" w:eastAsia="Times New Roman" w:hAnsi="Rockwell" w:cs="Arial"/>
              </w:rPr>
            </w:pPr>
          </w:p>
        </w:tc>
        <w:tc>
          <w:tcPr>
            <w:tcW w:w="2126" w:type="dxa"/>
          </w:tcPr>
          <w:p w14:paraId="61CAFBFD" w14:textId="77777777" w:rsidR="00794ADD" w:rsidRDefault="00794ADD" w:rsidP="004268DF">
            <w:pPr>
              <w:spacing w:after="200" w:line="276" w:lineRule="auto"/>
              <w:rPr>
                <w:rFonts w:ascii="Rockwell" w:hAnsi="Rockwell" w:cs="Arial"/>
                <w:b/>
                <w:bCs/>
              </w:rPr>
            </w:pPr>
          </w:p>
        </w:tc>
        <w:tc>
          <w:tcPr>
            <w:tcW w:w="1418" w:type="dxa"/>
          </w:tcPr>
          <w:p w14:paraId="433202B6" w14:textId="77777777" w:rsidR="00794ADD" w:rsidRDefault="00794ADD" w:rsidP="004268DF">
            <w:pPr>
              <w:spacing w:after="200" w:line="276" w:lineRule="auto"/>
              <w:rPr>
                <w:rFonts w:ascii="Rockwell" w:hAnsi="Rockwell" w:cs="Arial"/>
                <w:b/>
                <w:bCs/>
              </w:rPr>
            </w:pPr>
          </w:p>
        </w:tc>
      </w:tr>
      <w:tr w:rsidR="00794ADD" w14:paraId="44CBBA4C" w14:textId="77777777" w:rsidTr="006B00C4">
        <w:tc>
          <w:tcPr>
            <w:tcW w:w="959" w:type="dxa"/>
          </w:tcPr>
          <w:p w14:paraId="161A0057" w14:textId="77777777" w:rsidR="00794ADD" w:rsidRPr="006C4285" w:rsidRDefault="00794ADD" w:rsidP="004268DF">
            <w:pPr>
              <w:spacing w:after="200" w:line="276" w:lineRule="auto"/>
              <w:rPr>
                <w:rFonts w:ascii="Rockwell" w:eastAsia="Times New Roman" w:hAnsi="Rockwell" w:cs="Arial"/>
              </w:rPr>
            </w:pPr>
          </w:p>
        </w:tc>
        <w:tc>
          <w:tcPr>
            <w:tcW w:w="1417" w:type="dxa"/>
          </w:tcPr>
          <w:p w14:paraId="7E8BB4B0" w14:textId="77777777" w:rsidR="00794ADD" w:rsidRPr="006C4285" w:rsidRDefault="00794ADD" w:rsidP="004268DF">
            <w:pPr>
              <w:spacing w:after="200" w:line="276" w:lineRule="auto"/>
              <w:rPr>
                <w:rFonts w:ascii="Rockwell" w:eastAsia="Times New Roman" w:hAnsi="Rockwell" w:cs="Arial"/>
              </w:rPr>
            </w:pPr>
          </w:p>
        </w:tc>
        <w:tc>
          <w:tcPr>
            <w:tcW w:w="4678" w:type="dxa"/>
          </w:tcPr>
          <w:p w14:paraId="509FAEC9" w14:textId="77777777" w:rsidR="00794ADD" w:rsidRPr="006C4285" w:rsidRDefault="00794ADD" w:rsidP="004268DF">
            <w:pPr>
              <w:spacing w:after="200" w:line="276" w:lineRule="auto"/>
              <w:rPr>
                <w:rFonts w:ascii="Rockwell" w:eastAsia="Times New Roman" w:hAnsi="Rockwell" w:cs="Arial"/>
              </w:rPr>
            </w:pPr>
          </w:p>
        </w:tc>
        <w:tc>
          <w:tcPr>
            <w:tcW w:w="2126" w:type="dxa"/>
          </w:tcPr>
          <w:p w14:paraId="19012FC3" w14:textId="77777777" w:rsidR="00794ADD" w:rsidRDefault="00794ADD" w:rsidP="004268DF">
            <w:pPr>
              <w:spacing w:after="200" w:line="276" w:lineRule="auto"/>
              <w:rPr>
                <w:rFonts w:ascii="Rockwell" w:hAnsi="Rockwell" w:cs="Arial"/>
                <w:b/>
                <w:bCs/>
              </w:rPr>
            </w:pPr>
          </w:p>
        </w:tc>
        <w:tc>
          <w:tcPr>
            <w:tcW w:w="1418" w:type="dxa"/>
          </w:tcPr>
          <w:p w14:paraId="5D91FE0A" w14:textId="77777777" w:rsidR="00794ADD" w:rsidRDefault="00794ADD" w:rsidP="004268DF">
            <w:pPr>
              <w:spacing w:after="200" w:line="276" w:lineRule="auto"/>
              <w:rPr>
                <w:rFonts w:ascii="Rockwell" w:hAnsi="Rockwell" w:cs="Arial"/>
                <w:b/>
                <w:bCs/>
              </w:rPr>
            </w:pPr>
          </w:p>
        </w:tc>
      </w:tr>
      <w:tr w:rsidR="00794ADD" w14:paraId="3A2C823B" w14:textId="77777777" w:rsidTr="006B00C4">
        <w:tc>
          <w:tcPr>
            <w:tcW w:w="959" w:type="dxa"/>
          </w:tcPr>
          <w:p w14:paraId="56B6C854" w14:textId="77777777" w:rsidR="00794ADD" w:rsidRPr="006C4285" w:rsidRDefault="00794ADD" w:rsidP="004268DF">
            <w:pPr>
              <w:spacing w:after="200" w:line="276" w:lineRule="auto"/>
              <w:rPr>
                <w:rFonts w:ascii="Rockwell" w:eastAsia="Times New Roman" w:hAnsi="Rockwell" w:cs="Arial"/>
              </w:rPr>
            </w:pPr>
          </w:p>
        </w:tc>
        <w:tc>
          <w:tcPr>
            <w:tcW w:w="1417" w:type="dxa"/>
          </w:tcPr>
          <w:p w14:paraId="3D302CBC" w14:textId="77777777" w:rsidR="00794ADD" w:rsidRPr="006C4285" w:rsidRDefault="00794ADD" w:rsidP="004268DF">
            <w:pPr>
              <w:spacing w:after="200" w:line="276" w:lineRule="auto"/>
              <w:rPr>
                <w:rFonts w:ascii="Rockwell" w:eastAsia="Times New Roman" w:hAnsi="Rockwell" w:cs="Arial"/>
              </w:rPr>
            </w:pPr>
          </w:p>
        </w:tc>
        <w:tc>
          <w:tcPr>
            <w:tcW w:w="4678" w:type="dxa"/>
          </w:tcPr>
          <w:p w14:paraId="7C31098D" w14:textId="77777777" w:rsidR="00794ADD" w:rsidRPr="006C4285" w:rsidRDefault="00794ADD" w:rsidP="004268DF">
            <w:pPr>
              <w:spacing w:after="200" w:line="276" w:lineRule="auto"/>
              <w:rPr>
                <w:rFonts w:ascii="Rockwell" w:eastAsia="Times New Roman" w:hAnsi="Rockwell" w:cs="Arial"/>
              </w:rPr>
            </w:pPr>
          </w:p>
        </w:tc>
        <w:tc>
          <w:tcPr>
            <w:tcW w:w="2126" w:type="dxa"/>
          </w:tcPr>
          <w:p w14:paraId="00485D96" w14:textId="77777777" w:rsidR="00794ADD" w:rsidRDefault="00794ADD" w:rsidP="004268DF">
            <w:pPr>
              <w:spacing w:after="200" w:line="276" w:lineRule="auto"/>
              <w:rPr>
                <w:rFonts w:ascii="Rockwell" w:hAnsi="Rockwell" w:cs="Arial"/>
                <w:b/>
                <w:bCs/>
              </w:rPr>
            </w:pPr>
          </w:p>
        </w:tc>
        <w:tc>
          <w:tcPr>
            <w:tcW w:w="1418" w:type="dxa"/>
          </w:tcPr>
          <w:p w14:paraId="733B049A" w14:textId="77777777" w:rsidR="00794ADD" w:rsidRDefault="00794ADD" w:rsidP="004268DF">
            <w:pPr>
              <w:spacing w:after="200" w:line="276" w:lineRule="auto"/>
              <w:rPr>
                <w:rFonts w:ascii="Rockwell" w:hAnsi="Rockwell" w:cs="Arial"/>
                <w:b/>
                <w:bCs/>
              </w:rPr>
            </w:pPr>
          </w:p>
        </w:tc>
      </w:tr>
      <w:tr w:rsidR="00794ADD" w14:paraId="5DD415CA" w14:textId="77777777" w:rsidTr="006B00C4">
        <w:tc>
          <w:tcPr>
            <w:tcW w:w="959" w:type="dxa"/>
          </w:tcPr>
          <w:p w14:paraId="588CE414" w14:textId="77777777" w:rsidR="00794ADD" w:rsidRPr="006C4285" w:rsidRDefault="00794ADD" w:rsidP="004268DF">
            <w:pPr>
              <w:spacing w:after="200" w:line="276" w:lineRule="auto"/>
              <w:rPr>
                <w:rFonts w:ascii="Rockwell" w:eastAsia="Times New Roman" w:hAnsi="Rockwell" w:cs="Arial"/>
              </w:rPr>
            </w:pPr>
          </w:p>
        </w:tc>
        <w:tc>
          <w:tcPr>
            <w:tcW w:w="1417" w:type="dxa"/>
          </w:tcPr>
          <w:p w14:paraId="3016BA85" w14:textId="77777777" w:rsidR="00794ADD" w:rsidRPr="006C4285" w:rsidRDefault="00794ADD" w:rsidP="004268DF">
            <w:pPr>
              <w:spacing w:after="200" w:line="276" w:lineRule="auto"/>
              <w:rPr>
                <w:rFonts w:ascii="Rockwell" w:eastAsia="Times New Roman" w:hAnsi="Rockwell" w:cs="Arial"/>
              </w:rPr>
            </w:pPr>
          </w:p>
        </w:tc>
        <w:tc>
          <w:tcPr>
            <w:tcW w:w="4678" w:type="dxa"/>
          </w:tcPr>
          <w:p w14:paraId="72FE3F54" w14:textId="77777777" w:rsidR="00794ADD" w:rsidRPr="006C4285" w:rsidRDefault="00794ADD" w:rsidP="004268DF">
            <w:pPr>
              <w:spacing w:after="200" w:line="276" w:lineRule="auto"/>
              <w:rPr>
                <w:rFonts w:ascii="Rockwell" w:eastAsia="Times New Roman" w:hAnsi="Rockwell" w:cs="Arial"/>
              </w:rPr>
            </w:pPr>
          </w:p>
        </w:tc>
        <w:tc>
          <w:tcPr>
            <w:tcW w:w="2126" w:type="dxa"/>
          </w:tcPr>
          <w:p w14:paraId="1ED07081" w14:textId="77777777" w:rsidR="00794ADD" w:rsidRDefault="00794ADD" w:rsidP="004268DF">
            <w:pPr>
              <w:spacing w:after="200" w:line="276" w:lineRule="auto"/>
              <w:rPr>
                <w:rFonts w:ascii="Rockwell" w:hAnsi="Rockwell" w:cs="Arial"/>
                <w:b/>
                <w:bCs/>
              </w:rPr>
            </w:pPr>
          </w:p>
        </w:tc>
        <w:tc>
          <w:tcPr>
            <w:tcW w:w="1418" w:type="dxa"/>
          </w:tcPr>
          <w:p w14:paraId="3D78C96C" w14:textId="77777777" w:rsidR="00794ADD" w:rsidRDefault="00794ADD" w:rsidP="004268DF">
            <w:pPr>
              <w:spacing w:after="200" w:line="276" w:lineRule="auto"/>
              <w:rPr>
                <w:rFonts w:ascii="Rockwell" w:hAnsi="Rockwell" w:cs="Arial"/>
                <w:b/>
                <w:bCs/>
              </w:rPr>
            </w:pPr>
          </w:p>
        </w:tc>
      </w:tr>
      <w:tr w:rsidR="00794ADD" w14:paraId="1A302803" w14:textId="77777777" w:rsidTr="006B00C4">
        <w:tc>
          <w:tcPr>
            <w:tcW w:w="959" w:type="dxa"/>
          </w:tcPr>
          <w:p w14:paraId="2C54D341" w14:textId="77777777" w:rsidR="00794ADD" w:rsidRPr="006C4285" w:rsidRDefault="00794ADD" w:rsidP="004268DF">
            <w:pPr>
              <w:spacing w:after="200" w:line="276" w:lineRule="auto"/>
              <w:rPr>
                <w:rFonts w:ascii="Rockwell" w:eastAsia="Times New Roman" w:hAnsi="Rockwell" w:cs="Arial"/>
              </w:rPr>
            </w:pPr>
          </w:p>
        </w:tc>
        <w:tc>
          <w:tcPr>
            <w:tcW w:w="1417" w:type="dxa"/>
          </w:tcPr>
          <w:p w14:paraId="4D393B88" w14:textId="77777777" w:rsidR="00794ADD" w:rsidRPr="006C4285" w:rsidRDefault="00794ADD" w:rsidP="004268DF">
            <w:pPr>
              <w:spacing w:after="200" w:line="276" w:lineRule="auto"/>
              <w:rPr>
                <w:rFonts w:ascii="Rockwell" w:eastAsia="Times New Roman" w:hAnsi="Rockwell" w:cs="Arial"/>
              </w:rPr>
            </w:pPr>
          </w:p>
        </w:tc>
        <w:tc>
          <w:tcPr>
            <w:tcW w:w="4678" w:type="dxa"/>
          </w:tcPr>
          <w:p w14:paraId="27AD9EDC" w14:textId="77777777" w:rsidR="00794ADD" w:rsidRPr="006C4285" w:rsidRDefault="00794ADD" w:rsidP="004268DF">
            <w:pPr>
              <w:spacing w:after="200" w:line="276" w:lineRule="auto"/>
              <w:rPr>
                <w:rFonts w:ascii="Rockwell" w:eastAsia="Times New Roman" w:hAnsi="Rockwell" w:cs="Arial"/>
              </w:rPr>
            </w:pPr>
          </w:p>
        </w:tc>
        <w:tc>
          <w:tcPr>
            <w:tcW w:w="2126" w:type="dxa"/>
          </w:tcPr>
          <w:p w14:paraId="4AB41837" w14:textId="77777777" w:rsidR="00794ADD" w:rsidRDefault="00794ADD" w:rsidP="004268DF">
            <w:pPr>
              <w:spacing w:after="200" w:line="276" w:lineRule="auto"/>
              <w:rPr>
                <w:rFonts w:ascii="Rockwell" w:hAnsi="Rockwell" w:cs="Arial"/>
                <w:b/>
                <w:bCs/>
              </w:rPr>
            </w:pPr>
          </w:p>
        </w:tc>
        <w:tc>
          <w:tcPr>
            <w:tcW w:w="1418" w:type="dxa"/>
          </w:tcPr>
          <w:p w14:paraId="7A11DBF4" w14:textId="77777777" w:rsidR="00794ADD" w:rsidRDefault="00794ADD" w:rsidP="004268DF">
            <w:pPr>
              <w:spacing w:after="200" w:line="276" w:lineRule="auto"/>
              <w:rPr>
                <w:rFonts w:ascii="Rockwell" w:hAnsi="Rockwell" w:cs="Arial"/>
                <w:b/>
                <w:bCs/>
              </w:rPr>
            </w:pPr>
          </w:p>
        </w:tc>
      </w:tr>
      <w:tr w:rsidR="00794ADD" w14:paraId="6773752C" w14:textId="77777777" w:rsidTr="006B00C4">
        <w:tc>
          <w:tcPr>
            <w:tcW w:w="959" w:type="dxa"/>
          </w:tcPr>
          <w:p w14:paraId="447BC50B" w14:textId="77777777" w:rsidR="00794ADD" w:rsidRPr="006C4285" w:rsidRDefault="00794ADD" w:rsidP="004268DF">
            <w:pPr>
              <w:spacing w:after="200" w:line="276" w:lineRule="auto"/>
              <w:rPr>
                <w:rFonts w:ascii="Rockwell" w:eastAsia="Times New Roman" w:hAnsi="Rockwell" w:cs="Arial"/>
              </w:rPr>
            </w:pPr>
          </w:p>
        </w:tc>
        <w:tc>
          <w:tcPr>
            <w:tcW w:w="1417" w:type="dxa"/>
          </w:tcPr>
          <w:p w14:paraId="5B431B8C" w14:textId="77777777" w:rsidR="00794ADD" w:rsidRPr="006C4285" w:rsidRDefault="00794ADD" w:rsidP="004268DF">
            <w:pPr>
              <w:spacing w:after="200" w:line="276" w:lineRule="auto"/>
              <w:rPr>
                <w:rFonts w:ascii="Rockwell" w:eastAsia="Times New Roman" w:hAnsi="Rockwell" w:cs="Arial"/>
              </w:rPr>
            </w:pPr>
          </w:p>
        </w:tc>
        <w:tc>
          <w:tcPr>
            <w:tcW w:w="4678" w:type="dxa"/>
          </w:tcPr>
          <w:p w14:paraId="3884C0EC" w14:textId="77777777" w:rsidR="00794ADD" w:rsidRPr="006C4285" w:rsidRDefault="00794ADD" w:rsidP="004268DF">
            <w:pPr>
              <w:spacing w:after="200" w:line="276" w:lineRule="auto"/>
              <w:rPr>
                <w:rFonts w:ascii="Rockwell" w:eastAsia="Times New Roman" w:hAnsi="Rockwell" w:cs="Arial"/>
              </w:rPr>
            </w:pPr>
          </w:p>
        </w:tc>
        <w:tc>
          <w:tcPr>
            <w:tcW w:w="2126" w:type="dxa"/>
          </w:tcPr>
          <w:p w14:paraId="57E9E943" w14:textId="77777777" w:rsidR="00794ADD" w:rsidRDefault="00794ADD" w:rsidP="004268DF">
            <w:pPr>
              <w:spacing w:after="200" w:line="276" w:lineRule="auto"/>
              <w:rPr>
                <w:rFonts w:ascii="Rockwell" w:hAnsi="Rockwell" w:cs="Arial"/>
                <w:b/>
                <w:bCs/>
              </w:rPr>
            </w:pPr>
          </w:p>
        </w:tc>
        <w:tc>
          <w:tcPr>
            <w:tcW w:w="1418" w:type="dxa"/>
          </w:tcPr>
          <w:p w14:paraId="43A68CC7" w14:textId="77777777" w:rsidR="00794ADD" w:rsidRDefault="00794ADD" w:rsidP="004268DF">
            <w:pPr>
              <w:spacing w:after="200" w:line="276" w:lineRule="auto"/>
              <w:rPr>
                <w:rFonts w:ascii="Rockwell" w:hAnsi="Rockwell" w:cs="Arial"/>
                <w:b/>
                <w:bCs/>
              </w:rPr>
            </w:pPr>
          </w:p>
        </w:tc>
      </w:tr>
      <w:tr w:rsidR="00794ADD" w14:paraId="52DF0C7D" w14:textId="77777777" w:rsidTr="006B00C4">
        <w:tc>
          <w:tcPr>
            <w:tcW w:w="959" w:type="dxa"/>
          </w:tcPr>
          <w:p w14:paraId="536312BE" w14:textId="77777777" w:rsidR="00794ADD" w:rsidRPr="006C4285" w:rsidRDefault="00794ADD" w:rsidP="004268DF">
            <w:pPr>
              <w:spacing w:after="200" w:line="276" w:lineRule="auto"/>
              <w:rPr>
                <w:rFonts w:ascii="Rockwell" w:eastAsia="Times New Roman" w:hAnsi="Rockwell" w:cs="Arial"/>
              </w:rPr>
            </w:pPr>
          </w:p>
        </w:tc>
        <w:tc>
          <w:tcPr>
            <w:tcW w:w="1417" w:type="dxa"/>
          </w:tcPr>
          <w:p w14:paraId="1AD2E33C" w14:textId="77777777" w:rsidR="00794ADD" w:rsidRPr="006C4285" w:rsidRDefault="00794ADD" w:rsidP="004268DF">
            <w:pPr>
              <w:spacing w:after="200" w:line="276" w:lineRule="auto"/>
              <w:rPr>
                <w:rFonts w:ascii="Rockwell" w:eastAsia="Times New Roman" w:hAnsi="Rockwell" w:cs="Arial"/>
              </w:rPr>
            </w:pPr>
          </w:p>
        </w:tc>
        <w:tc>
          <w:tcPr>
            <w:tcW w:w="4678" w:type="dxa"/>
          </w:tcPr>
          <w:p w14:paraId="276430F7" w14:textId="77777777" w:rsidR="00794ADD" w:rsidRPr="006C4285" w:rsidRDefault="00794ADD" w:rsidP="004268DF">
            <w:pPr>
              <w:spacing w:after="200" w:line="276" w:lineRule="auto"/>
              <w:rPr>
                <w:rFonts w:ascii="Rockwell" w:eastAsia="Times New Roman" w:hAnsi="Rockwell" w:cs="Arial"/>
              </w:rPr>
            </w:pPr>
          </w:p>
        </w:tc>
        <w:tc>
          <w:tcPr>
            <w:tcW w:w="2126" w:type="dxa"/>
          </w:tcPr>
          <w:p w14:paraId="49B74819" w14:textId="77777777" w:rsidR="00794ADD" w:rsidRDefault="00794ADD" w:rsidP="004268DF">
            <w:pPr>
              <w:spacing w:after="200" w:line="276" w:lineRule="auto"/>
              <w:rPr>
                <w:rFonts w:ascii="Rockwell" w:hAnsi="Rockwell" w:cs="Arial"/>
                <w:b/>
                <w:bCs/>
              </w:rPr>
            </w:pPr>
          </w:p>
        </w:tc>
        <w:tc>
          <w:tcPr>
            <w:tcW w:w="1418" w:type="dxa"/>
          </w:tcPr>
          <w:p w14:paraId="1755D528" w14:textId="77777777" w:rsidR="00794ADD" w:rsidRDefault="00794ADD" w:rsidP="004268DF">
            <w:pPr>
              <w:spacing w:after="200" w:line="276" w:lineRule="auto"/>
              <w:rPr>
                <w:rFonts w:ascii="Rockwell" w:hAnsi="Rockwell" w:cs="Arial"/>
                <w:b/>
                <w:bCs/>
              </w:rPr>
            </w:pPr>
          </w:p>
        </w:tc>
      </w:tr>
      <w:tr w:rsidR="00794ADD" w14:paraId="270A3601" w14:textId="77777777" w:rsidTr="006B00C4">
        <w:tc>
          <w:tcPr>
            <w:tcW w:w="959" w:type="dxa"/>
          </w:tcPr>
          <w:p w14:paraId="51EEF0A6" w14:textId="77777777" w:rsidR="00794ADD" w:rsidRPr="006C4285" w:rsidRDefault="00794ADD" w:rsidP="004268DF">
            <w:pPr>
              <w:spacing w:after="200" w:line="276" w:lineRule="auto"/>
              <w:rPr>
                <w:rFonts w:ascii="Rockwell" w:eastAsia="Times New Roman" w:hAnsi="Rockwell" w:cs="Arial"/>
              </w:rPr>
            </w:pPr>
          </w:p>
        </w:tc>
        <w:tc>
          <w:tcPr>
            <w:tcW w:w="1417" w:type="dxa"/>
          </w:tcPr>
          <w:p w14:paraId="5692F6F5" w14:textId="77777777" w:rsidR="00794ADD" w:rsidRPr="006C4285" w:rsidRDefault="00794ADD" w:rsidP="004268DF">
            <w:pPr>
              <w:spacing w:after="200" w:line="276" w:lineRule="auto"/>
              <w:rPr>
                <w:rFonts w:ascii="Rockwell" w:eastAsia="Times New Roman" w:hAnsi="Rockwell" w:cs="Arial"/>
              </w:rPr>
            </w:pPr>
          </w:p>
        </w:tc>
        <w:tc>
          <w:tcPr>
            <w:tcW w:w="4678" w:type="dxa"/>
          </w:tcPr>
          <w:p w14:paraId="5F18E8FF" w14:textId="77777777" w:rsidR="00794ADD" w:rsidRPr="006C4285" w:rsidRDefault="00794ADD" w:rsidP="004268DF">
            <w:pPr>
              <w:spacing w:after="200" w:line="276" w:lineRule="auto"/>
              <w:rPr>
                <w:rFonts w:ascii="Rockwell" w:eastAsia="Times New Roman" w:hAnsi="Rockwell" w:cs="Arial"/>
              </w:rPr>
            </w:pPr>
          </w:p>
        </w:tc>
        <w:tc>
          <w:tcPr>
            <w:tcW w:w="2126" w:type="dxa"/>
          </w:tcPr>
          <w:p w14:paraId="59AF703A" w14:textId="77777777" w:rsidR="00794ADD" w:rsidRDefault="00794ADD" w:rsidP="004268DF">
            <w:pPr>
              <w:spacing w:after="200" w:line="276" w:lineRule="auto"/>
              <w:rPr>
                <w:rFonts w:ascii="Rockwell" w:hAnsi="Rockwell" w:cs="Arial"/>
                <w:b/>
                <w:bCs/>
              </w:rPr>
            </w:pPr>
          </w:p>
        </w:tc>
        <w:tc>
          <w:tcPr>
            <w:tcW w:w="1418" w:type="dxa"/>
          </w:tcPr>
          <w:p w14:paraId="3A7148FF" w14:textId="77777777" w:rsidR="00794ADD" w:rsidRDefault="00794ADD" w:rsidP="004268DF">
            <w:pPr>
              <w:spacing w:after="200" w:line="276" w:lineRule="auto"/>
              <w:rPr>
                <w:rFonts w:ascii="Rockwell" w:hAnsi="Rockwell" w:cs="Arial"/>
                <w:b/>
                <w:bCs/>
              </w:rPr>
            </w:pPr>
          </w:p>
        </w:tc>
      </w:tr>
      <w:tr w:rsidR="00794ADD" w14:paraId="7B70A6E0" w14:textId="77777777" w:rsidTr="006B00C4">
        <w:tc>
          <w:tcPr>
            <w:tcW w:w="959" w:type="dxa"/>
          </w:tcPr>
          <w:p w14:paraId="4DC69642" w14:textId="77777777" w:rsidR="00794ADD" w:rsidRPr="006C4285" w:rsidRDefault="00794ADD" w:rsidP="004268DF">
            <w:pPr>
              <w:spacing w:after="200" w:line="276" w:lineRule="auto"/>
              <w:rPr>
                <w:rFonts w:ascii="Rockwell" w:eastAsia="Times New Roman" w:hAnsi="Rockwell" w:cs="Arial"/>
              </w:rPr>
            </w:pPr>
          </w:p>
        </w:tc>
        <w:tc>
          <w:tcPr>
            <w:tcW w:w="1417" w:type="dxa"/>
          </w:tcPr>
          <w:p w14:paraId="567F5045" w14:textId="77777777" w:rsidR="00794ADD" w:rsidRPr="006C4285" w:rsidRDefault="00794ADD" w:rsidP="004268DF">
            <w:pPr>
              <w:spacing w:after="200" w:line="276" w:lineRule="auto"/>
              <w:rPr>
                <w:rFonts w:ascii="Rockwell" w:eastAsia="Times New Roman" w:hAnsi="Rockwell" w:cs="Arial"/>
              </w:rPr>
            </w:pPr>
          </w:p>
        </w:tc>
        <w:tc>
          <w:tcPr>
            <w:tcW w:w="4678" w:type="dxa"/>
          </w:tcPr>
          <w:p w14:paraId="6D374F4A" w14:textId="77777777" w:rsidR="00794ADD" w:rsidRPr="006C4285" w:rsidRDefault="00794ADD" w:rsidP="004268DF">
            <w:pPr>
              <w:spacing w:after="200" w:line="276" w:lineRule="auto"/>
              <w:rPr>
                <w:rFonts w:ascii="Rockwell" w:eastAsia="Times New Roman" w:hAnsi="Rockwell" w:cs="Arial"/>
              </w:rPr>
            </w:pPr>
          </w:p>
        </w:tc>
        <w:tc>
          <w:tcPr>
            <w:tcW w:w="2126" w:type="dxa"/>
          </w:tcPr>
          <w:p w14:paraId="7DE9BD1E" w14:textId="77777777" w:rsidR="00794ADD" w:rsidRDefault="00794ADD" w:rsidP="004268DF">
            <w:pPr>
              <w:spacing w:after="200" w:line="276" w:lineRule="auto"/>
              <w:rPr>
                <w:rFonts w:ascii="Rockwell" w:hAnsi="Rockwell" w:cs="Arial"/>
                <w:b/>
                <w:bCs/>
              </w:rPr>
            </w:pPr>
          </w:p>
        </w:tc>
        <w:tc>
          <w:tcPr>
            <w:tcW w:w="1418" w:type="dxa"/>
          </w:tcPr>
          <w:p w14:paraId="0B093631" w14:textId="77777777" w:rsidR="00794ADD" w:rsidRDefault="00794ADD" w:rsidP="004268DF">
            <w:pPr>
              <w:spacing w:after="200" w:line="276" w:lineRule="auto"/>
              <w:rPr>
                <w:rFonts w:ascii="Rockwell" w:hAnsi="Rockwell" w:cs="Arial"/>
                <w:b/>
                <w:bCs/>
              </w:rPr>
            </w:pPr>
          </w:p>
        </w:tc>
      </w:tr>
      <w:tr w:rsidR="00794ADD" w14:paraId="73E9E9F9" w14:textId="77777777" w:rsidTr="006B00C4">
        <w:tc>
          <w:tcPr>
            <w:tcW w:w="959" w:type="dxa"/>
          </w:tcPr>
          <w:p w14:paraId="2BBEDE9B" w14:textId="77777777" w:rsidR="00794ADD" w:rsidRPr="006C4285" w:rsidRDefault="00794ADD" w:rsidP="004268DF">
            <w:pPr>
              <w:spacing w:after="200" w:line="276" w:lineRule="auto"/>
              <w:rPr>
                <w:rFonts w:ascii="Rockwell" w:eastAsia="Times New Roman" w:hAnsi="Rockwell" w:cs="Arial"/>
              </w:rPr>
            </w:pPr>
          </w:p>
        </w:tc>
        <w:tc>
          <w:tcPr>
            <w:tcW w:w="1417" w:type="dxa"/>
          </w:tcPr>
          <w:p w14:paraId="546EA445" w14:textId="77777777" w:rsidR="00794ADD" w:rsidRPr="006C4285" w:rsidRDefault="00794ADD" w:rsidP="004268DF">
            <w:pPr>
              <w:spacing w:after="200" w:line="276" w:lineRule="auto"/>
              <w:rPr>
                <w:rFonts w:ascii="Rockwell" w:eastAsia="Times New Roman" w:hAnsi="Rockwell" w:cs="Arial"/>
              </w:rPr>
            </w:pPr>
          </w:p>
        </w:tc>
        <w:tc>
          <w:tcPr>
            <w:tcW w:w="4678" w:type="dxa"/>
          </w:tcPr>
          <w:p w14:paraId="33A0BB3E" w14:textId="77777777" w:rsidR="00794ADD" w:rsidRPr="006C4285" w:rsidRDefault="00794ADD" w:rsidP="004268DF">
            <w:pPr>
              <w:spacing w:after="200" w:line="276" w:lineRule="auto"/>
              <w:rPr>
                <w:rFonts w:ascii="Rockwell" w:eastAsia="Times New Roman" w:hAnsi="Rockwell" w:cs="Arial"/>
              </w:rPr>
            </w:pPr>
          </w:p>
        </w:tc>
        <w:tc>
          <w:tcPr>
            <w:tcW w:w="2126" w:type="dxa"/>
          </w:tcPr>
          <w:p w14:paraId="383BFAA3" w14:textId="77777777" w:rsidR="00794ADD" w:rsidRDefault="00794ADD" w:rsidP="004268DF">
            <w:pPr>
              <w:spacing w:after="200" w:line="276" w:lineRule="auto"/>
              <w:rPr>
                <w:rFonts w:ascii="Rockwell" w:hAnsi="Rockwell" w:cs="Arial"/>
                <w:b/>
                <w:bCs/>
              </w:rPr>
            </w:pPr>
          </w:p>
        </w:tc>
        <w:tc>
          <w:tcPr>
            <w:tcW w:w="1418" w:type="dxa"/>
          </w:tcPr>
          <w:p w14:paraId="700B1322" w14:textId="77777777" w:rsidR="00794ADD" w:rsidRDefault="00794ADD" w:rsidP="004268DF">
            <w:pPr>
              <w:spacing w:after="200" w:line="276" w:lineRule="auto"/>
              <w:rPr>
                <w:rFonts w:ascii="Rockwell" w:hAnsi="Rockwell" w:cs="Arial"/>
                <w:b/>
                <w:bCs/>
              </w:rPr>
            </w:pPr>
          </w:p>
        </w:tc>
      </w:tr>
      <w:tr w:rsidR="00794ADD" w14:paraId="535AE4F1" w14:textId="77777777" w:rsidTr="006B00C4">
        <w:tc>
          <w:tcPr>
            <w:tcW w:w="959" w:type="dxa"/>
          </w:tcPr>
          <w:p w14:paraId="6FC1E193" w14:textId="77777777" w:rsidR="00794ADD" w:rsidRPr="006C4285" w:rsidRDefault="00794ADD" w:rsidP="004268DF">
            <w:pPr>
              <w:spacing w:after="200" w:line="276" w:lineRule="auto"/>
              <w:rPr>
                <w:rFonts w:ascii="Rockwell" w:eastAsia="Times New Roman" w:hAnsi="Rockwell" w:cs="Arial"/>
              </w:rPr>
            </w:pPr>
          </w:p>
        </w:tc>
        <w:tc>
          <w:tcPr>
            <w:tcW w:w="1417" w:type="dxa"/>
          </w:tcPr>
          <w:p w14:paraId="7BF7C8CC" w14:textId="77777777" w:rsidR="00794ADD" w:rsidRPr="006C4285" w:rsidRDefault="00794ADD" w:rsidP="004268DF">
            <w:pPr>
              <w:spacing w:after="200" w:line="276" w:lineRule="auto"/>
              <w:rPr>
                <w:rFonts w:ascii="Rockwell" w:eastAsia="Times New Roman" w:hAnsi="Rockwell" w:cs="Arial"/>
              </w:rPr>
            </w:pPr>
          </w:p>
        </w:tc>
        <w:tc>
          <w:tcPr>
            <w:tcW w:w="4678" w:type="dxa"/>
          </w:tcPr>
          <w:p w14:paraId="6BDF38D0" w14:textId="77777777" w:rsidR="00794ADD" w:rsidRPr="006C4285" w:rsidRDefault="00794ADD" w:rsidP="004268DF">
            <w:pPr>
              <w:spacing w:after="200" w:line="276" w:lineRule="auto"/>
              <w:rPr>
                <w:rFonts w:ascii="Rockwell" w:eastAsia="Times New Roman" w:hAnsi="Rockwell" w:cs="Arial"/>
              </w:rPr>
            </w:pPr>
          </w:p>
        </w:tc>
        <w:tc>
          <w:tcPr>
            <w:tcW w:w="2126" w:type="dxa"/>
          </w:tcPr>
          <w:p w14:paraId="6D936365" w14:textId="77777777" w:rsidR="00794ADD" w:rsidRDefault="00794ADD" w:rsidP="004268DF">
            <w:pPr>
              <w:spacing w:after="200" w:line="276" w:lineRule="auto"/>
              <w:rPr>
                <w:rFonts w:ascii="Rockwell" w:hAnsi="Rockwell" w:cs="Arial"/>
                <w:b/>
                <w:bCs/>
              </w:rPr>
            </w:pPr>
          </w:p>
        </w:tc>
        <w:tc>
          <w:tcPr>
            <w:tcW w:w="1418" w:type="dxa"/>
          </w:tcPr>
          <w:p w14:paraId="4A58FFD2" w14:textId="77777777" w:rsidR="00794ADD" w:rsidRDefault="00794ADD" w:rsidP="004268DF">
            <w:pPr>
              <w:spacing w:after="200" w:line="276" w:lineRule="auto"/>
              <w:rPr>
                <w:rFonts w:ascii="Rockwell" w:hAnsi="Rockwell" w:cs="Arial"/>
                <w:b/>
                <w:bCs/>
              </w:rPr>
            </w:pPr>
          </w:p>
        </w:tc>
      </w:tr>
      <w:tr w:rsidR="00794ADD" w14:paraId="0382A742" w14:textId="77777777" w:rsidTr="006B00C4">
        <w:tc>
          <w:tcPr>
            <w:tcW w:w="959" w:type="dxa"/>
          </w:tcPr>
          <w:p w14:paraId="610DE098" w14:textId="77777777" w:rsidR="00794ADD" w:rsidRPr="006C4285" w:rsidRDefault="00794ADD" w:rsidP="004268DF">
            <w:pPr>
              <w:spacing w:after="200" w:line="276" w:lineRule="auto"/>
              <w:rPr>
                <w:rFonts w:ascii="Rockwell" w:eastAsia="Times New Roman" w:hAnsi="Rockwell" w:cs="Arial"/>
              </w:rPr>
            </w:pPr>
          </w:p>
        </w:tc>
        <w:tc>
          <w:tcPr>
            <w:tcW w:w="1417" w:type="dxa"/>
          </w:tcPr>
          <w:p w14:paraId="6C6E0866" w14:textId="77777777" w:rsidR="00794ADD" w:rsidRPr="006C4285" w:rsidRDefault="00794ADD" w:rsidP="004268DF">
            <w:pPr>
              <w:spacing w:after="200" w:line="276" w:lineRule="auto"/>
              <w:rPr>
                <w:rFonts w:ascii="Rockwell" w:eastAsia="Times New Roman" w:hAnsi="Rockwell" w:cs="Arial"/>
              </w:rPr>
            </w:pPr>
          </w:p>
        </w:tc>
        <w:tc>
          <w:tcPr>
            <w:tcW w:w="4678" w:type="dxa"/>
          </w:tcPr>
          <w:p w14:paraId="54452172" w14:textId="77777777" w:rsidR="00794ADD" w:rsidRPr="006C4285" w:rsidRDefault="00794ADD" w:rsidP="004268DF">
            <w:pPr>
              <w:spacing w:after="200" w:line="276" w:lineRule="auto"/>
              <w:rPr>
                <w:rFonts w:ascii="Rockwell" w:eastAsia="Times New Roman" w:hAnsi="Rockwell" w:cs="Arial"/>
              </w:rPr>
            </w:pPr>
          </w:p>
        </w:tc>
        <w:tc>
          <w:tcPr>
            <w:tcW w:w="2126" w:type="dxa"/>
          </w:tcPr>
          <w:p w14:paraId="7B20FDEF" w14:textId="77777777" w:rsidR="00794ADD" w:rsidRDefault="00794ADD" w:rsidP="004268DF">
            <w:pPr>
              <w:spacing w:after="200" w:line="276" w:lineRule="auto"/>
              <w:rPr>
                <w:rFonts w:ascii="Rockwell" w:hAnsi="Rockwell" w:cs="Arial"/>
                <w:b/>
                <w:bCs/>
              </w:rPr>
            </w:pPr>
          </w:p>
        </w:tc>
        <w:tc>
          <w:tcPr>
            <w:tcW w:w="1418" w:type="dxa"/>
          </w:tcPr>
          <w:p w14:paraId="3BBAACC4" w14:textId="77777777" w:rsidR="00794ADD" w:rsidRDefault="00794ADD" w:rsidP="004268DF">
            <w:pPr>
              <w:spacing w:after="200" w:line="276" w:lineRule="auto"/>
              <w:rPr>
                <w:rFonts w:ascii="Rockwell" w:hAnsi="Rockwell" w:cs="Arial"/>
                <w:b/>
                <w:bCs/>
              </w:rPr>
            </w:pPr>
          </w:p>
        </w:tc>
      </w:tr>
      <w:tr w:rsidR="00794ADD" w14:paraId="127C89E7" w14:textId="77777777" w:rsidTr="006B00C4">
        <w:tc>
          <w:tcPr>
            <w:tcW w:w="959" w:type="dxa"/>
          </w:tcPr>
          <w:p w14:paraId="46575077" w14:textId="77777777" w:rsidR="00794ADD" w:rsidRPr="006C4285" w:rsidRDefault="00794ADD" w:rsidP="004268DF">
            <w:pPr>
              <w:spacing w:after="200" w:line="276" w:lineRule="auto"/>
              <w:rPr>
                <w:rFonts w:ascii="Rockwell" w:eastAsia="Times New Roman" w:hAnsi="Rockwell" w:cs="Arial"/>
              </w:rPr>
            </w:pPr>
          </w:p>
        </w:tc>
        <w:tc>
          <w:tcPr>
            <w:tcW w:w="1417" w:type="dxa"/>
          </w:tcPr>
          <w:p w14:paraId="1EB6B5A2" w14:textId="77777777" w:rsidR="00794ADD" w:rsidRPr="006C4285" w:rsidRDefault="00794ADD" w:rsidP="004268DF">
            <w:pPr>
              <w:spacing w:after="200" w:line="276" w:lineRule="auto"/>
              <w:rPr>
                <w:rFonts w:ascii="Rockwell" w:eastAsia="Times New Roman" w:hAnsi="Rockwell" w:cs="Arial"/>
              </w:rPr>
            </w:pPr>
          </w:p>
        </w:tc>
        <w:tc>
          <w:tcPr>
            <w:tcW w:w="4678" w:type="dxa"/>
          </w:tcPr>
          <w:p w14:paraId="6262B781" w14:textId="77777777" w:rsidR="00794ADD" w:rsidRPr="006C4285" w:rsidRDefault="00794ADD" w:rsidP="004268DF">
            <w:pPr>
              <w:spacing w:after="200" w:line="276" w:lineRule="auto"/>
              <w:rPr>
                <w:rFonts w:ascii="Rockwell" w:eastAsia="Times New Roman" w:hAnsi="Rockwell" w:cs="Arial"/>
              </w:rPr>
            </w:pPr>
          </w:p>
        </w:tc>
        <w:tc>
          <w:tcPr>
            <w:tcW w:w="2126" w:type="dxa"/>
          </w:tcPr>
          <w:p w14:paraId="0026BDCA" w14:textId="77777777" w:rsidR="00794ADD" w:rsidRDefault="00794ADD" w:rsidP="004268DF">
            <w:pPr>
              <w:spacing w:after="200" w:line="276" w:lineRule="auto"/>
              <w:rPr>
                <w:rFonts w:ascii="Rockwell" w:hAnsi="Rockwell" w:cs="Arial"/>
                <w:b/>
                <w:bCs/>
              </w:rPr>
            </w:pPr>
          </w:p>
        </w:tc>
        <w:tc>
          <w:tcPr>
            <w:tcW w:w="1418" w:type="dxa"/>
          </w:tcPr>
          <w:p w14:paraId="694B8D67" w14:textId="77777777" w:rsidR="00794ADD" w:rsidRDefault="00794ADD" w:rsidP="004268DF">
            <w:pPr>
              <w:spacing w:after="200" w:line="276" w:lineRule="auto"/>
              <w:rPr>
                <w:rFonts w:ascii="Rockwell" w:hAnsi="Rockwell" w:cs="Arial"/>
                <w:b/>
                <w:bCs/>
              </w:rPr>
            </w:pPr>
          </w:p>
        </w:tc>
      </w:tr>
      <w:tr w:rsidR="00794ADD" w14:paraId="3F14FE5A" w14:textId="77777777" w:rsidTr="006B00C4">
        <w:tc>
          <w:tcPr>
            <w:tcW w:w="959" w:type="dxa"/>
          </w:tcPr>
          <w:p w14:paraId="4EC330D8" w14:textId="77777777" w:rsidR="00794ADD" w:rsidRPr="006C4285" w:rsidRDefault="00794ADD" w:rsidP="004268DF">
            <w:pPr>
              <w:spacing w:after="200" w:line="276" w:lineRule="auto"/>
              <w:rPr>
                <w:rFonts w:ascii="Rockwell" w:eastAsia="Times New Roman" w:hAnsi="Rockwell" w:cs="Arial"/>
              </w:rPr>
            </w:pPr>
          </w:p>
        </w:tc>
        <w:tc>
          <w:tcPr>
            <w:tcW w:w="1417" w:type="dxa"/>
          </w:tcPr>
          <w:p w14:paraId="3135A4B6" w14:textId="77777777" w:rsidR="00794ADD" w:rsidRPr="006C4285" w:rsidRDefault="00794ADD" w:rsidP="004268DF">
            <w:pPr>
              <w:spacing w:after="200" w:line="276" w:lineRule="auto"/>
              <w:rPr>
                <w:rFonts w:ascii="Rockwell" w:eastAsia="Times New Roman" w:hAnsi="Rockwell" w:cs="Arial"/>
              </w:rPr>
            </w:pPr>
          </w:p>
        </w:tc>
        <w:tc>
          <w:tcPr>
            <w:tcW w:w="4678" w:type="dxa"/>
          </w:tcPr>
          <w:p w14:paraId="71FCB693" w14:textId="77777777" w:rsidR="00794ADD" w:rsidRPr="006C4285" w:rsidRDefault="00794ADD" w:rsidP="004268DF">
            <w:pPr>
              <w:spacing w:after="200" w:line="276" w:lineRule="auto"/>
              <w:rPr>
                <w:rFonts w:ascii="Rockwell" w:eastAsia="Times New Roman" w:hAnsi="Rockwell" w:cs="Arial"/>
              </w:rPr>
            </w:pPr>
          </w:p>
        </w:tc>
        <w:tc>
          <w:tcPr>
            <w:tcW w:w="2126" w:type="dxa"/>
          </w:tcPr>
          <w:p w14:paraId="06F52B27" w14:textId="77777777" w:rsidR="00794ADD" w:rsidRDefault="00794ADD" w:rsidP="004268DF">
            <w:pPr>
              <w:spacing w:after="200" w:line="276" w:lineRule="auto"/>
              <w:rPr>
                <w:rFonts w:ascii="Rockwell" w:hAnsi="Rockwell" w:cs="Arial"/>
                <w:b/>
                <w:bCs/>
              </w:rPr>
            </w:pPr>
          </w:p>
        </w:tc>
        <w:tc>
          <w:tcPr>
            <w:tcW w:w="1418" w:type="dxa"/>
          </w:tcPr>
          <w:p w14:paraId="0685337D" w14:textId="77777777" w:rsidR="00794ADD" w:rsidRDefault="00794ADD" w:rsidP="004268DF">
            <w:pPr>
              <w:spacing w:after="200" w:line="276" w:lineRule="auto"/>
              <w:rPr>
                <w:rFonts w:ascii="Rockwell" w:hAnsi="Rockwell" w:cs="Arial"/>
                <w:b/>
                <w:bCs/>
              </w:rPr>
            </w:pPr>
          </w:p>
        </w:tc>
      </w:tr>
      <w:tr w:rsidR="00C026E4" w14:paraId="6A4AF13D" w14:textId="77777777" w:rsidTr="006B00C4">
        <w:tc>
          <w:tcPr>
            <w:tcW w:w="959" w:type="dxa"/>
          </w:tcPr>
          <w:p w14:paraId="2A64819D" w14:textId="77777777" w:rsidR="00C026E4" w:rsidRPr="006C4285" w:rsidRDefault="00C026E4" w:rsidP="004268DF">
            <w:pPr>
              <w:spacing w:after="200" w:line="276" w:lineRule="auto"/>
              <w:rPr>
                <w:rFonts w:ascii="Rockwell" w:eastAsia="Times New Roman" w:hAnsi="Rockwell" w:cs="Arial"/>
              </w:rPr>
            </w:pPr>
          </w:p>
        </w:tc>
        <w:tc>
          <w:tcPr>
            <w:tcW w:w="1417" w:type="dxa"/>
          </w:tcPr>
          <w:p w14:paraId="6CCD218D" w14:textId="77777777" w:rsidR="00C026E4" w:rsidRPr="006C4285" w:rsidRDefault="00C026E4" w:rsidP="004268DF">
            <w:pPr>
              <w:spacing w:after="200" w:line="276" w:lineRule="auto"/>
              <w:rPr>
                <w:rFonts w:ascii="Rockwell" w:eastAsia="Times New Roman" w:hAnsi="Rockwell" w:cs="Arial"/>
              </w:rPr>
            </w:pPr>
          </w:p>
        </w:tc>
        <w:tc>
          <w:tcPr>
            <w:tcW w:w="4678" w:type="dxa"/>
          </w:tcPr>
          <w:p w14:paraId="148CFCEF" w14:textId="77777777" w:rsidR="00C026E4" w:rsidRPr="006C4285" w:rsidRDefault="00C026E4" w:rsidP="004268DF">
            <w:pPr>
              <w:spacing w:after="200" w:line="276" w:lineRule="auto"/>
              <w:rPr>
                <w:rFonts w:ascii="Rockwell" w:eastAsia="Times New Roman" w:hAnsi="Rockwell" w:cs="Arial"/>
              </w:rPr>
            </w:pPr>
          </w:p>
        </w:tc>
        <w:tc>
          <w:tcPr>
            <w:tcW w:w="2126" w:type="dxa"/>
          </w:tcPr>
          <w:p w14:paraId="7FD02713" w14:textId="77777777" w:rsidR="00C026E4" w:rsidRDefault="00C026E4" w:rsidP="004268DF">
            <w:pPr>
              <w:spacing w:after="200" w:line="276" w:lineRule="auto"/>
              <w:rPr>
                <w:rFonts w:ascii="Rockwell" w:hAnsi="Rockwell" w:cs="Arial"/>
                <w:b/>
                <w:bCs/>
              </w:rPr>
            </w:pPr>
          </w:p>
        </w:tc>
        <w:tc>
          <w:tcPr>
            <w:tcW w:w="1418" w:type="dxa"/>
          </w:tcPr>
          <w:p w14:paraId="6F780454" w14:textId="77777777" w:rsidR="00C026E4" w:rsidRDefault="00C026E4" w:rsidP="004268DF">
            <w:pPr>
              <w:spacing w:after="200" w:line="276" w:lineRule="auto"/>
              <w:rPr>
                <w:rFonts w:ascii="Rockwell" w:hAnsi="Rockwell" w:cs="Arial"/>
                <w:b/>
                <w:bCs/>
              </w:rPr>
            </w:pPr>
          </w:p>
        </w:tc>
      </w:tr>
      <w:tr w:rsidR="00C026E4" w14:paraId="30941787" w14:textId="77777777" w:rsidTr="006B00C4">
        <w:tc>
          <w:tcPr>
            <w:tcW w:w="959" w:type="dxa"/>
          </w:tcPr>
          <w:p w14:paraId="49923CDB" w14:textId="77777777" w:rsidR="00C026E4" w:rsidRPr="006C4285" w:rsidRDefault="00C026E4" w:rsidP="004268DF">
            <w:pPr>
              <w:spacing w:after="200" w:line="276" w:lineRule="auto"/>
              <w:rPr>
                <w:rFonts w:ascii="Rockwell" w:eastAsia="Times New Roman" w:hAnsi="Rockwell" w:cs="Arial"/>
              </w:rPr>
            </w:pPr>
          </w:p>
        </w:tc>
        <w:tc>
          <w:tcPr>
            <w:tcW w:w="1417" w:type="dxa"/>
          </w:tcPr>
          <w:p w14:paraId="0A356D5C" w14:textId="77777777" w:rsidR="00C026E4" w:rsidRPr="006C4285" w:rsidRDefault="00C026E4" w:rsidP="004268DF">
            <w:pPr>
              <w:spacing w:after="200" w:line="276" w:lineRule="auto"/>
              <w:rPr>
                <w:rFonts w:ascii="Rockwell" w:eastAsia="Times New Roman" w:hAnsi="Rockwell" w:cs="Arial"/>
              </w:rPr>
            </w:pPr>
          </w:p>
        </w:tc>
        <w:tc>
          <w:tcPr>
            <w:tcW w:w="4678" w:type="dxa"/>
          </w:tcPr>
          <w:p w14:paraId="3EB1270E" w14:textId="77777777" w:rsidR="00C026E4" w:rsidRPr="006C4285" w:rsidRDefault="00C026E4" w:rsidP="004268DF">
            <w:pPr>
              <w:spacing w:after="200" w:line="276" w:lineRule="auto"/>
              <w:rPr>
                <w:rFonts w:ascii="Rockwell" w:eastAsia="Times New Roman" w:hAnsi="Rockwell" w:cs="Arial"/>
              </w:rPr>
            </w:pPr>
          </w:p>
        </w:tc>
        <w:tc>
          <w:tcPr>
            <w:tcW w:w="2126" w:type="dxa"/>
          </w:tcPr>
          <w:p w14:paraId="2D342C9D" w14:textId="77777777" w:rsidR="00C026E4" w:rsidRDefault="00C026E4" w:rsidP="004268DF">
            <w:pPr>
              <w:spacing w:after="200" w:line="276" w:lineRule="auto"/>
              <w:rPr>
                <w:rFonts w:ascii="Rockwell" w:hAnsi="Rockwell" w:cs="Arial"/>
                <w:b/>
                <w:bCs/>
              </w:rPr>
            </w:pPr>
          </w:p>
        </w:tc>
        <w:tc>
          <w:tcPr>
            <w:tcW w:w="1418" w:type="dxa"/>
          </w:tcPr>
          <w:p w14:paraId="45A0456C" w14:textId="77777777" w:rsidR="00C026E4" w:rsidRDefault="00C026E4" w:rsidP="004268DF">
            <w:pPr>
              <w:spacing w:after="200" w:line="276" w:lineRule="auto"/>
              <w:rPr>
                <w:rFonts w:ascii="Rockwell" w:hAnsi="Rockwell" w:cs="Arial"/>
                <w:b/>
                <w:bCs/>
              </w:rPr>
            </w:pPr>
          </w:p>
        </w:tc>
      </w:tr>
      <w:bookmarkEnd w:id="4"/>
    </w:tbl>
    <w:p w14:paraId="03510766" w14:textId="79F8BFC4" w:rsidR="00DE706D" w:rsidRDefault="00DE706D">
      <w:pPr>
        <w:spacing w:after="200" w:line="276" w:lineRule="auto"/>
        <w:rPr>
          <w:rFonts w:ascii="Rockwell" w:eastAsia="Times New Roman" w:hAnsi="Rockwell" w:cs="Times New Roman"/>
          <w:b/>
          <w:color w:val="003399"/>
          <w:sz w:val="28"/>
          <w:szCs w:val="28"/>
          <w:lang w:val="en"/>
        </w:rPr>
      </w:pPr>
      <w:r>
        <w:rPr>
          <w:rFonts w:ascii="Rockwell" w:hAnsi="Rockwell"/>
          <w:lang w:val="en"/>
        </w:rPr>
        <w:br w:type="page"/>
      </w:r>
    </w:p>
    <w:bookmarkEnd w:id="5"/>
    <w:p w14:paraId="236EA886" w14:textId="5AFFE4A2" w:rsidR="00E5628D" w:rsidRDefault="00C026E4" w:rsidP="00C026E4">
      <w:pPr>
        <w:pStyle w:val="Headinglevel1"/>
        <w:spacing w:before="240"/>
        <w:rPr>
          <w:rFonts w:ascii="Rockwell" w:hAnsi="Rockwell"/>
          <w:lang w:val="en"/>
        </w:rPr>
      </w:pPr>
      <w:r w:rsidRPr="00D24906">
        <w:rPr>
          <w:rFonts w:ascii="Rockwell" w:hAnsi="Rockwell"/>
          <w:lang w:val="en"/>
        </w:rPr>
        <w:lastRenderedPageBreak/>
        <w:t>Further guidance to inform and implement appeals procedures</w:t>
      </w:r>
    </w:p>
    <w:p w14:paraId="6743F0BF" w14:textId="79CFAA1B" w:rsidR="0038011C" w:rsidRPr="00794ADD" w:rsidRDefault="0038011C" w:rsidP="00C026E4">
      <w:pPr>
        <w:spacing w:before="100" w:beforeAutospacing="1" w:after="100" w:afterAutospacing="1" w:line="276" w:lineRule="auto"/>
        <w:rPr>
          <w:rFonts w:ascii="Rockwell" w:hAnsi="Rockwell" w:cs="Arial"/>
          <w:b/>
          <w:color w:val="333333"/>
          <w:sz w:val="24"/>
          <w:szCs w:val="24"/>
        </w:rPr>
      </w:pPr>
      <w:r w:rsidRPr="00794ADD">
        <w:rPr>
          <w:rFonts w:ascii="Rockwell" w:hAnsi="Rockwell" w:cs="Arial"/>
          <w:b/>
          <w:color w:val="333333"/>
          <w:sz w:val="24"/>
          <w:szCs w:val="24"/>
        </w:rPr>
        <w:t>JCQ</w:t>
      </w:r>
      <w:r w:rsidR="00FD0BEB">
        <w:rPr>
          <w:rFonts w:ascii="Rockwell" w:hAnsi="Rockwell" w:cs="Arial"/>
          <w:b/>
          <w:color w:val="333333"/>
          <w:sz w:val="24"/>
          <w:szCs w:val="24"/>
        </w:rPr>
        <w:t xml:space="preserve"> </w:t>
      </w:r>
      <w:r w:rsidR="00FD0BEB" w:rsidRPr="007F7E98">
        <w:rPr>
          <w:rFonts w:ascii="Rockwell" w:hAnsi="Rockwell" w:cs="Arial"/>
          <w:b/>
          <w:color w:val="333333"/>
          <w:sz w:val="24"/>
          <w:szCs w:val="24"/>
        </w:rPr>
        <w:t>publications</w:t>
      </w:r>
    </w:p>
    <w:p w14:paraId="7924B6E0" w14:textId="77777777" w:rsidR="0017668C" w:rsidRPr="00FD0BEB" w:rsidRDefault="0038011C" w:rsidP="00C026E4">
      <w:pPr>
        <w:numPr>
          <w:ilvl w:val="0"/>
          <w:numId w:val="14"/>
        </w:numPr>
        <w:spacing w:after="0" w:line="276" w:lineRule="auto"/>
        <w:rPr>
          <w:rFonts w:ascii="Rockwell" w:hAnsi="Rockwell" w:cs="Arial"/>
          <w:i/>
          <w:color w:val="333333"/>
          <w:sz w:val="24"/>
          <w:szCs w:val="24"/>
        </w:rPr>
      </w:pPr>
      <w:r w:rsidRPr="00FD0BEB">
        <w:rPr>
          <w:rFonts w:ascii="Rockwell" w:hAnsi="Rockwell" w:cs="Arial"/>
          <w:i/>
          <w:color w:val="333333"/>
          <w:sz w:val="24"/>
          <w:szCs w:val="24"/>
        </w:rPr>
        <w:t xml:space="preserve">General Regulations for Approved Centres </w:t>
      </w:r>
    </w:p>
    <w:p w14:paraId="3477C7F3" w14:textId="1DCA68D7" w:rsidR="0038011C" w:rsidRPr="00794ADD" w:rsidRDefault="0038011C" w:rsidP="00C026E4">
      <w:pPr>
        <w:spacing w:after="0" w:line="276" w:lineRule="auto"/>
        <w:ind w:left="720"/>
        <w:rPr>
          <w:rFonts w:ascii="Rockwell" w:hAnsi="Rockwell" w:cs="Arial"/>
          <w:color w:val="333333"/>
          <w:sz w:val="24"/>
          <w:szCs w:val="24"/>
        </w:rPr>
      </w:pPr>
      <w:hyperlink r:id="rId16" w:history="1">
        <w:r w:rsidRPr="00794ADD">
          <w:rPr>
            <w:rStyle w:val="Hyperlink"/>
            <w:rFonts w:ascii="Rockwell" w:hAnsi="Rockwell" w:cs="Arial"/>
            <w:sz w:val="24"/>
            <w:szCs w:val="24"/>
          </w:rPr>
          <w:t>https://www.jcq.org.uk/exams-office/general-regulations</w:t>
        </w:r>
      </w:hyperlink>
      <w:r w:rsidRPr="00794ADD">
        <w:rPr>
          <w:rFonts w:ascii="Rockwell" w:hAnsi="Rockwell" w:cs="Arial"/>
          <w:color w:val="333333"/>
          <w:sz w:val="24"/>
          <w:szCs w:val="24"/>
        </w:rPr>
        <w:t xml:space="preserve"> </w:t>
      </w:r>
    </w:p>
    <w:p w14:paraId="117F3B3C" w14:textId="77777777" w:rsidR="0017668C" w:rsidRPr="00FD0BEB" w:rsidRDefault="00794ADD" w:rsidP="00C026E4">
      <w:pPr>
        <w:numPr>
          <w:ilvl w:val="0"/>
          <w:numId w:val="14"/>
        </w:numPr>
        <w:spacing w:after="0" w:line="276" w:lineRule="auto"/>
        <w:rPr>
          <w:rFonts w:ascii="Rockwell" w:hAnsi="Rockwell" w:cs="Arial"/>
          <w:i/>
          <w:color w:val="333333"/>
          <w:sz w:val="24"/>
          <w:szCs w:val="24"/>
        </w:rPr>
      </w:pPr>
      <w:r w:rsidRPr="00FD0BEB">
        <w:rPr>
          <w:rFonts w:ascii="Rockwell" w:hAnsi="Rockwell" w:cs="Arial"/>
          <w:i/>
          <w:color w:val="333333"/>
          <w:sz w:val="24"/>
          <w:szCs w:val="24"/>
        </w:rPr>
        <w:t>Post-</w:t>
      </w:r>
      <w:r w:rsidR="0038011C" w:rsidRPr="00FD0BEB">
        <w:rPr>
          <w:rFonts w:ascii="Rockwell" w:hAnsi="Rockwell" w:cs="Arial"/>
          <w:i/>
          <w:color w:val="333333"/>
          <w:sz w:val="24"/>
          <w:szCs w:val="24"/>
        </w:rPr>
        <w:t xml:space="preserve">Results Services </w:t>
      </w:r>
    </w:p>
    <w:p w14:paraId="723E72B7" w14:textId="4830C195" w:rsidR="0038011C" w:rsidRPr="00794ADD" w:rsidRDefault="0038011C" w:rsidP="00C026E4">
      <w:pPr>
        <w:spacing w:after="0" w:line="276" w:lineRule="auto"/>
        <w:ind w:left="720"/>
        <w:rPr>
          <w:rFonts w:ascii="Rockwell" w:hAnsi="Rockwell" w:cs="Arial"/>
          <w:color w:val="333333"/>
          <w:sz w:val="24"/>
          <w:szCs w:val="24"/>
        </w:rPr>
      </w:pPr>
      <w:hyperlink r:id="rId17" w:history="1">
        <w:r w:rsidRPr="00794ADD">
          <w:rPr>
            <w:rStyle w:val="Hyperlink"/>
            <w:rFonts w:ascii="Rockwell" w:hAnsi="Rockwell" w:cs="Arial"/>
            <w:sz w:val="24"/>
            <w:szCs w:val="24"/>
          </w:rPr>
          <w:t>https://www.jcq.org.uk/exams-office/post-results-services</w:t>
        </w:r>
      </w:hyperlink>
      <w:r w:rsidRPr="00794ADD">
        <w:rPr>
          <w:rFonts w:ascii="Rockwell" w:hAnsi="Rockwell" w:cs="Arial"/>
          <w:color w:val="333333"/>
          <w:sz w:val="24"/>
          <w:szCs w:val="24"/>
        </w:rPr>
        <w:t xml:space="preserve"> </w:t>
      </w:r>
    </w:p>
    <w:p w14:paraId="5A79FAED" w14:textId="77777777" w:rsidR="0017668C" w:rsidRPr="00FD0BEB" w:rsidRDefault="0038011C" w:rsidP="00C026E4">
      <w:pPr>
        <w:numPr>
          <w:ilvl w:val="0"/>
          <w:numId w:val="14"/>
        </w:numPr>
        <w:spacing w:after="0" w:line="276" w:lineRule="auto"/>
        <w:rPr>
          <w:rFonts w:ascii="Rockwell" w:hAnsi="Rockwell" w:cs="Arial"/>
          <w:i/>
          <w:color w:val="333333"/>
          <w:sz w:val="24"/>
          <w:szCs w:val="24"/>
        </w:rPr>
      </w:pPr>
      <w:r w:rsidRPr="00FD0BEB">
        <w:rPr>
          <w:rFonts w:ascii="Rockwell" w:hAnsi="Rockwell" w:cs="Arial"/>
          <w:i/>
          <w:color w:val="333333"/>
          <w:sz w:val="24"/>
          <w:szCs w:val="24"/>
        </w:rPr>
        <w:t xml:space="preserve">JCQ Appeals Booklet </w:t>
      </w:r>
    </w:p>
    <w:p w14:paraId="60C3D495" w14:textId="12978946" w:rsidR="0038011C" w:rsidRDefault="0038011C" w:rsidP="00C026E4">
      <w:pPr>
        <w:spacing w:after="0" w:line="276" w:lineRule="auto"/>
        <w:ind w:left="720"/>
        <w:rPr>
          <w:rFonts w:ascii="Rockwell" w:hAnsi="Rockwell" w:cs="Arial"/>
          <w:color w:val="333333"/>
          <w:sz w:val="24"/>
          <w:szCs w:val="24"/>
        </w:rPr>
      </w:pPr>
      <w:hyperlink r:id="rId18" w:history="1">
        <w:r w:rsidRPr="00794ADD">
          <w:rPr>
            <w:rStyle w:val="Hyperlink"/>
            <w:rFonts w:ascii="Rockwell" w:hAnsi="Rockwell" w:cs="Arial"/>
            <w:sz w:val="24"/>
            <w:szCs w:val="24"/>
          </w:rPr>
          <w:t>https://www.jcq.org.uk/exams-office/appeals</w:t>
        </w:r>
      </w:hyperlink>
      <w:r w:rsidRPr="00794ADD">
        <w:rPr>
          <w:rFonts w:ascii="Rockwell" w:hAnsi="Rockwell" w:cs="Arial"/>
          <w:color w:val="333333"/>
          <w:sz w:val="24"/>
          <w:szCs w:val="24"/>
        </w:rPr>
        <w:t xml:space="preserve"> </w:t>
      </w:r>
    </w:p>
    <w:p w14:paraId="344B84FD" w14:textId="2085F323" w:rsidR="00C026E4" w:rsidRPr="00FD0BEB" w:rsidRDefault="0017668C" w:rsidP="00C026E4">
      <w:pPr>
        <w:numPr>
          <w:ilvl w:val="0"/>
          <w:numId w:val="14"/>
        </w:numPr>
        <w:spacing w:after="0" w:line="276" w:lineRule="auto"/>
        <w:rPr>
          <w:rFonts w:ascii="Rockwell" w:hAnsi="Rockwell" w:cs="Arial"/>
          <w:i/>
          <w:color w:val="333333"/>
          <w:sz w:val="24"/>
          <w:szCs w:val="24"/>
        </w:rPr>
      </w:pPr>
      <w:r w:rsidRPr="00FD0BEB">
        <w:rPr>
          <w:rFonts w:ascii="Rockwell" w:hAnsi="Rockwell" w:cs="Arial"/>
          <w:i/>
          <w:sz w:val="24"/>
          <w:szCs w:val="24"/>
        </w:rPr>
        <w:t xml:space="preserve">Notice to Centres - Reviews of </w:t>
      </w:r>
      <w:r w:rsidR="00C026E4" w:rsidRPr="00FD0BEB">
        <w:rPr>
          <w:rFonts w:ascii="Rockwell" w:hAnsi="Rockwell" w:cs="Arial"/>
          <w:i/>
          <w:sz w:val="24"/>
          <w:szCs w:val="24"/>
        </w:rPr>
        <w:t>marking (centre assessed marks)</w:t>
      </w:r>
    </w:p>
    <w:p w14:paraId="788B213E" w14:textId="77777777" w:rsidR="00C026E4" w:rsidRDefault="0017668C" w:rsidP="00C026E4">
      <w:pPr>
        <w:spacing w:after="0" w:line="276" w:lineRule="auto"/>
        <w:ind w:left="720"/>
        <w:rPr>
          <w:rFonts w:ascii="Rockwell" w:hAnsi="Rockwell" w:cs="Arial"/>
          <w:color w:val="333333"/>
          <w:sz w:val="24"/>
          <w:szCs w:val="24"/>
        </w:rPr>
      </w:pPr>
      <w:hyperlink r:id="rId19" w:history="1">
        <w:r w:rsidRPr="0017668C">
          <w:rPr>
            <w:rStyle w:val="Hyperlink"/>
            <w:rFonts w:ascii="Rockwell" w:hAnsi="Rockwell" w:cs="Arial"/>
            <w:sz w:val="24"/>
            <w:szCs w:val="24"/>
          </w:rPr>
          <w:t>https://www.jcq.org.uk/exams-office/coursework</w:t>
        </w:r>
      </w:hyperlink>
      <w:r w:rsidRPr="0017668C">
        <w:rPr>
          <w:rFonts w:ascii="Rockwell" w:hAnsi="Rockwell" w:cs="Arial"/>
          <w:color w:val="333333"/>
          <w:sz w:val="24"/>
          <w:szCs w:val="24"/>
        </w:rPr>
        <w:t xml:space="preserve"> </w:t>
      </w:r>
    </w:p>
    <w:p w14:paraId="7EC46A0D" w14:textId="28AF4BF9" w:rsidR="00D54380" w:rsidRDefault="0017668C" w:rsidP="00D54380">
      <w:pPr>
        <w:spacing w:after="0" w:line="276" w:lineRule="auto"/>
        <w:ind w:left="720"/>
        <w:rPr>
          <w:rFonts w:ascii="Rockwell" w:hAnsi="Rockwell" w:cs="Arial"/>
          <w:color w:val="333333"/>
          <w:sz w:val="24"/>
          <w:szCs w:val="24"/>
        </w:rPr>
      </w:pPr>
      <w:hyperlink r:id="rId20" w:history="1">
        <w:r w:rsidRPr="0017668C">
          <w:rPr>
            <w:rStyle w:val="Hyperlink"/>
            <w:rFonts w:ascii="Rockwell" w:hAnsi="Rockwell" w:cs="Arial"/>
            <w:sz w:val="24"/>
            <w:szCs w:val="24"/>
          </w:rPr>
          <w:t>https://www.jcq.org.uk/exams-office/non-examination-assessments</w:t>
        </w:r>
      </w:hyperlink>
      <w:r w:rsidRPr="0017668C">
        <w:rPr>
          <w:rFonts w:ascii="Rockwell" w:hAnsi="Rockwell" w:cs="Arial"/>
          <w:color w:val="333333"/>
          <w:sz w:val="24"/>
          <w:szCs w:val="24"/>
        </w:rPr>
        <w:t xml:space="preserve"> </w:t>
      </w:r>
    </w:p>
    <w:p w14:paraId="7DAC3BBC" w14:textId="131C2294" w:rsidR="00D54380" w:rsidRDefault="00D54380" w:rsidP="00D54380">
      <w:pPr>
        <w:numPr>
          <w:ilvl w:val="0"/>
          <w:numId w:val="14"/>
        </w:numPr>
        <w:spacing w:after="0" w:line="276" w:lineRule="auto"/>
        <w:rPr>
          <w:rFonts w:ascii="Rockwell" w:hAnsi="Rockwell" w:cs="Arial"/>
          <w:color w:val="333333"/>
          <w:sz w:val="24"/>
          <w:szCs w:val="24"/>
        </w:rPr>
      </w:pPr>
      <w:r w:rsidRPr="00FD0BEB">
        <w:rPr>
          <w:rFonts w:ascii="Rockwell" w:hAnsi="Rockwell" w:cs="Arial"/>
          <w:i/>
          <w:color w:val="333333"/>
          <w:sz w:val="24"/>
          <w:szCs w:val="24"/>
        </w:rPr>
        <w:t>Notice to Centres – informing candidates of their centre assessed marks</w:t>
      </w:r>
      <w:r>
        <w:rPr>
          <w:rFonts w:ascii="Rockwell" w:hAnsi="Rockwell" w:cs="Arial"/>
          <w:color w:val="333333"/>
          <w:sz w:val="24"/>
          <w:szCs w:val="24"/>
        </w:rPr>
        <w:t xml:space="preserve"> </w:t>
      </w:r>
      <w:hyperlink r:id="rId21" w:history="1">
        <w:r w:rsidRPr="00C779C1">
          <w:rPr>
            <w:rStyle w:val="Hyperlink"/>
            <w:rFonts w:ascii="Rockwell" w:hAnsi="Rockwell" w:cs="Arial"/>
            <w:sz w:val="24"/>
            <w:szCs w:val="24"/>
          </w:rPr>
          <w:t>https://www.jcq.org.uk/exams-office/non-examination-assessments</w:t>
        </w:r>
      </w:hyperlink>
      <w:r>
        <w:rPr>
          <w:rFonts w:ascii="Rockwell" w:hAnsi="Rockwell" w:cs="Arial"/>
          <w:color w:val="333333"/>
          <w:sz w:val="24"/>
          <w:szCs w:val="24"/>
        </w:rPr>
        <w:t xml:space="preserve"> </w:t>
      </w:r>
    </w:p>
    <w:p w14:paraId="68025909" w14:textId="77777777" w:rsidR="00D54380" w:rsidRPr="00D54380" w:rsidRDefault="00D54380" w:rsidP="00D54380">
      <w:pPr>
        <w:spacing w:after="0" w:line="276" w:lineRule="auto"/>
        <w:ind w:left="720"/>
        <w:rPr>
          <w:rFonts w:ascii="Rockwell" w:hAnsi="Rockwell" w:cs="Arial"/>
          <w:color w:val="333333"/>
          <w:sz w:val="24"/>
          <w:szCs w:val="24"/>
        </w:rPr>
      </w:pPr>
    </w:p>
    <w:p w14:paraId="53BF4CF1" w14:textId="16995CEE" w:rsidR="0038011C" w:rsidRPr="00794ADD" w:rsidRDefault="0038011C" w:rsidP="00C026E4">
      <w:pPr>
        <w:spacing w:before="100" w:beforeAutospacing="1" w:after="100" w:afterAutospacing="1" w:line="276" w:lineRule="auto"/>
        <w:rPr>
          <w:rFonts w:ascii="Rockwell" w:hAnsi="Rockwell" w:cs="Arial"/>
          <w:b/>
          <w:color w:val="333333"/>
          <w:sz w:val="24"/>
          <w:szCs w:val="24"/>
        </w:rPr>
      </w:pPr>
      <w:r w:rsidRPr="00794ADD">
        <w:rPr>
          <w:rFonts w:ascii="Rockwell" w:hAnsi="Rockwell" w:cs="Arial"/>
          <w:b/>
          <w:color w:val="333333"/>
          <w:sz w:val="24"/>
          <w:szCs w:val="24"/>
        </w:rPr>
        <w:t xml:space="preserve">Ofqual </w:t>
      </w:r>
      <w:r w:rsidR="00FD0BEB" w:rsidRPr="007F7E98">
        <w:rPr>
          <w:rFonts w:ascii="Rockwell" w:hAnsi="Rockwell" w:cs="Arial"/>
          <w:b/>
          <w:color w:val="333333"/>
          <w:sz w:val="24"/>
          <w:szCs w:val="24"/>
        </w:rPr>
        <w:t>publications</w:t>
      </w:r>
    </w:p>
    <w:p w14:paraId="6CF79A35" w14:textId="77777777" w:rsidR="00E5628D" w:rsidRPr="00794ADD" w:rsidRDefault="00E5628D" w:rsidP="00C026E4">
      <w:pPr>
        <w:numPr>
          <w:ilvl w:val="0"/>
          <w:numId w:val="14"/>
        </w:numPr>
        <w:spacing w:before="100" w:beforeAutospacing="1" w:after="100" w:afterAutospacing="1" w:line="276" w:lineRule="auto"/>
        <w:rPr>
          <w:rFonts w:ascii="Rockwell" w:hAnsi="Rockwell" w:cs="Arial"/>
          <w:color w:val="333333"/>
          <w:sz w:val="24"/>
          <w:szCs w:val="24"/>
        </w:rPr>
      </w:pPr>
      <w:r w:rsidRPr="00FD0BEB">
        <w:rPr>
          <w:rFonts w:ascii="Rockwell" w:hAnsi="Rockwell" w:cs="Arial"/>
          <w:i/>
          <w:color w:val="333333"/>
          <w:sz w:val="24"/>
          <w:szCs w:val="24"/>
        </w:rPr>
        <w:t>GCSE (9 to 1) qualification-level conditions and requirements</w:t>
      </w:r>
      <w:r w:rsidR="0038011C" w:rsidRPr="00FD0BEB">
        <w:rPr>
          <w:rFonts w:ascii="Rockwell" w:hAnsi="Rockwell" w:cs="Arial"/>
          <w:i/>
          <w:color w:val="333333"/>
          <w:sz w:val="24"/>
          <w:szCs w:val="24"/>
        </w:rPr>
        <w:t xml:space="preserve"> </w:t>
      </w:r>
      <w:hyperlink r:id="rId22" w:history="1">
        <w:r w:rsidR="0038011C" w:rsidRPr="00794ADD">
          <w:rPr>
            <w:rStyle w:val="Hyperlink"/>
            <w:rFonts w:ascii="Rockwell" w:hAnsi="Rockwell" w:cs="Arial"/>
            <w:sz w:val="24"/>
            <w:szCs w:val="24"/>
          </w:rPr>
          <w:t>https://www.gov.uk/government/publications/gcse-9-to-1-qualification-level-conditions</w:t>
        </w:r>
      </w:hyperlink>
      <w:r w:rsidR="0038011C" w:rsidRPr="00794ADD">
        <w:rPr>
          <w:rFonts w:ascii="Rockwell" w:hAnsi="Rockwell" w:cs="Arial"/>
          <w:color w:val="333333"/>
          <w:sz w:val="24"/>
          <w:szCs w:val="24"/>
        </w:rPr>
        <w:t xml:space="preserve"> </w:t>
      </w:r>
      <w:r w:rsidRPr="00794ADD">
        <w:rPr>
          <w:rFonts w:ascii="Rockwell" w:hAnsi="Rockwell" w:cs="Arial"/>
          <w:color w:val="0000FF"/>
          <w:sz w:val="24"/>
          <w:szCs w:val="24"/>
        </w:rPr>
        <w:t xml:space="preserve">  </w:t>
      </w:r>
    </w:p>
    <w:p w14:paraId="33E2CA6A" w14:textId="77777777" w:rsidR="0017668C" w:rsidRPr="00073DAC" w:rsidRDefault="00E5628D" w:rsidP="00C026E4">
      <w:pPr>
        <w:numPr>
          <w:ilvl w:val="0"/>
          <w:numId w:val="14"/>
        </w:numPr>
        <w:spacing w:before="100" w:beforeAutospacing="1" w:after="0" w:line="276" w:lineRule="auto"/>
        <w:rPr>
          <w:rFonts w:ascii="Rockwell" w:hAnsi="Rockwell" w:cs="Arial"/>
          <w:i/>
          <w:color w:val="333333"/>
          <w:sz w:val="24"/>
          <w:szCs w:val="24"/>
        </w:rPr>
      </w:pPr>
      <w:r w:rsidRPr="00073DAC">
        <w:rPr>
          <w:rFonts w:ascii="Rockwell" w:hAnsi="Rockwell" w:cs="Arial"/>
          <w:i/>
          <w:color w:val="333333"/>
          <w:sz w:val="24"/>
          <w:szCs w:val="24"/>
        </w:rPr>
        <w:t>GCSE (A* to G) qua</w:t>
      </w:r>
      <w:r w:rsidR="0017668C" w:rsidRPr="00073DAC">
        <w:rPr>
          <w:rFonts w:ascii="Rockwell" w:hAnsi="Rockwell" w:cs="Arial"/>
          <w:i/>
          <w:color w:val="333333"/>
          <w:sz w:val="24"/>
          <w:szCs w:val="24"/>
        </w:rPr>
        <w:t>lification-level conditions and requirements</w:t>
      </w:r>
    </w:p>
    <w:p w14:paraId="71E3C93B" w14:textId="23274084" w:rsidR="00E5628D" w:rsidRPr="0017668C" w:rsidRDefault="0038011C" w:rsidP="00C026E4">
      <w:pPr>
        <w:spacing w:after="0" w:line="276" w:lineRule="auto"/>
        <w:ind w:left="720"/>
        <w:rPr>
          <w:rFonts w:ascii="Rockwell" w:hAnsi="Rockwell" w:cs="Arial"/>
          <w:color w:val="333333"/>
          <w:sz w:val="24"/>
          <w:szCs w:val="24"/>
        </w:rPr>
      </w:pPr>
      <w:hyperlink r:id="rId23" w:history="1">
        <w:r w:rsidRPr="0017668C">
          <w:rPr>
            <w:rStyle w:val="Hyperlink"/>
            <w:rFonts w:ascii="Rockwell" w:hAnsi="Rockwell" w:cs="Arial"/>
            <w:sz w:val="24"/>
            <w:szCs w:val="24"/>
          </w:rPr>
          <w:t>https://www.gov.uk/government/publications/gcse-a-to-g-qualification-level-conditions-and-requirements</w:t>
        </w:r>
      </w:hyperlink>
      <w:r w:rsidRPr="0017668C">
        <w:rPr>
          <w:rFonts w:ascii="Rockwell" w:hAnsi="Rockwell" w:cs="Arial"/>
          <w:color w:val="0000FF"/>
          <w:sz w:val="24"/>
          <w:szCs w:val="24"/>
        </w:rPr>
        <w:t xml:space="preserve"> </w:t>
      </w:r>
    </w:p>
    <w:p w14:paraId="4AABBE84" w14:textId="77777777" w:rsidR="00E5628D" w:rsidRPr="00794ADD" w:rsidRDefault="00E5628D" w:rsidP="00C026E4">
      <w:pPr>
        <w:numPr>
          <w:ilvl w:val="0"/>
          <w:numId w:val="14"/>
        </w:numPr>
        <w:spacing w:after="100" w:afterAutospacing="1" w:line="276" w:lineRule="auto"/>
        <w:rPr>
          <w:rFonts w:ascii="Rockwell" w:hAnsi="Rockwell" w:cs="Arial"/>
          <w:color w:val="333333"/>
          <w:sz w:val="24"/>
          <w:szCs w:val="24"/>
        </w:rPr>
      </w:pPr>
      <w:r w:rsidRPr="00AB60E7">
        <w:rPr>
          <w:rFonts w:ascii="Rockwell" w:hAnsi="Rockwell" w:cs="Arial"/>
          <w:i/>
          <w:color w:val="333333"/>
          <w:sz w:val="24"/>
          <w:szCs w:val="24"/>
        </w:rPr>
        <w:t>GCE qualification-level conditions and requirements</w:t>
      </w:r>
      <w:r w:rsidR="0038011C" w:rsidRPr="00794ADD">
        <w:rPr>
          <w:rFonts w:ascii="Rockwell" w:hAnsi="Rockwell" w:cs="Arial"/>
          <w:color w:val="333333"/>
          <w:sz w:val="24"/>
          <w:szCs w:val="24"/>
        </w:rPr>
        <w:t xml:space="preserve"> </w:t>
      </w:r>
      <w:hyperlink r:id="rId24" w:history="1">
        <w:r w:rsidR="0038011C" w:rsidRPr="00794ADD">
          <w:rPr>
            <w:rStyle w:val="Hyperlink"/>
            <w:rFonts w:ascii="Rockwell" w:hAnsi="Rockwell" w:cs="Arial"/>
            <w:sz w:val="24"/>
            <w:szCs w:val="24"/>
          </w:rPr>
          <w:t>https://www.gov.uk/government/publications/gce-qualification-level-conditions-and-requirements</w:t>
        </w:r>
      </w:hyperlink>
      <w:r w:rsidR="0038011C" w:rsidRPr="00794ADD">
        <w:rPr>
          <w:rFonts w:ascii="Rockwell" w:hAnsi="Rockwell" w:cs="Arial"/>
          <w:color w:val="333333"/>
          <w:sz w:val="24"/>
          <w:szCs w:val="24"/>
        </w:rPr>
        <w:t xml:space="preserve"> </w:t>
      </w:r>
    </w:p>
    <w:p w14:paraId="39B89EF4" w14:textId="77777777" w:rsidR="00E5628D" w:rsidRPr="00794ADD" w:rsidRDefault="00E5628D" w:rsidP="006B00C4">
      <w:pPr>
        <w:numPr>
          <w:ilvl w:val="0"/>
          <w:numId w:val="14"/>
        </w:numPr>
        <w:spacing w:before="100" w:beforeAutospacing="1" w:after="100" w:afterAutospacing="1" w:line="276" w:lineRule="auto"/>
        <w:rPr>
          <w:rFonts w:ascii="Rockwell" w:hAnsi="Rockwell" w:cs="Arial"/>
          <w:color w:val="333333"/>
          <w:sz w:val="24"/>
          <w:szCs w:val="24"/>
        </w:rPr>
      </w:pPr>
      <w:r w:rsidRPr="00AB60E7">
        <w:rPr>
          <w:rFonts w:ascii="Rockwell" w:hAnsi="Rockwell" w:cs="Arial"/>
          <w:i/>
          <w:color w:val="333333"/>
          <w:sz w:val="24"/>
          <w:szCs w:val="24"/>
        </w:rPr>
        <w:t>Pre-reform GCE qualification-level conditions and requirements</w:t>
      </w:r>
      <w:r w:rsidR="0038011C" w:rsidRPr="00794ADD">
        <w:rPr>
          <w:rFonts w:ascii="Rockwell" w:hAnsi="Rockwell" w:cs="Arial"/>
          <w:color w:val="333333"/>
          <w:sz w:val="24"/>
          <w:szCs w:val="24"/>
        </w:rPr>
        <w:t xml:space="preserve"> </w:t>
      </w:r>
      <w:hyperlink r:id="rId25" w:history="1">
        <w:r w:rsidR="0038011C" w:rsidRPr="00794ADD">
          <w:rPr>
            <w:rStyle w:val="Hyperlink"/>
            <w:rFonts w:ascii="Rockwell" w:hAnsi="Rockwell" w:cs="Arial"/>
            <w:sz w:val="24"/>
            <w:szCs w:val="24"/>
          </w:rPr>
          <w:t>https://www.gov.uk/government/publications/gce-qualification-level-conditions-for-pre-reform-qualifications</w:t>
        </w:r>
      </w:hyperlink>
      <w:r w:rsidR="0038011C" w:rsidRPr="00794ADD">
        <w:rPr>
          <w:rFonts w:ascii="Rockwell" w:hAnsi="Rockwell" w:cs="Arial"/>
          <w:color w:val="333333"/>
          <w:sz w:val="24"/>
          <w:szCs w:val="24"/>
        </w:rPr>
        <w:t xml:space="preserve"> </w:t>
      </w:r>
      <w:r w:rsidRPr="00794ADD">
        <w:rPr>
          <w:rFonts w:ascii="Rockwell" w:hAnsi="Rockwell" w:cs="Arial"/>
          <w:color w:val="0000FF"/>
          <w:sz w:val="24"/>
          <w:szCs w:val="24"/>
        </w:rPr>
        <w:t xml:space="preserve">   </w:t>
      </w:r>
    </w:p>
    <w:p w14:paraId="7AB6B7AD" w14:textId="77777777" w:rsidR="00E97999" w:rsidRPr="006C4285" w:rsidRDefault="00E97999" w:rsidP="00E5628D">
      <w:pPr>
        <w:spacing w:after="200" w:line="276" w:lineRule="auto"/>
        <w:rPr>
          <w:rFonts w:ascii="Rockwell" w:hAnsi="Rockwell" w:cs="Arial"/>
          <w:b/>
          <w:bCs/>
        </w:rPr>
      </w:pPr>
    </w:p>
    <w:sectPr w:rsidR="00E97999" w:rsidRPr="006C4285" w:rsidSect="00DC5489">
      <w:footerReference w:type="default" r:id="rId26"/>
      <w:footerReference w:type="first" r:id="rId27"/>
      <w:pgSz w:w="11906" w:h="16838" w:code="9"/>
      <w:pgMar w:top="720" w:right="720" w:bottom="868" w:left="720"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E2138" w14:textId="77777777" w:rsidR="00B30FDB" w:rsidRDefault="00B30FDB" w:rsidP="00572EAE">
      <w:pPr>
        <w:spacing w:after="0"/>
      </w:pPr>
      <w:r>
        <w:separator/>
      </w:r>
    </w:p>
  </w:endnote>
  <w:endnote w:type="continuationSeparator" w:id="0">
    <w:p w14:paraId="292D9F8D" w14:textId="77777777" w:rsidR="00B30FDB" w:rsidRDefault="00B30FDB" w:rsidP="00572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Rockwell Condensed">
    <w:panose1 w:val="020606030504050201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61084" w14:textId="0F4DCD10" w:rsidR="004268DF" w:rsidRPr="00B43781" w:rsidRDefault="00310994" w:rsidP="003365DA">
    <w:pPr>
      <w:pStyle w:val="Default"/>
      <w:jc w:val="right"/>
      <w:rPr>
        <w:rFonts w:ascii="Rockwell" w:hAnsi="Rockwell"/>
        <w:b/>
        <w:i/>
        <w:sz w:val="18"/>
        <w:szCs w:val="18"/>
      </w:rPr>
    </w:pPr>
    <w:r>
      <w:rPr>
        <w:rFonts w:ascii="Rockwell" w:hAnsi="Rockwell"/>
        <w:b/>
        <w:noProof/>
        <w:sz w:val="18"/>
        <w:szCs w:val="18"/>
      </w:rPr>
      <w:t xml:space="preserve">EA </w:t>
    </w:r>
    <w:r w:rsidR="004268DF">
      <w:rPr>
        <w:rFonts w:ascii="Rockwell" w:hAnsi="Rockwell"/>
        <w:b/>
        <w:noProof/>
        <w:sz w:val="18"/>
        <w:szCs w:val="18"/>
      </w:rPr>
      <w:t>Internal appeals procedures</w:t>
    </w:r>
    <w:r w:rsidR="004268DF" w:rsidRPr="00060147">
      <w:rPr>
        <w:rFonts w:ascii="Rockwell" w:hAnsi="Rockwell"/>
        <w:b/>
        <w:noProof/>
        <w:sz w:val="18"/>
        <w:szCs w:val="18"/>
      </w:rPr>
      <w:t xml:space="preserve"> </w:t>
    </w:r>
    <w:r w:rsidR="004268DF" w:rsidRPr="00902479">
      <w:rPr>
        <w:rFonts w:ascii="Rockwell" w:hAnsi="Rockwell"/>
        <w:noProof/>
        <w:sz w:val="18"/>
        <w:szCs w:val="18"/>
      </w:rPr>
      <w:t>20</w:t>
    </w:r>
    <w:r w:rsidR="00D80AB5">
      <w:rPr>
        <w:rFonts w:ascii="Rockwell" w:hAnsi="Rockwell"/>
        <w:noProof/>
        <w:sz w:val="18"/>
        <w:szCs w:val="18"/>
      </w:rPr>
      <w:t>2</w:t>
    </w:r>
    <w:r w:rsidR="00492088">
      <w:rPr>
        <w:rFonts w:ascii="Rockwell" w:hAnsi="Rockwell"/>
        <w:noProof/>
        <w:sz w:val="18"/>
        <w:szCs w:val="18"/>
      </w:rPr>
      <w:t>5</w:t>
    </w:r>
    <w:r w:rsidR="00214577">
      <w:rPr>
        <w:rFonts w:ascii="Rockwell" w:hAnsi="Rockwell"/>
        <w:noProof/>
        <w:sz w:val="18"/>
        <w:szCs w:val="18"/>
      </w:rPr>
      <w:t>/2</w:t>
    </w:r>
    <w:r w:rsidR="00492088">
      <w:rPr>
        <w:rFonts w:ascii="Rockwell" w:hAnsi="Rockwell"/>
        <w:noProof/>
        <w:sz w:val="18"/>
        <w:szCs w:val="18"/>
      </w:rPr>
      <w:t>6</w:t>
    </w:r>
  </w:p>
  <w:p w14:paraId="76745C36" w14:textId="0E72E002" w:rsidR="004268DF" w:rsidRPr="00B43781" w:rsidRDefault="004268DF" w:rsidP="003365DA">
    <w:pPr>
      <w:shd w:val="clear" w:color="auto" w:fill="FFFFFF"/>
      <w:spacing w:after="0"/>
      <w:jc w:val="right"/>
      <w:rPr>
        <w:rFonts w:ascii="Rockwell" w:hAnsi="Rockwell" w:cs="Arial"/>
        <w:sz w:val="20"/>
        <w:szCs w:val="20"/>
        <w:vertAlign w:val="superscript"/>
      </w:rPr>
    </w:pPr>
  </w:p>
  <w:p w14:paraId="69026FA9" w14:textId="77777777" w:rsidR="004268DF" w:rsidRPr="006F7AAC" w:rsidRDefault="004268DF" w:rsidP="007D5FE6">
    <w:pPr>
      <w:pStyle w:val="Footer"/>
      <w:jc w:val="right"/>
      <w:rPr>
        <w:rFonts w:cs="Arial"/>
        <w:sz w:val="20"/>
        <w:szCs w:val="20"/>
      </w:rPr>
    </w:pPr>
  </w:p>
  <w:p w14:paraId="1D82A3E7" w14:textId="02F0E5C2" w:rsidR="004268DF" w:rsidRPr="00BE1447" w:rsidRDefault="004268DF" w:rsidP="00BE1447">
    <w:pPr>
      <w:pStyle w:val="Footer"/>
      <w:jc w:val="center"/>
      <w:rPr>
        <w:sz w:val="18"/>
        <w:szCs w:val="18"/>
      </w:rPr>
    </w:pPr>
    <w:r w:rsidRPr="00BE1447">
      <w:rPr>
        <w:sz w:val="18"/>
        <w:szCs w:val="18"/>
      </w:rPr>
      <w:fldChar w:fldCharType="begin"/>
    </w:r>
    <w:r w:rsidRPr="00BE1447">
      <w:rPr>
        <w:sz w:val="18"/>
        <w:szCs w:val="18"/>
      </w:rPr>
      <w:instrText xml:space="preserve"> PAGE   \* MERGEFORMAT </w:instrText>
    </w:r>
    <w:r w:rsidRPr="00BE1447">
      <w:rPr>
        <w:sz w:val="18"/>
        <w:szCs w:val="18"/>
      </w:rPr>
      <w:fldChar w:fldCharType="separate"/>
    </w:r>
    <w:r w:rsidR="006650DA">
      <w:rPr>
        <w:noProof/>
        <w:sz w:val="18"/>
        <w:szCs w:val="18"/>
      </w:rPr>
      <w:t>9</w:t>
    </w:r>
    <w:r w:rsidRPr="00BE1447">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86BF0" w14:textId="77777777" w:rsidR="004268DF" w:rsidRPr="00A510DE" w:rsidRDefault="004268DF" w:rsidP="00A510DE">
    <w:pPr>
      <w:pStyle w:val="Headinglevel1"/>
      <w:spacing w:after="0"/>
      <w:ind w:left="-426"/>
      <w:rPr>
        <w:rFonts w:cs="Arial"/>
        <w:b w:val="0"/>
        <w:noProof/>
        <w:sz w:val="20"/>
        <w:szCs w:val="20"/>
      </w:rPr>
    </w:pPr>
    <w:r w:rsidRPr="00A22643">
      <w:rPr>
        <w:rFonts w:cs="Arial"/>
        <w:b w:val="0"/>
        <w:i/>
        <w:color w:val="666666"/>
        <w:sz w:val="18"/>
        <w:szCs w:val="18"/>
      </w:rPr>
      <w:t xml:space="preserve">This </w:t>
    </w:r>
    <w:r>
      <w:rPr>
        <w:rFonts w:cs="Arial"/>
        <w:b w:val="0"/>
        <w:i/>
        <w:color w:val="666666"/>
        <w:sz w:val="18"/>
        <w:szCs w:val="18"/>
      </w:rPr>
      <w:t>template i</w:t>
    </w:r>
    <w:r w:rsidRPr="00A22643">
      <w:rPr>
        <w:rFonts w:cs="Arial"/>
        <w:b w:val="0"/>
        <w:i/>
        <w:color w:val="666666"/>
        <w:sz w:val="18"/>
        <w:szCs w:val="18"/>
      </w:rPr>
      <w:t>s provided f</w:t>
    </w:r>
    <w:r>
      <w:rPr>
        <w:rFonts w:cs="Arial"/>
        <w:b w:val="0"/>
        <w:i/>
        <w:color w:val="666666"/>
        <w:sz w:val="18"/>
        <w:szCs w:val="18"/>
      </w:rPr>
      <w:t xml:space="preserve">or members of The Exams Office </w:t>
    </w:r>
    <w:r w:rsidRPr="00A22643">
      <w:rPr>
        <w:rFonts w:cs="Arial"/>
        <w:i/>
        <w:color w:val="666666"/>
        <w:sz w:val="18"/>
        <w:szCs w:val="18"/>
      </w:rPr>
      <w:t>only</w:t>
    </w:r>
    <w:r>
      <w:rPr>
        <w:rFonts w:cs="Arial"/>
        <w:b w:val="0"/>
        <w:i/>
        <w:color w:val="666666"/>
        <w:sz w:val="18"/>
        <w:szCs w:val="18"/>
      </w:rPr>
      <w:t xml:space="preserve"> and must not be shared beyond use in your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46223" w14:textId="77777777" w:rsidR="00B30FDB" w:rsidRDefault="00B30FDB" w:rsidP="00572EAE">
      <w:pPr>
        <w:spacing w:after="0"/>
      </w:pPr>
      <w:r>
        <w:separator/>
      </w:r>
    </w:p>
  </w:footnote>
  <w:footnote w:type="continuationSeparator" w:id="0">
    <w:p w14:paraId="5A30D0E5" w14:textId="77777777" w:rsidR="00B30FDB" w:rsidRDefault="00B30FDB" w:rsidP="00572EA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44DE"/>
    <w:multiLevelType w:val="hybridMultilevel"/>
    <w:tmpl w:val="9580F784"/>
    <w:lvl w:ilvl="0" w:tplc="0AC8F098">
      <w:start w:val="1"/>
      <w:numFmt w:val="bullet"/>
      <w:lvlText w:val=""/>
      <w:lvlJc w:val="left"/>
      <w:pPr>
        <w:ind w:left="720" w:hanging="360"/>
      </w:pPr>
      <w:rPr>
        <w:rFonts w:ascii="Wingdings 3" w:hAnsi="Wingdings 3"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425E8D"/>
    <w:multiLevelType w:val="hybridMultilevel"/>
    <w:tmpl w:val="3AEAA2B6"/>
    <w:lvl w:ilvl="0" w:tplc="E31AE0D6">
      <w:start w:val="1"/>
      <w:numFmt w:val="bullet"/>
      <w:lvlText w:val=""/>
      <w:lvlJc w:val="left"/>
      <w:pPr>
        <w:ind w:left="720" w:hanging="360"/>
      </w:pPr>
      <w:rPr>
        <w:rFonts w:ascii="Wingdings 3" w:hAnsi="Wingdings 3"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4626B"/>
    <w:multiLevelType w:val="hybridMultilevel"/>
    <w:tmpl w:val="8F52C2AC"/>
    <w:lvl w:ilvl="0" w:tplc="B418948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031581"/>
    <w:multiLevelType w:val="hybridMultilevel"/>
    <w:tmpl w:val="4AA03B96"/>
    <w:lvl w:ilvl="0" w:tplc="172E8B28">
      <w:start w:val="1"/>
      <w:numFmt w:val="bullet"/>
      <w:lvlText w:val=""/>
      <w:lvlJc w:val="left"/>
      <w:pPr>
        <w:ind w:left="720" w:hanging="360"/>
      </w:pPr>
      <w:rPr>
        <w:rFonts w:ascii="Symbol" w:hAnsi="Symbol" w:hint="default"/>
        <w:color w:val="0000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E4CF6"/>
    <w:multiLevelType w:val="multilevel"/>
    <w:tmpl w:val="6ADCF3E6"/>
    <w:lvl w:ilvl="0">
      <w:start w:val="1"/>
      <w:numFmt w:val="bullet"/>
      <w:lvlText w:val=""/>
      <w:lvlJc w:val="left"/>
      <w:pPr>
        <w:ind w:left="720" w:hanging="360"/>
      </w:pPr>
      <w:rPr>
        <w:rFonts w:ascii="Symbol" w:hAnsi="Symbol" w:hint="default"/>
        <w:b/>
        <w:i w:val="0"/>
        <w:color w:val="000099"/>
        <w:sz w:val="20"/>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A0527B"/>
    <w:multiLevelType w:val="hybridMultilevel"/>
    <w:tmpl w:val="052CDF60"/>
    <w:lvl w:ilvl="0" w:tplc="0AC8F098">
      <w:start w:val="1"/>
      <w:numFmt w:val="bullet"/>
      <w:lvlText w:val=""/>
      <w:lvlJc w:val="left"/>
      <w:pPr>
        <w:ind w:left="720" w:hanging="360"/>
      </w:pPr>
      <w:rPr>
        <w:rFonts w:ascii="Wingdings 3" w:hAnsi="Wingdings 3"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420651"/>
    <w:multiLevelType w:val="hybridMultilevel"/>
    <w:tmpl w:val="ED4636B4"/>
    <w:lvl w:ilvl="0" w:tplc="BF6410A6">
      <w:start w:val="1"/>
      <w:numFmt w:val="bullet"/>
      <w:lvlText w:val=""/>
      <w:lvlJc w:val="left"/>
      <w:pPr>
        <w:ind w:left="720" w:hanging="360"/>
      </w:pPr>
      <w:rPr>
        <w:rFonts w:ascii="Symbol" w:hAnsi="Symbol" w:hint="default"/>
        <w:b/>
        <w:i w:val="0"/>
        <w:color w:val="000099"/>
        <w:sz w:val="20"/>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E74D5"/>
    <w:multiLevelType w:val="hybridMultilevel"/>
    <w:tmpl w:val="B36E3A20"/>
    <w:lvl w:ilvl="0" w:tplc="0AC8F098">
      <w:start w:val="1"/>
      <w:numFmt w:val="bullet"/>
      <w:lvlText w:val=""/>
      <w:lvlJc w:val="left"/>
      <w:pPr>
        <w:ind w:left="720" w:hanging="360"/>
      </w:pPr>
      <w:rPr>
        <w:rFonts w:ascii="Wingdings 3" w:hAnsi="Wingdings 3"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9A0C04"/>
    <w:multiLevelType w:val="hybridMultilevel"/>
    <w:tmpl w:val="360A6D46"/>
    <w:lvl w:ilvl="0" w:tplc="0AC8F098">
      <w:start w:val="1"/>
      <w:numFmt w:val="bullet"/>
      <w:lvlText w:val=""/>
      <w:lvlJc w:val="left"/>
      <w:pPr>
        <w:ind w:left="720" w:hanging="360"/>
      </w:pPr>
      <w:rPr>
        <w:rFonts w:ascii="Wingdings 3" w:hAnsi="Wingdings 3"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E02A2E"/>
    <w:multiLevelType w:val="hybridMultilevel"/>
    <w:tmpl w:val="9D6CD866"/>
    <w:lvl w:ilvl="0" w:tplc="BF6410A6">
      <w:start w:val="1"/>
      <w:numFmt w:val="bullet"/>
      <w:lvlText w:val=""/>
      <w:lvlJc w:val="left"/>
      <w:pPr>
        <w:ind w:left="720" w:hanging="360"/>
      </w:pPr>
      <w:rPr>
        <w:rFonts w:ascii="Symbol" w:hAnsi="Symbol" w:hint="default"/>
        <w:b/>
        <w:i w:val="0"/>
        <w:color w:val="000099"/>
        <w:sz w:val="20"/>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0D6632"/>
    <w:multiLevelType w:val="multilevel"/>
    <w:tmpl w:val="B9DE2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237207"/>
    <w:multiLevelType w:val="hybridMultilevel"/>
    <w:tmpl w:val="88827AC2"/>
    <w:lvl w:ilvl="0" w:tplc="FC10B936">
      <w:start w:val="1"/>
      <w:numFmt w:val="bullet"/>
      <w:lvlText w:val="£"/>
      <w:lvlJc w:val="left"/>
      <w:pPr>
        <w:ind w:left="720" w:hanging="360"/>
      </w:pPr>
      <w:rPr>
        <w:rFonts w:ascii="Wingdings 2" w:hAnsi="Wingdings 2" w:hint="default"/>
        <w:b/>
        <w:i w:val="0"/>
        <w:color w:val="00339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972F50"/>
    <w:multiLevelType w:val="hybridMultilevel"/>
    <w:tmpl w:val="92321D46"/>
    <w:lvl w:ilvl="0" w:tplc="BDB2DA8A">
      <w:start w:val="1"/>
      <w:numFmt w:val="decimal"/>
      <w:lvlText w:val="%1."/>
      <w:lvlJc w:val="left"/>
      <w:pPr>
        <w:ind w:left="720" w:hanging="360"/>
      </w:pPr>
      <w:rPr>
        <w:rFonts w:hint="default"/>
        <w:b/>
        <w:i w:val="0"/>
        <w:color w:val="003399"/>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DB430B"/>
    <w:multiLevelType w:val="hybridMultilevel"/>
    <w:tmpl w:val="762AB6A4"/>
    <w:lvl w:ilvl="0" w:tplc="0AC8F098">
      <w:start w:val="1"/>
      <w:numFmt w:val="bullet"/>
      <w:lvlText w:val=""/>
      <w:lvlJc w:val="left"/>
      <w:pPr>
        <w:ind w:left="720" w:hanging="360"/>
      </w:pPr>
      <w:rPr>
        <w:rFonts w:ascii="Wingdings 3" w:hAnsi="Wingdings 3"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E43235"/>
    <w:multiLevelType w:val="hybridMultilevel"/>
    <w:tmpl w:val="A57E7D30"/>
    <w:lvl w:ilvl="0" w:tplc="0AC8F098">
      <w:start w:val="1"/>
      <w:numFmt w:val="bullet"/>
      <w:lvlText w:val=""/>
      <w:lvlJc w:val="left"/>
      <w:pPr>
        <w:ind w:left="1440" w:hanging="360"/>
      </w:pPr>
      <w:rPr>
        <w:rFonts w:ascii="Wingdings 3" w:hAnsi="Wingdings 3" w:hint="default"/>
        <w:color w:val="003399"/>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9DE0C4E"/>
    <w:multiLevelType w:val="hybridMultilevel"/>
    <w:tmpl w:val="E5AA5D60"/>
    <w:lvl w:ilvl="0" w:tplc="8B3AD838">
      <w:start w:val="1"/>
      <w:numFmt w:val="bullet"/>
      <w:lvlText w:val="£"/>
      <w:lvlJc w:val="left"/>
      <w:pPr>
        <w:ind w:left="1080" w:hanging="360"/>
      </w:pPr>
      <w:rPr>
        <w:rFonts w:ascii="Wingdings 2" w:hAnsi="Wingdings 2" w:hint="default"/>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CBE4FD1"/>
    <w:multiLevelType w:val="hybridMultilevel"/>
    <w:tmpl w:val="2FB0C11E"/>
    <w:lvl w:ilvl="0" w:tplc="BF6410A6">
      <w:start w:val="1"/>
      <w:numFmt w:val="bullet"/>
      <w:lvlText w:val=""/>
      <w:lvlJc w:val="left"/>
      <w:pPr>
        <w:ind w:left="720" w:hanging="360"/>
      </w:pPr>
      <w:rPr>
        <w:rFonts w:ascii="Symbol" w:hAnsi="Symbol" w:hint="default"/>
        <w:b/>
        <w:i w:val="0"/>
        <w:color w:val="000099"/>
        <w:sz w:val="20"/>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624DA6"/>
    <w:multiLevelType w:val="hybridMultilevel"/>
    <w:tmpl w:val="C59EF512"/>
    <w:lvl w:ilvl="0" w:tplc="FC10B936">
      <w:start w:val="1"/>
      <w:numFmt w:val="bullet"/>
      <w:lvlText w:val="£"/>
      <w:lvlJc w:val="left"/>
      <w:pPr>
        <w:ind w:left="720" w:hanging="360"/>
      </w:pPr>
      <w:rPr>
        <w:rFonts w:ascii="Wingdings 2" w:hAnsi="Wingdings 2" w:hint="default"/>
        <w:b/>
        <w:i w:val="0"/>
        <w:color w:val="003399"/>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435BF8"/>
    <w:multiLevelType w:val="hybridMultilevel"/>
    <w:tmpl w:val="26168848"/>
    <w:lvl w:ilvl="0" w:tplc="0809000F">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12499E"/>
    <w:multiLevelType w:val="hybridMultilevel"/>
    <w:tmpl w:val="ECF0471E"/>
    <w:lvl w:ilvl="0" w:tplc="BF6410A6">
      <w:start w:val="1"/>
      <w:numFmt w:val="bullet"/>
      <w:lvlText w:val=""/>
      <w:lvlJc w:val="left"/>
      <w:pPr>
        <w:ind w:left="720" w:hanging="360"/>
      </w:pPr>
      <w:rPr>
        <w:rFonts w:ascii="Symbol" w:hAnsi="Symbol" w:hint="default"/>
        <w:b/>
        <w:i w:val="0"/>
        <w:color w:val="000099"/>
        <w:sz w:val="20"/>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796ED2"/>
    <w:multiLevelType w:val="hybridMultilevel"/>
    <w:tmpl w:val="568A6F98"/>
    <w:lvl w:ilvl="0" w:tplc="0AC8F098">
      <w:start w:val="1"/>
      <w:numFmt w:val="bullet"/>
      <w:lvlText w:val=""/>
      <w:lvlJc w:val="left"/>
      <w:pPr>
        <w:ind w:left="720" w:hanging="360"/>
      </w:pPr>
      <w:rPr>
        <w:rFonts w:ascii="Wingdings 3" w:hAnsi="Wingdings 3" w:hint="default"/>
        <w:color w:val="003399"/>
      </w:rPr>
    </w:lvl>
    <w:lvl w:ilvl="1" w:tplc="358C887C">
      <w:start w:val="1"/>
      <w:numFmt w:val="bullet"/>
      <w:lvlText w:val=""/>
      <w:lvlJc w:val="left"/>
      <w:pPr>
        <w:ind w:left="1440" w:hanging="360"/>
      </w:pPr>
      <w:rPr>
        <w:rFonts w:ascii="Wingdings 3" w:hAnsi="Wingdings 3"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0302B7"/>
    <w:multiLevelType w:val="hybridMultilevel"/>
    <w:tmpl w:val="B0843BF2"/>
    <w:lvl w:ilvl="0" w:tplc="B41894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6A7C7C"/>
    <w:multiLevelType w:val="hybridMultilevel"/>
    <w:tmpl w:val="06C2A59C"/>
    <w:lvl w:ilvl="0" w:tplc="0AC8F098">
      <w:start w:val="1"/>
      <w:numFmt w:val="bullet"/>
      <w:lvlText w:val=""/>
      <w:lvlJc w:val="left"/>
      <w:pPr>
        <w:ind w:left="720" w:hanging="360"/>
      </w:pPr>
      <w:rPr>
        <w:rFonts w:ascii="Wingdings 3" w:hAnsi="Wingdings 3" w:hint="default"/>
        <w:color w:val="003399"/>
      </w:rPr>
    </w:lvl>
    <w:lvl w:ilvl="1" w:tplc="18806C08">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5E6D9F"/>
    <w:multiLevelType w:val="hybridMultilevel"/>
    <w:tmpl w:val="D076CD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C42AFA"/>
    <w:multiLevelType w:val="multilevel"/>
    <w:tmpl w:val="DFA8B182"/>
    <w:lvl w:ilvl="0">
      <w:start w:val="1"/>
      <w:numFmt w:val="bullet"/>
      <w:lvlText w:val=""/>
      <w:lvlJc w:val="left"/>
      <w:pPr>
        <w:tabs>
          <w:tab w:val="num" w:pos="720"/>
        </w:tabs>
        <w:ind w:left="720" w:hanging="360"/>
      </w:pPr>
      <w:rPr>
        <w:rFonts w:ascii="Wingdings 3" w:hAnsi="Wingdings 3" w:hint="default"/>
        <w:color w:val="003399"/>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7A200F"/>
    <w:multiLevelType w:val="hybridMultilevel"/>
    <w:tmpl w:val="2C64686A"/>
    <w:lvl w:ilvl="0" w:tplc="172E8B28">
      <w:start w:val="1"/>
      <w:numFmt w:val="bullet"/>
      <w:lvlText w:val=""/>
      <w:lvlJc w:val="left"/>
      <w:pPr>
        <w:ind w:left="720" w:hanging="360"/>
      </w:pPr>
      <w:rPr>
        <w:rFonts w:ascii="Symbol" w:hAnsi="Symbol" w:hint="default"/>
        <w:color w:val="0000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853D9B"/>
    <w:multiLevelType w:val="hybridMultilevel"/>
    <w:tmpl w:val="68EA4CF6"/>
    <w:lvl w:ilvl="0" w:tplc="172E8B28">
      <w:start w:val="1"/>
      <w:numFmt w:val="bullet"/>
      <w:lvlText w:val=""/>
      <w:lvlJc w:val="left"/>
      <w:pPr>
        <w:ind w:left="720" w:hanging="360"/>
      </w:pPr>
      <w:rPr>
        <w:rFonts w:ascii="Symbol" w:hAnsi="Symbol" w:hint="default"/>
        <w:color w:val="0000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FE6163"/>
    <w:multiLevelType w:val="hybridMultilevel"/>
    <w:tmpl w:val="BD588676"/>
    <w:lvl w:ilvl="0" w:tplc="FC10B936">
      <w:start w:val="1"/>
      <w:numFmt w:val="bullet"/>
      <w:lvlText w:val="£"/>
      <w:lvlJc w:val="left"/>
      <w:pPr>
        <w:ind w:left="1080" w:hanging="360"/>
      </w:pPr>
      <w:rPr>
        <w:rFonts w:ascii="Wingdings 2" w:hAnsi="Wingdings 2" w:hint="default"/>
        <w:b/>
        <w:i w:val="0"/>
        <w:color w:val="003399"/>
        <w:sz w:val="24"/>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2020431"/>
    <w:multiLevelType w:val="multilevel"/>
    <w:tmpl w:val="1CB8FFB0"/>
    <w:lvl w:ilvl="0">
      <w:start w:val="1"/>
      <w:numFmt w:val="bullet"/>
      <w:lvlText w:val=""/>
      <w:lvlJc w:val="left"/>
      <w:pPr>
        <w:tabs>
          <w:tab w:val="num" w:pos="720"/>
        </w:tabs>
        <w:ind w:left="720" w:hanging="360"/>
      </w:pPr>
      <w:rPr>
        <w:rFonts w:ascii="Wingdings 3" w:hAnsi="Wingdings 3" w:hint="default"/>
        <w:color w:val="003399"/>
        <w:sz w:val="20"/>
      </w:rPr>
    </w:lvl>
    <w:lvl w:ilvl="1">
      <w:start w:val="1"/>
      <w:numFmt w:val="bullet"/>
      <w:lvlText w:val=""/>
      <w:lvlJc w:val="left"/>
      <w:pPr>
        <w:tabs>
          <w:tab w:val="num" w:pos="1440"/>
        </w:tabs>
        <w:ind w:left="1440" w:hanging="360"/>
      </w:pPr>
      <w:rPr>
        <w:rFonts w:ascii="Wingdings 3" w:hAnsi="Wingdings 3" w:hint="default"/>
        <w:color w:val="FF3300"/>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B43DAC"/>
    <w:multiLevelType w:val="hybridMultilevel"/>
    <w:tmpl w:val="710A10DE"/>
    <w:lvl w:ilvl="0" w:tplc="0AC8F098">
      <w:start w:val="1"/>
      <w:numFmt w:val="bullet"/>
      <w:lvlText w:val=""/>
      <w:lvlJc w:val="left"/>
      <w:pPr>
        <w:ind w:left="720" w:hanging="360"/>
      </w:pPr>
      <w:rPr>
        <w:rFonts w:ascii="Wingdings 3" w:hAnsi="Wingdings 3"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C278A8"/>
    <w:multiLevelType w:val="hybridMultilevel"/>
    <w:tmpl w:val="53A67FFE"/>
    <w:lvl w:ilvl="0" w:tplc="B41894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B4C59E4"/>
    <w:multiLevelType w:val="hybridMultilevel"/>
    <w:tmpl w:val="9C6ECB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F167E6"/>
    <w:multiLevelType w:val="hybridMultilevel"/>
    <w:tmpl w:val="36305CE4"/>
    <w:lvl w:ilvl="0" w:tplc="A330F1F6">
      <w:start w:val="1"/>
      <w:numFmt w:val="bullet"/>
      <w:lvlText w:val=""/>
      <w:lvlJc w:val="left"/>
      <w:pPr>
        <w:ind w:left="720" w:hanging="360"/>
      </w:pPr>
      <w:rPr>
        <w:rFonts w:ascii="Symbol" w:hAnsi="Symbol" w:hint="default"/>
        <w:color w:val="000099"/>
        <w:sz w:val="22"/>
        <w:szCs w:val="28"/>
      </w:rPr>
    </w:lvl>
    <w:lvl w:ilvl="1" w:tplc="09125FD0">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BC42A4"/>
    <w:multiLevelType w:val="hybridMultilevel"/>
    <w:tmpl w:val="B1FCC5A2"/>
    <w:lvl w:ilvl="0" w:tplc="0AC8F098">
      <w:start w:val="1"/>
      <w:numFmt w:val="bullet"/>
      <w:lvlText w:val=""/>
      <w:lvlJc w:val="left"/>
      <w:pPr>
        <w:ind w:left="720" w:hanging="360"/>
      </w:pPr>
      <w:rPr>
        <w:rFonts w:ascii="Wingdings 3" w:hAnsi="Wingdings 3" w:hint="default"/>
        <w:color w:val="003399"/>
      </w:rPr>
    </w:lvl>
    <w:lvl w:ilvl="1" w:tplc="358C887C">
      <w:start w:val="1"/>
      <w:numFmt w:val="bullet"/>
      <w:lvlText w:val=""/>
      <w:lvlJc w:val="left"/>
      <w:pPr>
        <w:ind w:left="1440" w:hanging="360"/>
      </w:pPr>
      <w:rPr>
        <w:rFonts w:ascii="Wingdings 3" w:hAnsi="Wingdings 3"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A40D55"/>
    <w:multiLevelType w:val="hybridMultilevel"/>
    <w:tmpl w:val="46C679D6"/>
    <w:lvl w:ilvl="0" w:tplc="172E8B28">
      <w:start w:val="1"/>
      <w:numFmt w:val="bullet"/>
      <w:lvlText w:val=""/>
      <w:lvlJc w:val="left"/>
      <w:pPr>
        <w:ind w:left="720" w:hanging="360"/>
      </w:pPr>
      <w:rPr>
        <w:rFonts w:ascii="Symbol" w:hAnsi="Symbol" w:hint="default"/>
        <w:color w:val="0000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3578188">
    <w:abstractNumId w:val="15"/>
  </w:num>
  <w:num w:numId="2" w16cid:durableId="839933760">
    <w:abstractNumId w:val="12"/>
  </w:num>
  <w:num w:numId="3" w16cid:durableId="351345264">
    <w:abstractNumId w:val="17"/>
  </w:num>
  <w:num w:numId="4" w16cid:durableId="1152791718">
    <w:abstractNumId w:val="2"/>
  </w:num>
  <w:num w:numId="5" w16cid:durableId="1061706791">
    <w:abstractNumId w:val="5"/>
  </w:num>
  <w:num w:numId="6" w16cid:durableId="1354108456">
    <w:abstractNumId w:val="29"/>
  </w:num>
  <w:num w:numId="7" w16cid:durableId="262421385">
    <w:abstractNumId w:val="8"/>
  </w:num>
  <w:num w:numId="8" w16cid:durableId="1570573369">
    <w:abstractNumId w:val="13"/>
  </w:num>
  <w:num w:numId="9" w16cid:durableId="1449854477">
    <w:abstractNumId w:val="32"/>
  </w:num>
  <w:num w:numId="10" w16cid:durableId="182018155">
    <w:abstractNumId w:val="17"/>
  </w:num>
  <w:num w:numId="11" w16cid:durableId="673382578">
    <w:abstractNumId w:val="2"/>
  </w:num>
  <w:num w:numId="12" w16cid:durableId="300766564">
    <w:abstractNumId w:val="23"/>
  </w:num>
  <w:num w:numId="13" w16cid:durableId="15037682">
    <w:abstractNumId w:val="10"/>
  </w:num>
  <w:num w:numId="14" w16cid:durableId="1721782857">
    <w:abstractNumId w:val="24"/>
  </w:num>
  <w:num w:numId="15" w16cid:durableId="400636277">
    <w:abstractNumId w:val="7"/>
  </w:num>
  <w:num w:numId="16" w16cid:durableId="2063360495">
    <w:abstractNumId w:val="11"/>
  </w:num>
  <w:num w:numId="17" w16cid:durableId="589311637">
    <w:abstractNumId w:val="27"/>
  </w:num>
  <w:num w:numId="18" w16cid:durableId="402339830">
    <w:abstractNumId w:val="33"/>
  </w:num>
  <w:num w:numId="19" w16cid:durableId="710037234">
    <w:abstractNumId w:val="20"/>
  </w:num>
  <w:num w:numId="20" w16cid:durableId="481047499">
    <w:abstractNumId w:val="28"/>
  </w:num>
  <w:num w:numId="21" w16cid:durableId="567805296">
    <w:abstractNumId w:val="31"/>
  </w:num>
  <w:num w:numId="22" w16cid:durableId="688794337">
    <w:abstractNumId w:val="30"/>
  </w:num>
  <w:num w:numId="23" w16cid:durableId="1102339188">
    <w:abstractNumId w:val="21"/>
  </w:num>
  <w:num w:numId="24" w16cid:durableId="1274824316">
    <w:abstractNumId w:val="14"/>
  </w:num>
  <w:num w:numId="25" w16cid:durableId="1846823149">
    <w:abstractNumId w:val="1"/>
  </w:num>
  <w:num w:numId="26" w16cid:durableId="11539823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1046133">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4426437">
    <w:abstractNumId w:val="22"/>
  </w:num>
  <w:num w:numId="29" w16cid:durableId="675114661">
    <w:abstractNumId w:val="0"/>
  </w:num>
  <w:num w:numId="30" w16cid:durableId="1990283264">
    <w:abstractNumId w:val="3"/>
  </w:num>
  <w:num w:numId="31" w16cid:durableId="931204481">
    <w:abstractNumId w:val="18"/>
  </w:num>
  <w:num w:numId="32" w16cid:durableId="2000887748">
    <w:abstractNumId w:val="26"/>
  </w:num>
  <w:num w:numId="33" w16cid:durableId="1357348011">
    <w:abstractNumId w:val="25"/>
  </w:num>
  <w:num w:numId="34" w16cid:durableId="11877529">
    <w:abstractNumId w:val="34"/>
  </w:num>
  <w:num w:numId="35" w16cid:durableId="139854237">
    <w:abstractNumId w:val="16"/>
  </w:num>
  <w:num w:numId="36" w16cid:durableId="1402752987">
    <w:abstractNumId w:val="4"/>
  </w:num>
  <w:num w:numId="37" w16cid:durableId="698628039">
    <w:abstractNumId w:val="9"/>
  </w:num>
  <w:num w:numId="38" w16cid:durableId="723523863">
    <w:abstractNumId w:val="6"/>
  </w:num>
  <w:num w:numId="39" w16cid:durableId="1650092619">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8DD"/>
    <w:rsid w:val="000007FD"/>
    <w:rsid w:val="00000943"/>
    <w:rsid w:val="000012CB"/>
    <w:rsid w:val="00001751"/>
    <w:rsid w:val="00001F1E"/>
    <w:rsid w:val="00002744"/>
    <w:rsid w:val="0000742A"/>
    <w:rsid w:val="00012A1D"/>
    <w:rsid w:val="00012BA4"/>
    <w:rsid w:val="000134FC"/>
    <w:rsid w:val="00017704"/>
    <w:rsid w:val="0001770D"/>
    <w:rsid w:val="000201A0"/>
    <w:rsid w:val="00021ACB"/>
    <w:rsid w:val="000265A8"/>
    <w:rsid w:val="0003095E"/>
    <w:rsid w:val="000409C9"/>
    <w:rsid w:val="000412D6"/>
    <w:rsid w:val="000441B5"/>
    <w:rsid w:val="000445FF"/>
    <w:rsid w:val="00044888"/>
    <w:rsid w:val="00045172"/>
    <w:rsid w:val="0004576F"/>
    <w:rsid w:val="000459D4"/>
    <w:rsid w:val="00046BB3"/>
    <w:rsid w:val="00047D77"/>
    <w:rsid w:val="000509F3"/>
    <w:rsid w:val="00051F51"/>
    <w:rsid w:val="0005591C"/>
    <w:rsid w:val="0005650A"/>
    <w:rsid w:val="00056ECD"/>
    <w:rsid w:val="000609D4"/>
    <w:rsid w:val="00062988"/>
    <w:rsid w:val="00063617"/>
    <w:rsid w:val="00064F02"/>
    <w:rsid w:val="000709D9"/>
    <w:rsid w:val="00073DAC"/>
    <w:rsid w:val="00074A36"/>
    <w:rsid w:val="000750AD"/>
    <w:rsid w:val="000800DE"/>
    <w:rsid w:val="00080423"/>
    <w:rsid w:val="000875A7"/>
    <w:rsid w:val="0009252E"/>
    <w:rsid w:val="00097CF9"/>
    <w:rsid w:val="000A1629"/>
    <w:rsid w:val="000A6652"/>
    <w:rsid w:val="000B0453"/>
    <w:rsid w:val="000B29C9"/>
    <w:rsid w:val="000B7FDA"/>
    <w:rsid w:val="000C118C"/>
    <w:rsid w:val="000D12FC"/>
    <w:rsid w:val="000D1C29"/>
    <w:rsid w:val="000D2EB6"/>
    <w:rsid w:val="000E27A5"/>
    <w:rsid w:val="00100BEF"/>
    <w:rsid w:val="00105BF2"/>
    <w:rsid w:val="00107872"/>
    <w:rsid w:val="00111617"/>
    <w:rsid w:val="00114081"/>
    <w:rsid w:val="00115458"/>
    <w:rsid w:val="00121EF4"/>
    <w:rsid w:val="001308B6"/>
    <w:rsid w:val="00133C23"/>
    <w:rsid w:val="001345C8"/>
    <w:rsid w:val="00135FEF"/>
    <w:rsid w:val="00142BCC"/>
    <w:rsid w:val="00143D70"/>
    <w:rsid w:val="00143D8E"/>
    <w:rsid w:val="0014735C"/>
    <w:rsid w:val="001551B3"/>
    <w:rsid w:val="00161BEB"/>
    <w:rsid w:val="001673CF"/>
    <w:rsid w:val="0017460C"/>
    <w:rsid w:val="0017477E"/>
    <w:rsid w:val="0017668C"/>
    <w:rsid w:val="001767B5"/>
    <w:rsid w:val="00177D3E"/>
    <w:rsid w:val="00183428"/>
    <w:rsid w:val="0018449D"/>
    <w:rsid w:val="001844B9"/>
    <w:rsid w:val="00185617"/>
    <w:rsid w:val="00192345"/>
    <w:rsid w:val="00192C81"/>
    <w:rsid w:val="00192E8A"/>
    <w:rsid w:val="00196924"/>
    <w:rsid w:val="00196B3E"/>
    <w:rsid w:val="00196C60"/>
    <w:rsid w:val="001973EE"/>
    <w:rsid w:val="001A0CA6"/>
    <w:rsid w:val="001A24D6"/>
    <w:rsid w:val="001A2D63"/>
    <w:rsid w:val="001A417A"/>
    <w:rsid w:val="001A57D2"/>
    <w:rsid w:val="001B0600"/>
    <w:rsid w:val="001B3F57"/>
    <w:rsid w:val="001B51BC"/>
    <w:rsid w:val="001B635E"/>
    <w:rsid w:val="001C12A2"/>
    <w:rsid w:val="001D189E"/>
    <w:rsid w:val="001F0350"/>
    <w:rsid w:val="001F0C28"/>
    <w:rsid w:val="001F59AD"/>
    <w:rsid w:val="00200ABE"/>
    <w:rsid w:val="0020477E"/>
    <w:rsid w:val="00207A5D"/>
    <w:rsid w:val="0021365B"/>
    <w:rsid w:val="00214318"/>
    <w:rsid w:val="00214342"/>
    <w:rsid w:val="00214577"/>
    <w:rsid w:val="00214CB1"/>
    <w:rsid w:val="002161E9"/>
    <w:rsid w:val="002301A0"/>
    <w:rsid w:val="002322D1"/>
    <w:rsid w:val="00234821"/>
    <w:rsid w:val="0023628E"/>
    <w:rsid w:val="00237634"/>
    <w:rsid w:val="002416DB"/>
    <w:rsid w:val="002417F2"/>
    <w:rsid w:val="00244D5C"/>
    <w:rsid w:val="00244FC1"/>
    <w:rsid w:val="00247D1F"/>
    <w:rsid w:val="00247F55"/>
    <w:rsid w:val="00250816"/>
    <w:rsid w:val="002522E9"/>
    <w:rsid w:val="0025243A"/>
    <w:rsid w:val="00254B9A"/>
    <w:rsid w:val="0025563D"/>
    <w:rsid w:val="0026067D"/>
    <w:rsid w:val="0026639D"/>
    <w:rsid w:val="00267849"/>
    <w:rsid w:val="00283160"/>
    <w:rsid w:val="00283445"/>
    <w:rsid w:val="002837F1"/>
    <w:rsid w:val="002878F8"/>
    <w:rsid w:val="002923DF"/>
    <w:rsid w:val="002940E8"/>
    <w:rsid w:val="00294309"/>
    <w:rsid w:val="00296128"/>
    <w:rsid w:val="002978B9"/>
    <w:rsid w:val="00297C0F"/>
    <w:rsid w:val="002A1C13"/>
    <w:rsid w:val="002A6DDA"/>
    <w:rsid w:val="002A785C"/>
    <w:rsid w:val="002B08CB"/>
    <w:rsid w:val="002B169B"/>
    <w:rsid w:val="002B2195"/>
    <w:rsid w:val="002B5BE7"/>
    <w:rsid w:val="002B5C08"/>
    <w:rsid w:val="002B6E69"/>
    <w:rsid w:val="002C2931"/>
    <w:rsid w:val="002C5397"/>
    <w:rsid w:val="002C7334"/>
    <w:rsid w:val="002E0364"/>
    <w:rsid w:val="002E0A22"/>
    <w:rsid w:val="002E17BE"/>
    <w:rsid w:val="002E233C"/>
    <w:rsid w:val="002E53FB"/>
    <w:rsid w:val="002E61A2"/>
    <w:rsid w:val="002F16B9"/>
    <w:rsid w:val="002F1E6E"/>
    <w:rsid w:val="002F26D1"/>
    <w:rsid w:val="00300D58"/>
    <w:rsid w:val="0030343D"/>
    <w:rsid w:val="0031083C"/>
    <w:rsid w:val="00310994"/>
    <w:rsid w:val="00312CBF"/>
    <w:rsid w:val="00315991"/>
    <w:rsid w:val="0032363C"/>
    <w:rsid w:val="003243FE"/>
    <w:rsid w:val="003275B4"/>
    <w:rsid w:val="00327F27"/>
    <w:rsid w:val="0033123E"/>
    <w:rsid w:val="00331254"/>
    <w:rsid w:val="00331564"/>
    <w:rsid w:val="003365DA"/>
    <w:rsid w:val="0033795C"/>
    <w:rsid w:val="00337BC6"/>
    <w:rsid w:val="00340839"/>
    <w:rsid w:val="00341346"/>
    <w:rsid w:val="003433A9"/>
    <w:rsid w:val="00343A24"/>
    <w:rsid w:val="00345C58"/>
    <w:rsid w:val="003471BA"/>
    <w:rsid w:val="00354F5C"/>
    <w:rsid w:val="00355B6B"/>
    <w:rsid w:val="00356A3E"/>
    <w:rsid w:val="00361088"/>
    <w:rsid w:val="00375CE7"/>
    <w:rsid w:val="0038011C"/>
    <w:rsid w:val="00380EF0"/>
    <w:rsid w:val="00381559"/>
    <w:rsid w:val="00381FB0"/>
    <w:rsid w:val="00392945"/>
    <w:rsid w:val="00393116"/>
    <w:rsid w:val="0039606C"/>
    <w:rsid w:val="003A183A"/>
    <w:rsid w:val="003A413B"/>
    <w:rsid w:val="003A55AC"/>
    <w:rsid w:val="003B4F45"/>
    <w:rsid w:val="003C1B1D"/>
    <w:rsid w:val="003C1E94"/>
    <w:rsid w:val="003D4CFA"/>
    <w:rsid w:val="003D78DD"/>
    <w:rsid w:val="003E1B12"/>
    <w:rsid w:val="003E5BF3"/>
    <w:rsid w:val="003F08A6"/>
    <w:rsid w:val="003F66FE"/>
    <w:rsid w:val="00403589"/>
    <w:rsid w:val="004172F8"/>
    <w:rsid w:val="00420DEB"/>
    <w:rsid w:val="0042211B"/>
    <w:rsid w:val="004250C5"/>
    <w:rsid w:val="004253DB"/>
    <w:rsid w:val="004268DF"/>
    <w:rsid w:val="00427349"/>
    <w:rsid w:val="004314F6"/>
    <w:rsid w:val="00432C92"/>
    <w:rsid w:val="00435EA9"/>
    <w:rsid w:val="004374FD"/>
    <w:rsid w:val="00437F62"/>
    <w:rsid w:val="0045394B"/>
    <w:rsid w:val="00453A8A"/>
    <w:rsid w:val="00454711"/>
    <w:rsid w:val="00454CF5"/>
    <w:rsid w:val="00456C91"/>
    <w:rsid w:val="00462EFB"/>
    <w:rsid w:val="004738FF"/>
    <w:rsid w:val="00473D52"/>
    <w:rsid w:val="00481132"/>
    <w:rsid w:val="00484DD9"/>
    <w:rsid w:val="00492088"/>
    <w:rsid w:val="00494A0C"/>
    <w:rsid w:val="00495501"/>
    <w:rsid w:val="004A2E20"/>
    <w:rsid w:val="004A4C84"/>
    <w:rsid w:val="004A5171"/>
    <w:rsid w:val="004A6AFB"/>
    <w:rsid w:val="004B1115"/>
    <w:rsid w:val="004B35E1"/>
    <w:rsid w:val="004B4DA2"/>
    <w:rsid w:val="004B5B29"/>
    <w:rsid w:val="004C3462"/>
    <w:rsid w:val="004C6683"/>
    <w:rsid w:val="004D2901"/>
    <w:rsid w:val="004D57C7"/>
    <w:rsid w:val="004D602B"/>
    <w:rsid w:val="004D7615"/>
    <w:rsid w:val="004E027A"/>
    <w:rsid w:val="004E1103"/>
    <w:rsid w:val="004E1F8B"/>
    <w:rsid w:val="004E3038"/>
    <w:rsid w:val="004E4EC1"/>
    <w:rsid w:val="004F181E"/>
    <w:rsid w:val="004F233D"/>
    <w:rsid w:val="004F26FF"/>
    <w:rsid w:val="004F2B1A"/>
    <w:rsid w:val="004F56D2"/>
    <w:rsid w:val="004F69EF"/>
    <w:rsid w:val="004F7D0D"/>
    <w:rsid w:val="00500492"/>
    <w:rsid w:val="00501F32"/>
    <w:rsid w:val="0050262A"/>
    <w:rsid w:val="00505172"/>
    <w:rsid w:val="0050573B"/>
    <w:rsid w:val="00506548"/>
    <w:rsid w:val="00506E0D"/>
    <w:rsid w:val="005076CF"/>
    <w:rsid w:val="0051144C"/>
    <w:rsid w:val="0051267C"/>
    <w:rsid w:val="005130B2"/>
    <w:rsid w:val="005139CA"/>
    <w:rsid w:val="005154E3"/>
    <w:rsid w:val="005225B9"/>
    <w:rsid w:val="00534606"/>
    <w:rsid w:val="00546F61"/>
    <w:rsid w:val="00546F70"/>
    <w:rsid w:val="00546F82"/>
    <w:rsid w:val="00550781"/>
    <w:rsid w:val="00550A49"/>
    <w:rsid w:val="0055163A"/>
    <w:rsid w:val="00554C81"/>
    <w:rsid w:val="0055531D"/>
    <w:rsid w:val="00556982"/>
    <w:rsid w:val="00560310"/>
    <w:rsid w:val="00561839"/>
    <w:rsid w:val="00563708"/>
    <w:rsid w:val="00572EAE"/>
    <w:rsid w:val="00575B68"/>
    <w:rsid w:val="00576B69"/>
    <w:rsid w:val="00581A75"/>
    <w:rsid w:val="00582109"/>
    <w:rsid w:val="00582D3B"/>
    <w:rsid w:val="00584370"/>
    <w:rsid w:val="00587DFA"/>
    <w:rsid w:val="0059053A"/>
    <w:rsid w:val="00593102"/>
    <w:rsid w:val="00593745"/>
    <w:rsid w:val="00595C4E"/>
    <w:rsid w:val="005A05DA"/>
    <w:rsid w:val="005A1F33"/>
    <w:rsid w:val="005B411E"/>
    <w:rsid w:val="005C2C9F"/>
    <w:rsid w:val="005C50FE"/>
    <w:rsid w:val="005D0DCE"/>
    <w:rsid w:val="005D100D"/>
    <w:rsid w:val="005D59B7"/>
    <w:rsid w:val="005E2B3B"/>
    <w:rsid w:val="005E45DB"/>
    <w:rsid w:val="005E533D"/>
    <w:rsid w:val="005F053F"/>
    <w:rsid w:val="005F25A1"/>
    <w:rsid w:val="005F2EF9"/>
    <w:rsid w:val="0060002A"/>
    <w:rsid w:val="0060259F"/>
    <w:rsid w:val="0060571B"/>
    <w:rsid w:val="00606D11"/>
    <w:rsid w:val="00607DB3"/>
    <w:rsid w:val="006102D5"/>
    <w:rsid w:val="00610C2A"/>
    <w:rsid w:val="00610FC3"/>
    <w:rsid w:val="00611108"/>
    <w:rsid w:val="00611ABA"/>
    <w:rsid w:val="00611B9A"/>
    <w:rsid w:val="00612E2C"/>
    <w:rsid w:val="00615715"/>
    <w:rsid w:val="00616B9D"/>
    <w:rsid w:val="0062205F"/>
    <w:rsid w:val="0062332E"/>
    <w:rsid w:val="00625652"/>
    <w:rsid w:val="0062773C"/>
    <w:rsid w:val="00631D0C"/>
    <w:rsid w:val="00633272"/>
    <w:rsid w:val="0063364B"/>
    <w:rsid w:val="00633D90"/>
    <w:rsid w:val="0063471E"/>
    <w:rsid w:val="00634B89"/>
    <w:rsid w:val="00640147"/>
    <w:rsid w:val="006427D8"/>
    <w:rsid w:val="0064770E"/>
    <w:rsid w:val="00650B63"/>
    <w:rsid w:val="00654BCB"/>
    <w:rsid w:val="00662A0F"/>
    <w:rsid w:val="00662D48"/>
    <w:rsid w:val="00664ECA"/>
    <w:rsid w:val="00665067"/>
    <w:rsid w:val="006650DA"/>
    <w:rsid w:val="006653DA"/>
    <w:rsid w:val="006657BB"/>
    <w:rsid w:val="00670001"/>
    <w:rsid w:val="00680AD4"/>
    <w:rsid w:val="00682C3D"/>
    <w:rsid w:val="0068481A"/>
    <w:rsid w:val="00694417"/>
    <w:rsid w:val="006968D9"/>
    <w:rsid w:val="0069794D"/>
    <w:rsid w:val="006A01D8"/>
    <w:rsid w:val="006A3D22"/>
    <w:rsid w:val="006B00C4"/>
    <w:rsid w:val="006B42B6"/>
    <w:rsid w:val="006C26BE"/>
    <w:rsid w:val="006C4285"/>
    <w:rsid w:val="006C4B63"/>
    <w:rsid w:val="006C5808"/>
    <w:rsid w:val="006D2455"/>
    <w:rsid w:val="006D281C"/>
    <w:rsid w:val="006D37AF"/>
    <w:rsid w:val="006D562D"/>
    <w:rsid w:val="006D57D5"/>
    <w:rsid w:val="006D78ED"/>
    <w:rsid w:val="006E48DE"/>
    <w:rsid w:val="006F403C"/>
    <w:rsid w:val="006F4870"/>
    <w:rsid w:val="006F6831"/>
    <w:rsid w:val="006F6A41"/>
    <w:rsid w:val="007009B9"/>
    <w:rsid w:val="00701CBE"/>
    <w:rsid w:val="0070214E"/>
    <w:rsid w:val="00707BF7"/>
    <w:rsid w:val="007138D5"/>
    <w:rsid w:val="007149C2"/>
    <w:rsid w:val="0071793F"/>
    <w:rsid w:val="00721AE5"/>
    <w:rsid w:val="00731803"/>
    <w:rsid w:val="0073293D"/>
    <w:rsid w:val="007360FA"/>
    <w:rsid w:val="00736C69"/>
    <w:rsid w:val="007376B2"/>
    <w:rsid w:val="00740A1A"/>
    <w:rsid w:val="00740F4E"/>
    <w:rsid w:val="00742511"/>
    <w:rsid w:val="00742656"/>
    <w:rsid w:val="00742793"/>
    <w:rsid w:val="007469CC"/>
    <w:rsid w:val="00751D49"/>
    <w:rsid w:val="00752113"/>
    <w:rsid w:val="00753305"/>
    <w:rsid w:val="00761A14"/>
    <w:rsid w:val="007628E6"/>
    <w:rsid w:val="00762B68"/>
    <w:rsid w:val="00767A91"/>
    <w:rsid w:val="00773ED4"/>
    <w:rsid w:val="00773F86"/>
    <w:rsid w:val="007753C0"/>
    <w:rsid w:val="00781E47"/>
    <w:rsid w:val="007824AD"/>
    <w:rsid w:val="007840F3"/>
    <w:rsid w:val="00785032"/>
    <w:rsid w:val="00786569"/>
    <w:rsid w:val="00794ADD"/>
    <w:rsid w:val="0079528C"/>
    <w:rsid w:val="00795C58"/>
    <w:rsid w:val="007960EF"/>
    <w:rsid w:val="007976BE"/>
    <w:rsid w:val="007A4032"/>
    <w:rsid w:val="007A6098"/>
    <w:rsid w:val="007A6180"/>
    <w:rsid w:val="007A64E4"/>
    <w:rsid w:val="007A7BA8"/>
    <w:rsid w:val="007B2DC0"/>
    <w:rsid w:val="007B6699"/>
    <w:rsid w:val="007B7176"/>
    <w:rsid w:val="007C2873"/>
    <w:rsid w:val="007C50C2"/>
    <w:rsid w:val="007D4A3A"/>
    <w:rsid w:val="007D5FE6"/>
    <w:rsid w:val="007D6735"/>
    <w:rsid w:val="007D69DE"/>
    <w:rsid w:val="007E35C2"/>
    <w:rsid w:val="007E57A3"/>
    <w:rsid w:val="007E5845"/>
    <w:rsid w:val="007F0F3B"/>
    <w:rsid w:val="007F2720"/>
    <w:rsid w:val="007F54A9"/>
    <w:rsid w:val="007F5F63"/>
    <w:rsid w:val="007F699A"/>
    <w:rsid w:val="007F7E98"/>
    <w:rsid w:val="00802AFC"/>
    <w:rsid w:val="00802B6C"/>
    <w:rsid w:val="0080429F"/>
    <w:rsid w:val="008073C0"/>
    <w:rsid w:val="00812487"/>
    <w:rsid w:val="00814548"/>
    <w:rsid w:val="00816759"/>
    <w:rsid w:val="00821ACB"/>
    <w:rsid w:val="00821D2B"/>
    <w:rsid w:val="00822C32"/>
    <w:rsid w:val="00823738"/>
    <w:rsid w:val="00823872"/>
    <w:rsid w:val="00825CE7"/>
    <w:rsid w:val="00832892"/>
    <w:rsid w:val="00832A57"/>
    <w:rsid w:val="00832FEA"/>
    <w:rsid w:val="00834274"/>
    <w:rsid w:val="00834C94"/>
    <w:rsid w:val="00835836"/>
    <w:rsid w:val="008405AD"/>
    <w:rsid w:val="0084623C"/>
    <w:rsid w:val="008478AB"/>
    <w:rsid w:val="00851803"/>
    <w:rsid w:val="008566E2"/>
    <w:rsid w:val="008621C8"/>
    <w:rsid w:val="00867251"/>
    <w:rsid w:val="00871068"/>
    <w:rsid w:val="0087178A"/>
    <w:rsid w:val="00872712"/>
    <w:rsid w:val="0087530F"/>
    <w:rsid w:val="00875FB5"/>
    <w:rsid w:val="00876C7D"/>
    <w:rsid w:val="0088282D"/>
    <w:rsid w:val="00886454"/>
    <w:rsid w:val="00887368"/>
    <w:rsid w:val="008904DF"/>
    <w:rsid w:val="00890CF1"/>
    <w:rsid w:val="008911C4"/>
    <w:rsid w:val="0089184C"/>
    <w:rsid w:val="00892B97"/>
    <w:rsid w:val="00895981"/>
    <w:rsid w:val="008A0E2E"/>
    <w:rsid w:val="008A53B9"/>
    <w:rsid w:val="008A76C4"/>
    <w:rsid w:val="008B430B"/>
    <w:rsid w:val="008B6F89"/>
    <w:rsid w:val="008B718E"/>
    <w:rsid w:val="008C149D"/>
    <w:rsid w:val="008C442D"/>
    <w:rsid w:val="008D0AB5"/>
    <w:rsid w:val="008D3F1D"/>
    <w:rsid w:val="008D5903"/>
    <w:rsid w:val="008E4101"/>
    <w:rsid w:val="008E5C3C"/>
    <w:rsid w:val="008E6D9F"/>
    <w:rsid w:val="008F5767"/>
    <w:rsid w:val="00900505"/>
    <w:rsid w:val="00903444"/>
    <w:rsid w:val="00912735"/>
    <w:rsid w:val="0091365A"/>
    <w:rsid w:val="00921C06"/>
    <w:rsid w:val="0092256A"/>
    <w:rsid w:val="00930702"/>
    <w:rsid w:val="009344CA"/>
    <w:rsid w:val="009347B3"/>
    <w:rsid w:val="00934F8E"/>
    <w:rsid w:val="00936297"/>
    <w:rsid w:val="009372CC"/>
    <w:rsid w:val="00937C37"/>
    <w:rsid w:val="00937C73"/>
    <w:rsid w:val="009405D5"/>
    <w:rsid w:val="00941340"/>
    <w:rsid w:val="00941B6F"/>
    <w:rsid w:val="00957564"/>
    <w:rsid w:val="009576A1"/>
    <w:rsid w:val="00960671"/>
    <w:rsid w:val="00961EA6"/>
    <w:rsid w:val="0096227E"/>
    <w:rsid w:val="00972530"/>
    <w:rsid w:val="00972787"/>
    <w:rsid w:val="009739C1"/>
    <w:rsid w:val="00974962"/>
    <w:rsid w:val="00980A01"/>
    <w:rsid w:val="00981424"/>
    <w:rsid w:val="009832F0"/>
    <w:rsid w:val="009835D2"/>
    <w:rsid w:val="00986277"/>
    <w:rsid w:val="00993918"/>
    <w:rsid w:val="009959DE"/>
    <w:rsid w:val="00997139"/>
    <w:rsid w:val="009A0013"/>
    <w:rsid w:val="009A1294"/>
    <w:rsid w:val="009A1353"/>
    <w:rsid w:val="009A4270"/>
    <w:rsid w:val="009A4FD2"/>
    <w:rsid w:val="009B0929"/>
    <w:rsid w:val="009B5963"/>
    <w:rsid w:val="009C4413"/>
    <w:rsid w:val="009C7245"/>
    <w:rsid w:val="009C73CD"/>
    <w:rsid w:val="009C7C8D"/>
    <w:rsid w:val="009E050C"/>
    <w:rsid w:val="009E17EB"/>
    <w:rsid w:val="009E683B"/>
    <w:rsid w:val="009F0C0D"/>
    <w:rsid w:val="009F0FFB"/>
    <w:rsid w:val="009F17AE"/>
    <w:rsid w:val="009F26FD"/>
    <w:rsid w:val="009F3E7A"/>
    <w:rsid w:val="009F530D"/>
    <w:rsid w:val="009F5781"/>
    <w:rsid w:val="009F605A"/>
    <w:rsid w:val="00A045AE"/>
    <w:rsid w:val="00A05772"/>
    <w:rsid w:val="00A13EAE"/>
    <w:rsid w:val="00A159A6"/>
    <w:rsid w:val="00A200BD"/>
    <w:rsid w:val="00A23D3B"/>
    <w:rsid w:val="00A27B0E"/>
    <w:rsid w:val="00A35C57"/>
    <w:rsid w:val="00A35CFC"/>
    <w:rsid w:val="00A4455C"/>
    <w:rsid w:val="00A45FED"/>
    <w:rsid w:val="00A4607E"/>
    <w:rsid w:val="00A4728A"/>
    <w:rsid w:val="00A510DE"/>
    <w:rsid w:val="00A5332D"/>
    <w:rsid w:val="00A575E0"/>
    <w:rsid w:val="00A60C3A"/>
    <w:rsid w:val="00A654B7"/>
    <w:rsid w:val="00A65586"/>
    <w:rsid w:val="00A679FD"/>
    <w:rsid w:val="00A729AA"/>
    <w:rsid w:val="00A77BE0"/>
    <w:rsid w:val="00A8214A"/>
    <w:rsid w:val="00A82497"/>
    <w:rsid w:val="00A848AE"/>
    <w:rsid w:val="00A90A2F"/>
    <w:rsid w:val="00A92FC4"/>
    <w:rsid w:val="00A95CA5"/>
    <w:rsid w:val="00AB2591"/>
    <w:rsid w:val="00AB25BC"/>
    <w:rsid w:val="00AB4F5F"/>
    <w:rsid w:val="00AB60E7"/>
    <w:rsid w:val="00AC09D6"/>
    <w:rsid w:val="00AC3F41"/>
    <w:rsid w:val="00AC5A86"/>
    <w:rsid w:val="00AC7EA3"/>
    <w:rsid w:val="00AD18C0"/>
    <w:rsid w:val="00AD6585"/>
    <w:rsid w:val="00AE072B"/>
    <w:rsid w:val="00AE0847"/>
    <w:rsid w:val="00AE4B04"/>
    <w:rsid w:val="00AE5CDB"/>
    <w:rsid w:val="00AE6589"/>
    <w:rsid w:val="00B0304B"/>
    <w:rsid w:val="00B05787"/>
    <w:rsid w:val="00B05868"/>
    <w:rsid w:val="00B07D5A"/>
    <w:rsid w:val="00B11090"/>
    <w:rsid w:val="00B16297"/>
    <w:rsid w:val="00B207C6"/>
    <w:rsid w:val="00B20B5B"/>
    <w:rsid w:val="00B23747"/>
    <w:rsid w:val="00B23DA3"/>
    <w:rsid w:val="00B30FDB"/>
    <w:rsid w:val="00B3289C"/>
    <w:rsid w:val="00B33F99"/>
    <w:rsid w:val="00B35D13"/>
    <w:rsid w:val="00B3692E"/>
    <w:rsid w:val="00B45B65"/>
    <w:rsid w:val="00B519F1"/>
    <w:rsid w:val="00B525E1"/>
    <w:rsid w:val="00B56240"/>
    <w:rsid w:val="00B57186"/>
    <w:rsid w:val="00B57CB5"/>
    <w:rsid w:val="00B57F8F"/>
    <w:rsid w:val="00B71C7A"/>
    <w:rsid w:val="00B76344"/>
    <w:rsid w:val="00B7754D"/>
    <w:rsid w:val="00B90A50"/>
    <w:rsid w:val="00B9377C"/>
    <w:rsid w:val="00B96DC9"/>
    <w:rsid w:val="00BA39A7"/>
    <w:rsid w:val="00BB17C6"/>
    <w:rsid w:val="00BB1984"/>
    <w:rsid w:val="00BB2B7F"/>
    <w:rsid w:val="00BB4E2E"/>
    <w:rsid w:val="00BB5D7C"/>
    <w:rsid w:val="00BB5D87"/>
    <w:rsid w:val="00BC0469"/>
    <w:rsid w:val="00BC1F2D"/>
    <w:rsid w:val="00BC2365"/>
    <w:rsid w:val="00BC59AD"/>
    <w:rsid w:val="00BC66A3"/>
    <w:rsid w:val="00BC7C18"/>
    <w:rsid w:val="00BC7DFF"/>
    <w:rsid w:val="00BD1550"/>
    <w:rsid w:val="00BD2843"/>
    <w:rsid w:val="00BD2E5E"/>
    <w:rsid w:val="00BD3B0D"/>
    <w:rsid w:val="00BE1447"/>
    <w:rsid w:val="00BE1AA9"/>
    <w:rsid w:val="00BE2D32"/>
    <w:rsid w:val="00BE3C75"/>
    <w:rsid w:val="00BE3DC7"/>
    <w:rsid w:val="00BE46EC"/>
    <w:rsid w:val="00BF0EF1"/>
    <w:rsid w:val="00BF3CF6"/>
    <w:rsid w:val="00BF770C"/>
    <w:rsid w:val="00C01A2D"/>
    <w:rsid w:val="00C01ACC"/>
    <w:rsid w:val="00C026E4"/>
    <w:rsid w:val="00C03944"/>
    <w:rsid w:val="00C04C77"/>
    <w:rsid w:val="00C16897"/>
    <w:rsid w:val="00C1748B"/>
    <w:rsid w:val="00C1752A"/>
    <w:rsid w:val="00C2050C"/>
    <w:rsid w:val="00C22F4B"/>
    <w:rsid w:val="00C232AA"/>
    <w:rsid w:val="00C31FBE"/>
    <w:rsid w:val="00C45ED1"/>
    <w:rsid w:val="00C47906"/>
    <w:rsid w:val="00C5105D"/>
    <w:rsid w:val="00C5347F"/>
    <w:rsid w:val="00C62C00"/>
    <w:rsid w:val="00C634F2"/>
    <w:rsid w:val="00C6777A"/>
    <w:rsid w:val="00C728F2"/>
    <w:rsid w:val="00C75192"/>
    <w:rsid w:val="00C76227"/>
    <w:rsid w:val="00C7657F"/>
    <w:rsid w:val="00C818C7"/>
    <w:rsid w:val="00C8290A"/>
    <w:rsid w:val="00C87BA4"/>
    <w:rsid w:val="00C90208"/>
    <w:rsid w:val="00C91C40"/>
    <w:rsid w:val="00C92866"/>
    <w:rsid w:val="00C933D8"/>
    <w:rsid w:val="00C93416"/>
    <w:rsid w:val="00C94BC4"/>
    <w:rsid w:val="00C966CC"/>
    <w:rsid w:val="00C97509"/>
    <w:rsid w:val="00CC200E"/>
    <w:rsid w:val="00CC73D0"/>
    <w:rsid w:val="00CD2A41"/>
    <w:rsid w:val="00CD31D5"/>
    <w:rsid w:val="00CE284F"/>
    <w:rsid w:val="00CE5FF1"/>
    <w:rsid w:val="00CE6EDA"/>
    <w:rsid w:val="00CE6F3D"/>
    <w:rsid w:val="00CF12DF"/>
    <w:rsid w:val="00CF1D76"/>
    <w:rsid w:val="00CF1E3F"/>
    <w:rsid w:val="00CF2ECF"/>
    <w:rsid w:val="00CF3ABE"/>
    <w:rsid w:val="00CF4039"/>
    <w:rsid w:val="00CF5029"/>
    <w:rsid w:val="00CF5B27"/>
    <w:rsid w:val="00D004DA"/>
    <w:rsid w:val="00D02605"/>
    <w:rsid w:val="00D03C48"/>
    <w:rsid w:val="00D11059"/>
    <w:rsid w:val="00D13584"/>
    <w:rsid w:val="00D13CD8"/>
    <w:rsid w:val="00D15D3A"/>
    <w:rsid w:val="00D22695"/>
    <w:rsid w:val="00D23EF7"/>
    <w:rsid w:val="00D241E5"/>
    <w:rsid w:val="00D24906"/>
    <w:rsid w:val="00D25080"/>
    <w:rsid w:val="00D278AC"/>
    <w:rsid w:val="00D361ED"/>
    <w:rsid w:val="00D3735F"/>
    <w:rsid w:val="00D41EB1"/>
    <w:rsid w:val="00D43251"/>
    <w:rsid w:val="00D46078"/>
    <w:rsid w:val="00D47FDF"/>
    <w:rsid w:val="00D54380"/>
    <w:rsid w:val="00D55D97"/>
    <w:rsid w:val="00D663E0"/>
    <w:rsid w:val="00D74EF3"/>
    <w:rsid w:val="00D75A65"/>
    <w:rsid w:val="00D761BB"/>
    <w:rsid w:val="00D77C5A"/>
    <w:rsid w:val="00D804C5"/>
    <w:rsid w:val="00D80AB5"/>
    <w:rsid w:val="00D8214A"/>
    <w:rsid w:val="00D86621"/>
    <w:rsid w:val="00D87938"/>
    <w:rsid w:val="00D945F9"/>
    <w:rsid w:val="00D973E2"/>
    <w:rsid w:val="00DA50BF"/>
    <w:rsid w:val="00DA52B5"/>
    <w:rsid w:val="00DB14EB"/>
    <w:rsid w:val="00DB3640"/>
    <w:rsid w:val="00DC0499"/>
    <w:rsid w:val="00DC2057"/>
    <w:rsid w:val="00DC5489"/>
    <w:rsid w:val="00DD20DC"/>
    <w:rsid w:val="00DD5196"/>
    <w:rsid w:val="00DD57C6"/>
    <w:rsid w:val="00DE2CB4"/>
    <w:rsid w:val="00DE35D5"/>
    <w:rsid w:val="00DE4E3F"/>
    <w:rsid w:val="00DE706D"/>
    <w:rsid w:val="00DF295A"/>
    <w:rsid w:val="00DF3D8C"/>
    <w:rsid w:val="00E00F3C"/>
    <w:rsid w:val="00E01BB3"/>
    <w:rsid w:val="00E04FE2"/>
    <w:rsid w:val="00E10E9D"/>
    <w:rsid w:val="00E172B8"/>
    <w:rsid w:val="00E174A1"/>
    <w:rsid w:val="00E1788A"/>
    <w:rsid w:val="00E20F93"/>
    <w:rsid w:val="00E227AA"/>
    <w:rsid w:val="00E23BA0"/>
    <w:rsid w:val="00E247AC"/>
    <w:rsid w:val="00E27453"/>
    <w:rsid w:val="00E30B9D"/>
    <w:rsid w:val="00E322DE"/>
    <w:rsid w:val="00E348CE"/>
    <w:rsid w:val="00E3551D"/>
    <w:rsid w:val="00E36298"/>
    <w:rsid w:val="00E37FE2"/>
    <w:rsid w:val="00E43690"/>
    <w:rsid w:val="00E44F7F"/>
    <w:rsid w:val="00E45212"/>
    <w:rsid w:val="00E4768A"/>
    <w:rsid w:val="00E506C1"/>
    <w:rsid w:val="00E523C3"/>
    <w:rsid w:val="00E52D29"/>
    <w:rsid w:val="00E5549E"/>
    <w:rsid w:val="00E5628D"/>
    <w:rsid w:val="00E57AAA"/>
    <w:rsid w:val="00E60E3D"/>
    <w:rsid w:val="00E624EE"/>
    <w:rsid w:val="00E63330"/>
    <w:rsid w:val="00E65AC7"/>
    <w:rsid w:val="00E66BC4"/>
    <w:rsid w:val="00E67C87"/>
    <w:rsid w:val="00E705D0"/>
    <w:rsid w:val="00E70668"/>
    <w:rsid w:val="00E7358D"/>
    <w:rsid w:val="00E73719"/>
    <w:rsid w:val="00E77F5A"/>
    <w:rsid w:val="00E84A00"/>
    <w:rsid w:val="00E863AB"/>
    <w:rsid w:val="00E959C9"/>
    <w:rsid w:val="00E97855"/>
    <w:rsid w:val="00E97999"/>
    <w:rsid w:val="00E97BBD"/>
    <w:rsid w:val="00EA569A"/>
    <w:rsid w:val="00EA71E3"/>
    <w:rsid w:val="00EB5E2C"/>
    <w:rsid w:val="00EB671C"/>
    <w:rsid w:val="00EB778A"/>
    <w:rsid w:val="00EC3E74"/>
    <w:rsid w:val="00EC4A87"/>
    <w:rsid w:val="00EC64D4"/>
    <w:rsid w:val="00EC6A2A"/>
    <w:rsid w:val="00EC6A31"/>
    <w:rsid w:val="00ED0856"/>
    <w:rsid w:val="00ED0D30"/>
    <w:rsid w:val="00EE03E1"/>
    <w:rsid w:val="00EE1A3E"/>
    <w:rsid w:val="00EE495F"/>
    <w:rsid w:val="00EE4E47"/>
    <w:rsid w:val="00EE6700"/>
    <w:rsid w:val="00EE7787"/>
    <w:rsid w:val="00EF0C58"/>
    <w:rsid w:val="00EF216B"/>
    <w:rsid w:val="00EF4EF3"/>
    <w:rsid w:val="00EF5C8C"/>
    <w:rsid w:val="00EF6E66"/>
    <w:rsid w:val="00F010A2"/>
    <w:rsid w:val="00F04D19"/>
    <w:rsid w:val="00F04EF3"/>
    <w:rsid w:val="00F05A8D"/>
    <w:rsid w:val="00F10D27"/>
    <w:rsid w:val="00F11E56"/>
    <w:rsid w:val="00F13E0B"/>
    <w:rsid w:val="00F14733"/>
    <w:rsid w:val="00F149C8"/>
    <w:rsid w:val="00F15294"/>
    <w:rsid w:val="00F20B66"/>
    <w:rsid w:val="00F22220"/>
    <w:rsid w:val="00F2244C"/>
    <w:rsid w:val="00F22E3A"/>
    <w:rsid w:val="00F2662B"/>
    <w:rsid w:val="00F26BE1"/>
    <w:rsid w:val="00F32684"/>
    <w:rsid w:val="00F32BF5"/>
    <w:rsid w:val="00F33935"/>
    <w:rsid w:val="00F34D2E"/>
    <w:rsid w:val="00F37AB4"/>
    <w:rsid w:val="00F40695"/>
    <w:rsid w:val="00F41526"/>
    <w:rsid w:val="00F42687"/>
    <w:rsid w:val="00F45090"/>
    <w:rsid w:val="00F548D0"/>
    <w:rsid w:val="00F55347"/>
    <w:rsid w:val="00F56EA2"/>
    <w:rsid w:val="00F60AE0"/>
    <w:rsid w:val="00F614AD"/>
    <w:rsid w:val="00F6577A"/>
    <w:rsid w:val="00F70428"/>
    <w:rsid w:val="00F707C4"/>
    <w:rsid w:val="00F7093F"/>
    <w:rsid w:val="00F70A9E"/>
    <w:rsid w:val="00F715C8"/>
    <w:rsid w:val="00F73EC4"/>
    <w:rsid w:val="00F75E16"/>
    <w:rsid w:val="00F77444"/>
    <w:rsid w:val="00F77818"/>
    <w:rsid w:val="00F838AA"/>
    <w:rsid w:val="00F85BC7"/>
    <w:rsid w:val="00F8638C"/>
    <w:rsid w:val="00F907DC"/>
    <w:rsid w:val="00F92944"/>
    <w:rsid w:val="00F9597B"/>
    <w:rsid w:val="00F96AB9"/>
    <w:rsid w:val="00FA0E2E"/>
    <w:rsid w:val="00FA2EDC"/>
    <w:rsid w:val="00FA3757"/>
    <w:rsid w:val="00FA4BA1"/>
    <w:rsid w:val="00FA597D"/>
    <w:rsid w:val="00FA6472"/>
    <w:rsid w:val="00FA6EED"/>
    <w:rsid w:val="00FA7613"/>
    <w:rsid w:val="00FB5AA5"/>
    <w:rsid w:val="00FC3066"/>
    <w:rsid w:val="00FC3417"/>
    <w:rsid w:val="00FC43D9"/>
    <w:rsid w:val="00FC4E84"/>
    <w:rsid w:val="00FD0BEB"/>
    <w:rsid w:val="00FD2806"/>
    <w:rsid w:val="00FD36DF"/>
    <w:rsid w:val="00FD39A4"/>
    <w:rsid w:val="00FE07AB"/>
    <w:rsid w:val="00FF1AD2"/>
    <w:rsid w:val="00FF3526"/>
    <w:rsid w:val="00FF45C4"/>
    <w:rsid w:val="00FF556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24D0052"/>
  <w15:docId w15:val="{67595C64-E893-45CA-86AD-B28529F42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8AE"/>
    <w:pPr>
      <w:spacing w:after="80" w:line="240" w:lineRule="auto"/>
    </w:pPr>
    <w:rPr>
      <w:rFonts w:ascii="Arial" w:hAnsi="Arial"/>
    </w:rPr>
  </w:style>
  <w:style w:type="paragraph" w:styleId="Heading1">
    <w:name w:val="heading 1"/>
    <w:basedOn w:val="Normal"/>
    <w:next w:val="Normal"/>
    <w:link w:val="Heading1Char"/>
    <w:qFormat/>
    <w:rsid w:val="00331254"/>
    <w:pPr>
      <w:keepNext/>
      <w:spacing w:after="0"/>
      <w:outlineLvl w:val="0"/>
    </w:pPr>
    <w:rPr>
      <w:rFonts w:eastAsia="Times New Roman" w:cs="Arial"/>
      <w:b/>
      <w:sz w:val="24"/>
      <w:szCs w:val="24"/>
    </w:rPr>
  </w:style>
  <w:style w:type="paragraph" w:styleId="Heading2">
    <w:name w:val="heading 2"/>
    <w:basedOn w:val="Normal"/>
    <w:next w:val="Normal"/>
    <w:link w:val="Heading2Char"/>
    <w:uiPriority w:val="9"/>
    <w:unhideWhenUsed/>
    <w:qFormat/>
    <w:rsid w:val="00C762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62C00"/>
    <w:pPr>
      <w:keepNext/>
      <w:keepLines/>
      <w:spacing w:before="200" w:after="0"/>
      <w:outlineLvl w:val="2"/>
    </w:pPr>
    <w:rPr>
      <w:rFonts w:eastAsiaTheme="majorEastAsia" w:cstheme="majorBidi"/>
      <w:b/>
      <w:bCs/>
    </w:rPr>
  </w:style>
  <w:style w:type="paragraph" w:styleId="Heading4">
    <w:name w:val="heading 4"/>
    <w:basedOn w:val="Normal"/>
    <w:link w:val="Heading4Char"/>
    <w:qFormat/>
    <w:rsid w:val="00C76227"/>
    <w:pPr>
      <w:keepNext/>
      <w:spacing w:before="240" w:after="60"/>
      <w:outlineLvl w:val="3"/>
    </w:pPr>
    <w:rPr>
      <w:rFonts w:ascii="Verdana" w:eastAsia="Times New Roman" w:hAnsi="Verdana" w:cs="Times New Roman"/>
      <w:b/>
      <w:bCs/>
      <w:sz w:val="28"/>
      <w:szCs w:val="28"/>
    </w:rPr>
  </w:style>
  <w:style w:type="paragraph" w:styleId="Heading5">
    <w:name w:val="heading 5"/>
    <w:basedOn w:val="Normal"/>
    <w:next w:val="Normal"/>
    <w:link w:val="Heading5Char"/>
    <w:uiPriority w:val="9"/>
    <w:unhideWhenUsed/>
    <w:qFormat/>
    <w:rsid w:val="00BC7DF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level2">
    <w:name w:val="Heading level 2"/>
    <w:basedOn w:val="Normal"/>
    <w:qFormat/>
    <w:rsid w:val="003D78DD"/>
    <w:pPr>
      <w:keepNext/>
      <w:spacing w:before="480" w:after="240"/>
      <w:outlineLvl w:val="1"/>
    </w:pPr>
    <w:rPr>
      <w:rFonts w:eastAsia="Times New Roman" w:cs="Times New Roman"/>
      <w:b/>
      <w:color w:val="FF3300"/>
      <w:sz w:val="24"/>
      <w:szCs w:val="24"/>
    </w:rPr>
  </w:style>
  <w:style w:type="paragraph" w:styleId="ListParagraph">
    <w:name w:val="List Paragraph"/>
    <w:basedOn w:val="Normal"/>
    <w:uiPriority w:val="34"/>
    <w:qFormat/>
    <w:rsid w:val="003D78DD"/>
    <w:pPr>
      <w:ind w:left="720"/>
      <w:contextualSpacing/>
    </w:pPr>
  </w:style>
  <w:style w:type="paragraph" w:customStyle="1" w:styleId="Headinglevel1">
    <w:name w:val="Heading level 1"/>
    <w:basedOn w:val="Normal"/>
    <w:qFormat/>
    <w:rsid w:val="00EE7787"/>
    <w:pPr>
      <w:spacing w:after="240"/>
      <w:outlineLvl w:val="0"/>
    </w:pPr>
    <w:rPr>
      <w:rFonts w:eastAsia="Times New Roman" w:cs="Times New Roman"/>
      <w:b/>
      <w:color w:val="003399"/>
      <w:sz w:val="28"/>
      <w:szCs w:val="28"/>
    </w:rPr>
  </w:style>
  <w:style w:type="paragraph" w:styleId="Footer">
    <w:name w:val="footer"/>
    <w:basedOn w:val="Normal"/>
    <w:link w:val="FooterChar"/>
    <w:uiPriority w:val="99"/>
    <w:unhideWhenUsed/>
    <w:rsid w:val="00EE7787"/>
    <w:pPr>
      <w:tabs>
        <w:tab w:val="center" w:pos="4513"/>
        <w:tab w:val="right" w:pos="9026"/>
      </w:tabs>
      <w:spacing w:after="0"/>
    </w:pPr>
  </w:style>
  <w:style w:type="character" w:customStyle="1" w:styleId="FooterChar">
    <w:name w:val="Footer Char"/>
    <w:basedOn w:val="DefaultParagraphFont"/>
    <w:link w:val="Footer"/>
    <w:uiPriority w:val="99"/>
    <w:rsid w:val="00EE7787"/>
  </w:style>
  <w:style w:type="table" w:styleId="TableGrid">
    <w:name w:val="Table Grid"/>
    <w:basedOn w:val="TableNormal"/>
    <w:uiPriority w:val="59"/>
    <w:rsid w:val="00EE77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23747"/>
    <w:pPr>
      <w:tabs>
        <w:tab w:val="center" w:pos="4513"/>
        <w:tab w:val="right" w:pos="9026"/>
      </w:tabs>
      <w:spacing w:after="0"/>
    </w:pPr>
  </w:style>
  <w:style w:type="character" w:customStyle="1" w:styleId="HeaderChar">
    <w:name w:val="Header Char"/>
    <w:basedOn w:val="DefaultParagraphFont"/>
    <w:link w:val="Header"/>
    <w:uiPriority w:val="99"/>
    <w:rsid w:val="00B23747"/>
  </w:style>
  <w:style w:type="paragraph" w:styleId="NoSpacing">
    <w:name w:val="No Spacing"/>
    <w:link w:val="NoSpacingChar"/>
    <w:uiPriority w:val="1"/>
    <w:qFormat/>
    <w:rsid w:val="00A35C57"/>
    <w:pPr>
      <w:spacing w:after="0" w:line="240" w:lineRule="auto"/>
    </w:pPr>
  </w:style>
  <w:style w:type="paragraph" w:styleId="BalloonText">
    <w:name w:val="Balloon Text"/>
    <w:basedOn w:val="Normal"/>
    <w:link w:val="BalloonTextChar"/>
    <w:uiPriority w:val="99"/>
    <w:semiHidden/>
    <w:unhideWhenUsed/>
    <w:rsid w:val="00A35C5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C57"/>
    <w:rPr>
      <w:rFonts w:ascii="Tahoma" w:hAnsi="Tahoma" w:cs="Tahoma"/>
      <w:sz w:val="16"/>
      <w:szCs w:val="16"/>
    </w:rPr>
  </w:style>
  <w:style w:type="paragraph" w:customStyle="1" w:styleId="Pa15">
    <w:name w:val="Pa15"/>
    <w:basedOn w:val="Normal"/>
    <w:next w:val="Normal"/>
    <w:uiPriority w:val="99"/>
    <w:rsid w:val="002B169B"/>
    <w:pPr>
      <w:autoSpaceDE w:val="0"/>
      <w:autoSpaceDN w:val="0"/>
      <w:adjustRightInd w:val="0"/>
      <w:spacing w:after="0" w:line="241" w:lineRule="atLeast"/>
    </w:pPr>
    <w:rPr>
      <w:rFonts w:ascii="Adobe Garamond Pro" w:eastAsiaTheme="minorHAnsi" w:hAnsi="Adobe Garamond Pro"/>
      <w:sz w:val="24"/>
      <w:szCs w:val="24"/>
      <w:lang w:eastAsia="en-US"/>
    </w:rPr>
  </w:style>
  <w:style w:type="paragraph" w:customStyle="1" w:styleId="Pa10">
    <w:name w:val="Pa10"/>
    <w:basedOn w:val="Normal"/>
    <w:next w:val="Normal"/>
    <w:uiPriority w:val="99"/>
    <w:rsid w:val="002B169B"/>
    <w:pPr>
      <w:autoSpaceDE w:val="0"/>
      <w:autoSpaceDN w:val="0"/>
      <w:adjustRightInd w:val="0"/>
      <w:spacing w:after="0" w:line="241" w:lineRule="atLeast"/>
    </w:pPr>
    <w:rPr>
      <w:rFonts w:ascii="Adobe Garamond Pro" w:eastAsiaTheme="minorHAnsi" w:hAnsi="Adobe Garamond Pro"/>
      <w:sz w:val="24"/>
      <w:szCs w:val="24"/>
      <w:lang w:eastAsia="en-US"/>
    </w:rPr>
  </w:style>
  <w:style w:type="paragraph" w:customStyle="1" w:styleId="Default">
    <w:name w:val="Default"/>
    <w:rsid w:val="002B169B"/>
    <w:pPr>
      <w:autoSpaceDE w:val="0"/>
      <w:autoSpaceDN w:val="0"/>
      <w:adjustRightInd w:val="0"/>
      <w:spacing w:after="0" w:line="240" w:lineRule="auto"/>
    </w:pPr>
    <w:rPr>
      <w:rFonts w:ascii="Tahoma" w:eastAsiaTheme="minorHAnsi" w:hAnsi="Tahoma" w:cs="Tahoma"/>
      <w:color w:val="000000"/>
      <w:sz w:val="24"/>
      <w:szCs w:val="24"/>
      <w:lang w:eastAsia="en-US"/>
    </w:rPr>
  </w:style>
  <w:style w:type="character" w:styleId="Hyperlink">
    <w:name w:val="Hyperlink"/>
    <w:basedOn w:val="DefaultParagraphFont"/>
    <w:uiPriority w:val="99"/>
    <w:unhideWhenUsed/>
    <w:rsid w:val="00E27453"/>
    <w:rPr>
      <w:color w:val="0000FF" w:themeColor="hyperlink"/>
      <w:u w:val="single"/>
    </w:rPr>
  </w:style>
  <w:style w:type="character" w:customStyle="1" w:styleId="A6">
    <w:name w:val="A6"/>
    <w:uiPriority w:val="99"/>
    <w:rsid w:val="00E27453"/>
    <w:rPr>
      <w:rFonts w:cs="Adobe Garamond Pro"/>
      <w:color w:val="000000"/>
    </w:rPr>
  </w:style>
  <w:style w:type="paragraph" w:customStyle="1" w:styleId="Pa12">
    <w:name w:val="Pa12"/>
    <w:basedOn w:val="Default"/>
    <w:next w:val="Default"/>
    <w:uiPriority w:val="99"/>
    <w:rsid w:val="00E27453"/>
    <w:pPr>
      <w:spacing w:line="241" w:lineRule="atLeast"/>
    </w:pPr>
    <w:rPr>
      <w:rFonts w:ascii="Adobe Garamond Pro" w:hAnsi="Adobe Garamond Pro" w:cstheme="minorBidi"/>
      <w:color w:val="auto"/>
    </w:rPr>
  </w:style>
  <w:style w:type="character" w:customStyle="1" w:styleId="A7">
    <w:name w:val="A7"/>
    <w:uiPriority w:val="99"/>
    <w:rsid w:val="00E27453"/>
    <w:rPr>
      <w:rFonts w:cs="Adobe Garamond Pro"/>
      <w:color w:val="000000"/>
      <w:sz w:val="12"/>
      <w:szCs w:val="12"/>
    </w:rPr>
  </w:style>
  <w:style w:type="character" w:customStyle="1" w:styleId="Heading1Char">
    <w:name w:val="Heading 1 Char"/>
    <w:basedOn w:val="DefaultParagraphFont"/>
    <w:link w:val="Heading1"/>
    <w:rsid w:val="00331254"/>
    <w:rPr>
      <w:rFonts w:ascii="Arial" w:eastAsia="Times New Roman" w:hAnsi="Arial" w:cs="Arial"/>
      <w:b/>
      <w:sz w:val="24"/>
      <w:szCs w:val="24"/>
    </w:rPr>
  </w:style>
  <w:style w:type="character" w:styleId="FollowedHyperlink">
    <w:name w:val="FollowedHyperlink"/>
    <w:basedOn w:val="DefaultParagraphFont"/>
    <w:uiPriority w:val="99"/>
    <w:semiHidden/>
    <w:unhideWhenUsed/>
    <w:rsid w:val="00A045AE"/>
    <w:rPr>
      <w:color w:val="800080" w:themeColor="followedHyperlink"/>
      <w:u w:val="single"/>
    </w:rPr>
  </w:style>
  <w:style w:type="character" w:customStyle="1" w:styleId="NoSpacingChar">
    <w:name w:val="No Spacing Char"/>
    <w:basedOn w:val="DefaultParagraphFont"/>
    <w:link w:val="NoSpacing"/>
    <w:uiPriority w:val="1"/>
    <w:rsid w:val="00593745"/>
  </w:style>
  <w:style w:type="paragraph" w:styleId="NormalWeb">
    <w:name w:val="Normal (Web)"/>
    <w:basedOn w:val="Normal"/>
    <w:uiPriority w:val="99"/>
    <w:unhideWhenUsed/>
    <w:rsid w:val="00250816"/>
    <w:pPr>
      <w:spacing w:before="100" w:beforeAutospacing="1" w:after="100" w:afterAutospacing="1"/>
    </w:pPr>
    <w:rPr>
      <w:rFonts w:ascii="Verdana" w:eastAsia="Times New Roman" w:hAnsi="Verdana" w:cs="Times New Roman"/>
      <w:szCs w:val="24"/>
    </w:rPr>
  </w:style>
  <w:style w:type="character" w:customStyle="1" w:styleId="Heading2Char">
    <w:name w:val="Heading 2 Char"/>
    <w:basedOn w:val="DefaultParagraphFont"/>
    <w:link w:val="Heading2"/>
    <w:uiPriority w:val="9"/>
    <w:rsid w:val="00C76227"/>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C76227"/>
    <w:rPr>
      <w:rFonts w:ascii="Verdana" w:eastAsia="Times New Roman" w:hAnsi="Verdana" w:cs="Times New Roman"/>
      <w:b/>
      <w:bCs/>
      <w:sz w:val="28"/>
      <w:szCs w:val="28"/>
    </w:rPr>
  </w:style>
  <w:style w:type="character" w:styleId="CommentReference">
    <w:name w:val="annotation reference"/>
    <w:basedOn w:val="DefaultParagraphFont"/>
    <w:uiPriority w:val="99"/>
    <w:semiHidden/>
    <w:unhideWhenUsed/>
    <w:rsid w:val="0091365A"/>
    <w:rPr>
      <w:sz w:val="16"/>
      <w:szCs w:val="16"/>
    </w:rPr>
  </w:style>
  <w:style w:type="paragraph" w:styleId="CommentText">
    <w:name w:val="annotation text"/>
    <w:basedOn w:val="Normal"/>
    <w:link w:val="CommentTextChar"/>
    <w:uiPriority w:val="99"/>
    <w:unhideWhenUsed/>
    <w:rsid w:val="0091365A"/>
    <w:rPr>
      <w:sz w:val="20"/>
      <w:szCs w:val="20"/>
    </w:rPr>
  </w:style>
  <w:style w:type="character" w:customStyle="1" w:styleId="CommentTextChar">
    <w:name w:val="Comment Text Char"/>
    <w:basedOn w:val="DefaultParagraphFont"/>
    <w:link w:val="CommentText"/>
    <w:uiPriority w:val="99"/>
    <w:rsid w:val="0091365A"/>
    <w:rPr>
      <w:sz w:val="20"/>
      <w:szCs w:val="20"/>
    </w:rPr>
  </w:style>
  <w:style w:type="paragraph" w:styleId="CommentSubject">
    <w:name w:val="annotation subject"/>
    <w:basedOn w:val="CommentText"/>
    <w:next w:val="CommentText"/>
    <w:link w:val="CommentSubjectChar"/>
    <w:uiPriority w:val="99"/>
    <w:semiHidden/>
    <w:unhideWhenUsed/>
    <w:rsid w:val="0091365A"/>
    <w:rPr>
      <w:b/>
      <w:bCs/>
    </w:rPr>
  </w:style>
  <w:style w:type="character" w:customStyle="1" w:styleId="CommentSubjectChar">
    <w:name w:val="Comment Subject Char"/>
    <w:basedOn w:val="CommentTextChar"/>
    <w:link w:val="CommentSubject"/>
    <w:uiPriority w:val="99"/>
    <w:semiHidden/>
    <w:rsid w:val="0091365A"/>
    <w:rPr>
      <w:b/>
      <w:bCs/>
      <w:sz w:val="20"/>
      <w:szCs w:val="20"/>
    </w:rPr>
  </w:style>
  <w:style w:type="paragraph" w:styleId="TOC2">
    <w:name w:val="toc 2"/>
    <w:basedOn w:val="Normal"/>
    <w:next w:val="Normal"/>
    <w:autoRedefine/>
    <w:uiPriority w:val="39"/>
    <w:unhideWhenUsed/>
    <w:rsid w:val="006D78ED"/>
    <w:pPr>
      <w:spacing w:after="100"/>
      <w:ind w:left="220"/>
    </w:pPr>
  </w:style>
  <w:style w:type="paragraph" w:styleId="TOC1">
    <w:name w:val="toc 1"/>
    <w:basedOn w:val="Normal"/>
    <w:next w:val="Normal"/>
    <w:autoRedefine/>
    <w:uiPriority w:val="39"/>
    <w:unhideWhenUsed/>
    <w:rsid w:val="006D78ED"/>
    <w:pPr>
      <w:spacing w:after="100"/>
    </w:pPr>
  </w:style>
  <w:style w:type="paragraph" w:styleId="TOCHeading">
    <w:name w:val="TOC Heading"/>
    <w:basedOn w:val="Heading1"/>
    <w:next w:val="Normal"/>
    <w:uiPriority w:val="39"/>
    <w:semiHidden/>
    <w:unhideWhenUsed/>
    <w:qFormat/>
    <w:rsid w:val="006D78ED"/>
    <w:pPr>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character" w:customStyle="1" w:styleId="Heading3Char">
    <w:name w:val="Heading 3 Char"/>
    <w:basedOn w:val="DefaultParagraphFont"/>
    <w:link w:val="Heading3"/>
    <w:uiPriority w:val="9"/>
    <w:rsid w:val="00C62C00"/>
    <w:rPr>
      <w:rFonts w:ascii="Arial" w:eastAsiaTheme="majorEastAsia" w:hAnsi="Arial" w:cstheme="majorBidi"/>
      <w:b/>
      <w:bCs/>
    </w:rPr>
  </w:style>
  <w:style w:type="paragraph" w:styleId="TOC3">
    <w:name w:val="toc 3"/>
    <w:basedOn w:val="Normal"/>
    <w:next w:val="Normal"/>
    <w:autoRedefine/>
    <w:uiPriority w:val="39"/>
    <w:unhideWhenUsed/>
    <w:rsid w:val="00BE46EC"/>
    <w:pPr>
      <w:spacing w:after="100"/>
      <w:ind w:left="440"/>
    </w:pPr>
  </w:style>
  <w:style w:type="character" w:customStyle="1" w:styleId="Heading5Char">
    <w:name w:val="Heading 5 Char"/>
    <w:basedOn w:val="DefaultParagraphFont"/>
    <w:link w:val="Heading5"/>
    <w:uiPriority w:val="9"/>
    <w:rsid w:val="00BC7DFF"/>
    <w:rPr>
      <w:rFonts w:asciiTheme="majorHAnsi" w:eastAsiaTheme="majorEastAsia" w:hAnsiTheme="majorHAnsi" w:cstheme="majorBidi"/>
      <w:color w:val="243F60" w:themeColor="accent1" w:themeShade="7F"/>
    </w:rPr>
  </w:style>
  <w:style w:type="paragraph" w:customStyle="1" w:styleId="ecxmsonormal">
    <w:name w:val="ecxmsonormal"/>
    <w:basedOn w:val="Normal"/>
    <w:rsid w:val="000412D6"/>
    <w:pPr>
      <w:spacing w:after="324"/>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38011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14388">
      <w:bodyDiv w:val="1"/>
      <w:marLeft w:val="0"/>
      <w:marRight w:val="0"/>
      <w:marTop w:val="0"/>
      <w:marBottom w:val="0"/>
      <w:divBdr>
        <w:top w:val="none" w:sz="0" w:space="0" w:color="auto"/>
        <w:left w:val="none" w:sz="0" w:space="0" w:color="auto"/>
        <w:bottom w:val="none" w:sz="0" w:space="0" w:color="auto"/>
        <w:right w:val="none" w:sz="0" w:space="0" w:color="auto"/>
      </w:divBdr>
    </w:div>
    <w:div w:id="151071990">
      <w:bodyDiv w:val="1"/>
      <w:marLeft w:val="0"/>
      <w:marRight w:val="0"/>
      <w:marTop w:val="0"/>
      <w:marBottom w:val="0"/>
      <w:divBdr>
        <w:top w:val="none" w:sz="0" w:space="0" w:color="auto"/>
        <w:left w:val="none" w:sz="0" w:space="0" w:color="auto"/>
        <w:bottom w:val="none" w:sz="0" w:space="0" w:color="auto"/>
        <w:right w:val="none" w:sz="0" w:space="0" w:color="auto"/>
      </w:divBdr>
    </w:div>
    <w:div w:id="334575297">
      <w:bodyDiv w:val="1"/>
      <w:marLeft w:val="0"/>
      <w:marRight w:val="0"/>
      <w:marTop w:val="0"/>
      <w:marBottom w:val="0"/>
      <w:divBdr>
        <w:top w:val="none" w:sz="0" w:space="0" w:color="auto"/>
        <w:left w:val="none" w:sz="0" w:space="0" w:color="auto"/>
        <w:bottom w:val="none" w:sz="0" w:space="0" w:color="auto"/>
        <w:right w:val="none" w:sz="0" w:space="0" w:color="auto"/>
      </w:divBdr>
    </w:div>
    <w:div w:id="457995518">
      <w:bodyDiv w:val="1"/>
      <w:marLeft w:val="0"/>
      <w:marRight w:val="0"/>
      <w:marTop w:val="0"/>
      <w:marBottom w:val="0"/>
      <w:divBdr>
        <w:top w:val="none" w:sz="0" w:space="0" w:color="auto"/>
        <w:left w:val="none" w:sz="0" w:space="0" w:color="auto"/>
        <w:bottom w:val="none" w:sz="0" w:space="0" w:color="auto"/>
        <w:right w:val="none" w:sz="0" w:space="0" w:color="auto"/>
      </w:divBdr>
      <w:divsChild>
        <w:div w:id="1721979573">
          <w:marLeft w:val="0"/>
          <w:marRight w:val="0"/>
          <w:marTop w:val="0"/>
          <w:marBottom w:val="0"/>
          <w:divBdr>
            <w:top w:val="none" w:sz="0" w:space="0" w:color="auto"/>
            <w:left w:val="none" w:sz="0" w:space="0" w:color="auto"/>
            <w:bottom w:val="none" w:sz="0" w:space="0" w:color="auto"/>
            <w:right w:val="none" w:sz="0" w:space="0" w:color="auto"/>
          </w:divBdr>
          <w:divsChild>
            <w:div w:id="1106537986">
              <w:marLeft w:val="0"/>
              <w:marRight w:val="0"/>
              <w:marTop w:val="100"/>
              <w:marBottom w:val="100"/>
              <w:divBdr>
                <w:top w:val="none" w:sz="0" w:space="0" w:color="auto"/>
                <w:left w:val="none" w:sz="0" w:space="0" w:color="auto"/>
                <w:bottom w:val="none" w:sz="0" w:space="0" w:color="auto"/>
                <w:right w:val="none" w:sz="0" w:space="0" w:color="auto"/>
              </w:divBdr>
              <w:divsChild>
                <w:div w:id="420151468">
                  <w:marLeft w:val="0"/>
                  <w:marRight w:val="0"/>
                  <w:marTop w:val="0"/>
                  <w:marBottom w:val="0"/>
                  <w:divBdr>
                    <w:top w:val="none" w:sz="0" w:space="0" w:color="auto"/>
                    <w:left w:val="none" w:sz="0" w:space="0" w:color="auto"/>
                    <w:bottom w:val="none" w:sz="0" w:space="0" w:color="auto"/>
                    <w:right w:val="none" w:sz="0" w:space="0" w:color="auto"/>
                  </w:divBdr>
                  <w:divsChild>
                    <w:div w:id="1101297036">
                      <w:marLeft w:val="0"/>
                      <w:marRight w:val="0"/>
                      <w:marTop w:val="0"/>
                      <w:marBottom w:val="0"/>
                      <w:divBdr>
                        <w:top w:val="none" w:sz="0" w:space="0" w:color="auto"/>
                        <w:left w:val="none" w:sz="0" w:space="0" w:color="auto"/>
                        <w:bottom w:val="none" w:sz="0" w:space="0" w:color="auto"/>
                        <w:right w:val="none" w:sz="0" w:space="0" w:color="auto"/>
                      </w:divBdr>
                      <w:divsChild>
                        <w:div w:id="565603557">
                          <w:marLeft w:val="0"/>
                          <w:marRight w:val="0"/>
                          <w:marTop w:val="0"/>
                          <w:marBottom w:val="0"/>
                          <w:divBdr>
                            <w:top w:val="none" w:sz="0" w:space="0" w:color="auto"/>
                            <w:left w:val="none" w:sz="0" w:space="0" w:color="auto"/>
                            <w:bottom w:val="none" w:sz="0" w:space="0" w:color="auto"/>
                            <w:right w:val="none" w:sz="0" w:space="0" w:color="auto"/>
                          </w:divBdr>
                          <w:divsChild>
                            <w:div w:id="961613147">
                              <w:marLeft w:val="0"/>
                              <w:marRight w:val="0"/>
                              <w:marTop w:val="0"/>
                              <w:marBottom w:val="180"/>
                              <w:divBdr>
                                <w:top w:val="none" w:sz="0" w:space="0" w:color="auto"/>
                                <w:left w:val="none" w:sz="0" w:space="0" w:color="auto"/>
                                <w:bottom w:val="none" w:sz="0" w:space="0" w:color="auto"/>
                                <w:right w:val="none" w:sz="0" w:space="0" w:color="auto"/>
                              </w:divBdr>
                              <w:divsChild>
                                <w:div w:id="87505131">
                                  <w:marLeft w:val="0"/>
                                  <w:marRight w:val="0"/>
                                  <w:marTop w:val="0"/>
                                  <w:marBottom w:val="0"/>
                                  <w:divBdr>
                                    <w:top w:val="none" w:sz="0" w:space="0" w:color="auto"/>
                                    <w:left w:val="none" w:sz="0" w:space="0" w:color="auto"/>
                                    <w:bottom w:val="none" w:sz="0" w:space="0" w:color="auto"/>
                                    <w:right w:val="none" w:sz="0" w:space="0" w:color="auto"/>
                                  </w:divBdr>
                                  <w:divsChild>
                                    <w:div w:id="115373805">
                                      <w:marLeft w:val="0"/>
                                      <w:marRight w:val="0"/>
                                      <w:marTop w:val="0"/>
                                      <w:marBottom w:val="0"/>
                                      <w:divBdr>
                                        <w:top w:val="none" w:sz="0" w:space="0" w:color="auto"/>
                                        <w:left w:val="none" w:sz="0" w:space="0" w:color="auto"/>
                                        <w:bottom w:val="none" w:sz="0" w:space="0" w:color="auto"/>
                                        <w:right w:val="none" w:sz="0" w:space="0" w:color="auto"/>
                                      </w:divBdr>
                                      <w:divsChild>
                                        <w:div w:id="1617177586">
                                          <w:marLeft w:val="0"/>
                                          <w:marRight w:val="0"/>
                                          <w:marTop w:val="0"/>
                                          <w:marBottom w:val="0"/>
                                          <w:divBdr>
                                            <w:top w:val="none" w:sz="0" w:space="0" w:color="auto"/>
                                            <w:left w:val="none" w:sz="0" w:space="0" w:color="auto"/>
                                            <w:bottom w:val="none" w:sz="0" w:space="0" w:color="auto"/>
                                            <w:right w:val="none" w:sz="0" w:space="0" w:color="auto"/>
                                          </w:divBdr>
                                          <w:divsChild>
                                            <w:div w:id="426969248">
                                              <w:marLeft w:val="0"/>
                                              <w:marRight w:val="0"/>
                                              <w:marTop w:val="0"/>
                                              <w:marBottom w:val="0"/>
                                              <w:divBdr>
                                                <w:top w:val="none" w:sz="0" w:space="0" w:color="auto"/>
                                                <w:left w:val="none" w:sz="0" w:space="0" w:color="auto"/>
                                                <w:bottom w:val="none" w:sz="0" w:space="0" w:color="auto"/>
                                                <w:right w:val="none" w:sz="0" w:space="0" w:color="auto"/>
                                              </w:divBdr>
                                              <w:divsChild>
                                                <w:div w:id="1077633288">
                                                  <w:marLeft w:val="0"/>
                                                  <w:marRight w:val="0"/>
                                                  <w:marTop w:val="0"/>
                                                  <w:marBottom w:val="0"/>
                                                  <w:divBdr>
                                                    <w:top w:val="none" w:sz="0" w:space="0" w:color="auto"/>
                                                    <w:left w:val="none" w:sz="0" w:space="0" w:color="auto"/>
                                                    <w:bottom w:val="none" w:sz="0" w:space="0" w:color="auto"/>
                                                    <w:right w:val="none" w:sz="0" w:space="0" w:color="auto"/>
                                                  </w:divBdr>
                                                  <w:divsChild>
                                                    <w:div w:id="869339716">
                                                      <w:marLeft w:val="0"/>
                                                      <w:marRight w:val="0"/>
                                                      <w:marTop w:val="0"/>
                                                      <w:marBottom w:val="0"/>
                                                      <w:divBdr>
                                                        <w:top w:val="none" w:sz="0" w:space="0" w:color="auto"/>
                                                        <w:left w:val="none" w:sz="0" w:space="0" w:color="auto"/>
                                                        <w:bottom w:val="none" w:sz="0" w:space="0" w:color="auto"/>
                                                        <w:right w:val="none" w:sz="0" w:space="0" w:color="auto"/>
                                                      </w:divBdr>
                                                      <w:divsChild>
                                                        <w:div w:id="234168740">
                                                          <w:marLeft w:val="0"/>
                                                          <w:marRight w:val="0"/>
                                                          <w:marTop w:val="0"/>
                                                          <w:marBottom w:val="0"/>
                                                          <w:divBdr>
                                                            <w:top w:val="none" w:sz="0" w:space="0" w:color="auto"/>
                                                            <w:left w:val="none" w:sz="0" w:space="0" w:color="auto"/>
                                                            <w:bottom w:val="none" w:sz="0" w:space="0" w:color="auto"/>
                                                            <w:right w:val="none" w:sz="0" w:space="0" w:color="auto"/>
                                                          </w:divBdr>
                                                          <w:divsChild>
                                                            <w:div w:id="1127815560">
                                                              <w:marLeft w:val="0"/>
                                                              <w:marRight w:val="0"/>
                                                              <w:marTop w:val="0"/>
                                                              <w:marBottom w:val="0"/>
                                                              <w:divBdr>
                                                                <w:top w:val="none" w:sz="0" w:space="0" w:color="auto"/>
                                                                <w:left w:val="none" w:sz="0" w:space="0" w:color="auto"/>
                                                                <w:bottom w:val="none" w:sz="0" w:space="0" w:color="auto"/>
                                                                <w:right w:val="none" w:sz="0" w:space="0" w:color="auto"/>
                                                              </w:divBdr>
                                                              <w:divsChild>
                                                                <w:div w:id="1573813652">
                                                                  <w:marLeft w:val="0"/>
                                                                  <w:marRight w:val="0"/>
                                                                  <w:marTop w:val="0"/>
                                                                  <w:marBottom w:val="0"/>
                                                                  <w:divBdr>
                                                                    <w:top w:val="none" w:sz="0" w:space="0" w:color="auto"/>
                                                                    <w:left w:val="none" w:sz="0" w:space="0" w:color="auto"/>
                                                                    <w:bottom w:val="none" w:sz="0" w:space="0" w:color="auto"/>
                                                                    <w:right w:val="none" w:sz="0" w:space="0" w:color="auto"/>
                                                                  </w:divBdr>
                                                                  <w:divsChild>
                                                                    <w:div w:id="146978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29364238">
      <w:bodyDiv w:val="1"/>
      <w:marLeft w:val="0"/>
      <w:marRight w:val="0"/>
      <w:marTop w:val="0"/>
      <w:marBottom w:val="0"/>
      <w:divBdr>
        <w:top w:val="none" w:sz="0" w:space="0" w:color="auto"/>
        <w:left w:val="none" w:sz="0" w:space="0" w:color="auto"/>
        <w:bottom w:val="none" w:sz="0" w:space="0" w:color="auto"/>
        <w:right w:val="none" w:sz="0" w:space="0" w:color="auto"/>
      </w:divBdr>
    </w:div>
    <w:div w:id="897473116">
      <w:bodyDiv w:val="1"/>
      <w:marLeft w:val="0"/>
      <w:marRight w:val="0"/>
      <w:marTop w:val="0"/>
      <w:marBottom w:val="0"/>
      <w:divBdr>
        <w:top w:val="none" w:sz="0" w:space="0" w:color="auto"/>
        <w:left w:val="none" w:sz="0" w:space="0" w:color="auto"/>
        <w:bottom w:val="none" w:sz="0" w:space="0" w:color="auto"/>
        <w:right w:val="none" w:sz="0" w:space="0" w:color="auto"/>
      </w:divBdr>
    </w:div>
    <w:div w:id="927428293">
      <w:bodyDiv w:val="1"/>
      <w:marLeft w:val="0"/>
      <w:marRight w:val="0"/>
      <w:marTop w:val="0"/>
      <w:marBottom w:val="0"/>
      <w:divBdr>
        <w:top w:val="none" w:sz="0" w:space="0" w:color="auto"/>
        <w:left w:val="none" w:sz="0" w:space="0" w:color="auto"/>
        <w:bottom w:val="none" w:sz="0" w:space="0" w:color="auto"/>
        <w:right w:val="none" w:sz="0" w:space="0" w:color="auto"/>
      </w:divBdr>
    </w:div>
    <w:div w:id="985739077">
      <w:bodyDiv w:val="1"/>
      <w:marLeft w:val="0"/>
      <w:marRight w:val="0"/>
      <w:marTop w:val="0"/>
      <w:marBottom w:val="0"/>
      <w:divBdr>
        <w:top w:val="none" w:sz="0" w:space="0" w:color="auto"/>
        <w:left w:val="none" w:sz="0" w:space="0" w:color="auto"/>
        <w:bottom w:val="none" w:sz="0" w:space="0" w:color="auto"/>
        <w:right w:val="none" w:sz="0" w:space="0" w:color="auto"/>
      </w:divBdr>
      <w:divsChild>
        <w:div w:id="2036497455">
          <w:marLeft w:val="0"/>
          <w:marRight w:val="0"/>
          <w:marTop w:val="0"/>
          <w:marBottom w:val="0"/>
          <w:divBdr>
            <w:top w:val="none" w:sz="0" w:space="0" w:color="auto"/>
            <w:left w:val="none" w:sz="0" w:space="0" w:color="auto"/>
            <w:bottom w:val="none" w:sz="0" w:space="0" w:color="auto"/>
            <w:right w:val="none" w:sz="0" w:space="0" w:color="auto"/>
          </w:divBdr>
          <w:divsChild>
            <w:div w:id="1912810989">
              <w:marLeft w:val="0"/>
              <w:marRight w:val="0"/>
              <w:marTop w:val="0"/>
              <w:marBottom w:val="0"/>
              <w:divBdr>
                <w:top w:val="none" w:sz="0" w:space="0" w:color="auto"/>
                <w:left w:val="none" w:sz="0" w:space="0" w:color="auto"/>
                <w:bottom w:val="none" w:sz="0" w:space="0" w:color="auto"/>
                <w:right w:val="none" w:sz="0" w:space="0" w:color="auto"/>
              </w:divBdr>
              <w:divsChild>
                <w:div w:id="1057315586">
                  <w:marLeft w:val="0"/>
                  <w:marRight w:val="0"/>
                  <w:marTop w:val="0"/>
                  <w:marBottom w:val="0"/>
                  <w:divBdr>
                    <w:top w:val="none" w:sz="0" w:space="0" w:color="auto"/>
                    <w:left w:val="none" w:sz="0" w:space="0" w:color="auto"/>
                    <w:bottom w:val="none" w:sz="0" w:space="0" w:color="auto"/>
                    <w:right w:val="none" w:sz="0" w:space="0" w:color="auto"/>
                  </w:divBdr>
                  <w:divsChild>
                    <w:div w:id="306714694">
                      <w:marLeft w:val="0"/>
                      <w:marRight w:val="0"/>
                      <w:marTop w:val="0"/>
                      <w:marBottom w:val="0"/>
                      <w:divBdr>
                        <w:top w:val="none" w:sz="0" w:space="0" w:color="auto"/>
                        <w:left w:val="none" w:sz="0" w:space="0" w:color="auto"/>
                        <w:bottom w:val="none" w:sz="0" w:space="0" w:color="auto"/>
                        <w:right w:val="none" w:sz="0" w:space="0" w:color="auto"/>
                      </w:divBdr>
                      <w:divsChild>
                        <w:div w:id="366296446">
                          <w:marLeft w:val="0"/>
                          <w:marRight w:val="0"/>
                          <w:marTop w:val="0"/>
                          <w:marBottom w:val="0"/>
                          <w:divBdr>
                            <w:top w:val="none" w:sz="0" w:space="0" w:color="auto"/>
                            <w:left w:val="none" w:sz="0" w:space="0" w:color="auto"/>
                            <w:bottom w:val="none" w:sz="0" w:space="0" w:color="auto"/>
                            <w:right w:val="none" w:sz="0" w:space="0" w:color="auto"/>
                          </w:divBdr>
                          <w:divsChild>
                            <w:div w:id="909581758">
                              <w:marLeft w:val="0"/>
                              <w:marRight w:val="0"/>
                              <w:marTop w:val="0"/>
                              <w:marBottom w:val="0"/>
                              <w:divBdr>
                                <w:top w:val="single" w:sz="6" w:space="0" w:color="auto"/>
                                <w:left w:val="single" w:sz="6" w:space="0" w:color="auto"/>
                                <w:bottom w:val="single" w:sz="6" w:space="0" w:color="auto"/>
                                <w:right w:val="single" w:sz="6" w:space="0" w:color="auto"/>
                              </w:divBdr>
                              <w:divsChild>
                                <w:div w:id="402412">
                                  <w:marLeft w:val="0"/>
                                  <w:marRight w:val="195"/>
                                  <w:marTop w:val="0"/>
                                  <w:marBottom w:val="0"/>
                                  <w:divBdr>
                                    <w:top w:val="none" w:sz="0" w:space="0" w:color="auto"/>
                                    <w:left w:val="none" w:sz="0" w:space="0" w:color="auto"/>
                                    <w:bottom w:val="none" w:sz="0" w:space="0" w:color="auto"/>
                                    <w:right w:val="none" w:sz="0" w:space="0" w:color="auto"/>
                                  </w:divBdr>
                                  <w:divsChild>
                                    <w:div w:id="1718235663">
                                      <w:marLeft w:val="0"/>
                                      <w:marRight w:val="0"/>
                                      <w:marTop w:val="0"/>
                                      <w:marBottom w:val="0"/>
                                      <w:divBdr>
                                        <w:top w:val="none" w:sz="0" w:space="0" w:color="auto"/>
                                        <w:left w:val="none" w:sz="0" w:space="0" w:color="auto"/>
                                        <w:bottom w:val="none" w:sz="0" w:space="0" w:color="auto"/>
                                        <w:right w:val="none" w:sz="0" w:space="0" w:color="auto"/>
                                      </w:divBdr>
                                      <w:divsChild>
                                        <w:div w:id="1346597732">
                                          <w:marLeft w:val="0"/>
                                          <w:marRight w:val="195"/>
                                          <w:marTop w:val="0"/>
                                          <w:marBottom w:val="0"/>
                                          <w:divBdr>
                                            <w:top w:val="none" w:sz="0" w:space="0" w:color="auto"/>
                                            <w:left w:val="none" w:sz="0" w:space="0" w:color="auto"/>
                                            <w:bottom w:val="none" w:sz="0" w:space="0" w:color="auto"/>
                                            <w:right w:val="none" w:sz="0" w:space="0" w:color="auto"/>
                                          </w:divBdr>
                                          <w:divsChild>
                                            <w:div w:id="620957906">
                                              <w:marLeft w:val="0"/>
                                              <w:marRight w:val="0"/>
                                              <w:marTop w:val="0"/>
                                              <w:marBottom w:val="0"/>
                                              <w:divBdr>
                                                <w:top w:val="none" w:sz="0" w:space="0" w:color="auto"/>
                                                <w:left w:val="none" w:sz="0" w:space="0" w:color="auto"/>
                                                <w:bottom w:val="none" w:sz="0" w:space="0" w:color="auto"/>
                                                <w:right w:val="none" w:sz="0" w:space="0" w:color="auto"/>
                                              </w:divBdr>
                                              <w:divsChild>
                                                <w:div w:id="1167401340">
                                                  <w:marLeft w:val="0"/>
                                                  <w:marRight w:val="0"/>
                                                  <w:marTop w:val="0"/>
                                                  <w:marBottom w:val="0"/>
                                                  <w:divBdr>
                                                    <w:top w:val="none" w:sz="0" w:space="0" w:color="auto"/>
                                                    <w:left w:val="none" w:sz="0" w:space="0" w:color="auto"/>
                                                    <w:bottom w:val="none" w:sz="0" w:space="0" w:color="auto"/>
                                                    <w:right w:val="none" w:sz="0" w:space="0" w:color="auto"/>
                                                  </w:divBdr>
                                                  <w:divsChild>
                                                    <w:div w:id="37945950">
                                                      <w:marLeft w:val="0"/>
                                                      <w:marRight w:val="0"/>
                                                      <w:marTop w:val="0"/>
                                                      <w:marBottom w:val="0"/>
                                                      <w:divBdr>
                                                        <w:top w:val="none" w:sz="0" w:space="0" w:color="auto"/>
                                                        <w:left w:val="none" w:sz="0" w:space="0" w:color="auto"/>
                                                        <w:bottom w:val="none" w:sz="0" w:space="0" w:color="auto"/>
                                                        <w:right w:val="none" w:sz="0" w:space="0" w:color="auto"/>
                                                      </w:divBdr>
                                                      <w:divsChild>
                                                        <w:div w:id="844631434">
                                                          <w:marLeft w:val="0"/>
                                                          <w:marRight w:val="0"/>
                                                          <w:marTop w:val="0"/>
                                                          <w:marBottom w:val="0"/>
                                                          <w:divBdr>
                                                            <w:top w:val="none" w:sz="0" w:space="0" w:color="auto"/>
                                                            <w:left w:val="none" w:sz="0" w:space="0" w:color="auto"/>
                                                            <w:bottom w:val="none" w:sz="0" w:space="0" w:color="auto"/>
                                                            <w:right w:val="none" w:sz="0" w:space="0" w:color="auto"/>
                                                          </w:divBdr>
                                                          <w:divsChild>
                                                            <w:div w:id="354426490">
                                                              <w:marLeft w:val="0"/>
                                                              <w:marRight w:val="0"/>
                                                              <w:marTop w:val="0"/>
                                                              <w:marBottom w:val="0"/>
                                                              <w:divBdr>
                                                                <w:top w:val="none" w:sz="0" w:space="0" w:color="auto"/>
                                                                <w:left w:val="none" w:sz="0" w:space="0" w:color="auto"/>
                                                                <w:bottom w:val="none" w:sz="0" w:space="0" w:color="auto"/>
                                                                <w:right w:val="none" w:sz="0" w:space="0" w:color="auto"/>
                                                              </w:divBdr>
                                                              <w:divsChild>
                                                                <w:div w:id="1983657601">
                                                                  <w:marLeft w:val="405"/>
                                                                  <w:marRight w:val="0"/>
                                                                  <w:marTop w:val="0"/>
                                                                  <w:marBottom w:val="0"/>
                                                                  <w:divBdr>
                                                                    <w:top w:val="none" w:sz="0" w:space="0" w:color="auto"/>
                                                                    <w:left w:val="none" w:sz="0" w:space="0" w:color="auto"/>
                                                                    <w:bottom w:val="none" w:sz="0" w:space="0" w:color="auto"/>
                                                                    <w:right w:val="none" w:sz="0" w:space="0" w:color="auto"/>
                                                                  </w:divBdr>
                                                                  <w:divsChild>
                                                                    <w:div w:id="230385227">
                                                                      <w:marLeft w:val="0"/>
                                                                      <w:marRight w:val="0"/>
                                                                      <w:marTop w:val="0"/>
                                                                      <w:marBottom w:val="0"/>
                                                                      <w:divBdr>
                                                                        <w:top w:val="none" w:sz="0" w:space="0" w:color="auto"/>
                                                                        <w:left w:val="none" w:sz="0" w:space="0" w:color="auto"/>
                                                                        <w:bottom w:val="none" w:sz="0" w:space="0" w:color="auto"/>
                                                                        <w:right w:val="none" w:sz="0" w:space="0" w:color="auto"/>
                                                                      </w:divBdr>
                                                                      <w:divsChild>
                                                                        <w:div w:id="1158233730">
                                                                          <w:marLeft w:val="0"/>
                                                                          <w:marRight w:val="0"/>
                                                                          <w:marTop w:val="0"/>
                                                                          <w:marBottom w:val="0"/>
                                                                          <w:divBdr>
                                                                            <w:top w:val="none" w:sz="0" w:space="0" w:color="auto"/>
                                                                            <w:left w:val="none" w:sz="0" w:space="0" w:color="auto"/>
                                                                            <w:bottom w:val="none" w:sz="0" w:space="0" w:color="auto"/>
                                                                            <w:right w:val="none" w:sz="0" w:space="0" w:color="auto"/>
                                                                          </w:divBdr>
                                                                          <w:divsChild>
                                                                            <w:div w:id="1443958049">
                                                                              <w:marLeft w:val="0"/>
                                                                              <w:marRight w:val="0"/>
                                                                              <w:marTop w:val="60"/>
                                                                              <w:marBottom w:val="0"/>
                                                                              <w:divBdr>
                                                                                <w:top w:val="none" w:sz="0" w:space="0" w:color="auto"/>
                                                                                <w:left w:val="none" w:sz="0" w:space="0" w:color="auto"/>
                                                                                <w:bottom w:val="none" w:sz="0" w:space="0" w:color="auto"/>
                                                                                <w:right w:val="none" w:sz="0" w:space="0" w:color="auto"/>
                                                                              </w:divBdr>
                                                                              <w:divsChild>
                                                                                <w:div w:id="800072028">
                                                                                  <w:marLeft w:val="0"/>
                                                                                  <w:marRight w:val="0"/>
                                                                                  <w:marTop w:val="0"/>
                                                                                  <w:marBottom w:val="0"/>
                                                                                  <w:divBdr>
                                                                                    <w:top w:val="none" w:sz="0" w:space="0" w:color="auto"/>
                                                                                    <w:left w:val="none" w:sz="0" w:space="0" w:color="auto"/>
                                                                                    <w:bottom w:val="none" w:sz="0" w:space="0" w:color="auto"/>
                                                                                    <w:right w:val="none" w:sz="0" w:space="0" w:color="auto"/>
                                                                                  </w:divBdr>
                                                                                  <w:divsChild>
                                                                                    <w:div w:id="1824545519">
                                                                                      <w:marLeft w:val="0"/>
                                                                                      <w:marRight w:val="0"/>
                                                                                      <w:marTop w:val="0"/>
                                                                                      <w:marBottom w:val="0"/>
                                                                                      <w:divBdr>
                                                                                        <w:top w:val="none" w:sz="0" w:space="0" w:color="auto"/>
                                                                                        <w:left w:val="none" w:sz="0" w:space="0" w:color="auto"/>
                                                                                        <w:bottom w:val="none" w:sz="0" w:space="0" w:color="auto"/>
                                                                                        <w:right w:val="none" w:sz="0" w:space="0" w:color="auto"/>
                                                                                      </w:divBdr>
                                                                                      <w:divsChild>
                                                                                        <w:div w:id="676856985">
                                                                                          <w:marLeft w:val="0"/>
                                                                                          <w:marRight w:val="0"/>
                                                                                          <w:marTop w:val="0"/>
                                                                                          <w:marBottom w:val="0"/>
                                                                                          <w:divBdr>
                                                                                            <w:top w:val="none" w:sz="0" w:space="0" w:color="auto"/>
                                                                                            <w:left w:val="none" w:sz="0" w:space="0" w:color="auto"/>
                                                                                            <w:bottom w:val="none" w:sz="0" w:space="0" w:color="auto"/>
                                                                                            <w:right w:val="none" w:sz="0" w:space="0" w:color="auto"/>
                                                                                          </w:divBdr>
                                                                                          <w:divsChild>
                                                                                            <w:div w:id="1842046280">
                                                                                              <w:marLeft w:val="0"/>
                                                                                              <w:marRight w:val="0"/>
                                                                                              <w:marTop w:val="0"/>
                                                                                              <w:marBottom w:val="0"/>
                                                                                              <w:divBdr>
                                                                                                <w:top w:val="none" w:sz="0" w:space="0" w:color="auto"/>
                                                                                                <w:left w:val="none" w:sz="0" w:space="0" w:color="auto"/>
                                                                                                <w:bottom w:val="none" w:sz="0" w:space="0" w:color="auto"/>
                                                                                                <w:right w:val="none" w:sz="0" w:space="0" w:color="auto"/>
                                                                                              </w:divBdr>
                                                                                              <w:divsChild>
                                                                                                <w:div w:id="253515621">
                                                                                                  <w:marLeft w:val="0"/>
                                                                                                  <w:marRight w:val="0"/>
                                                                                                  <w:marTop w:val="0"/>
                                                                                                  <w:marBottom w:val="0"/>
                                                                                                  <w:divBdr>
                                                                                                    <w:top w:val="none" w:sz="0" w:space="0" w:color="auto"/>
                                                                                                    <w:left w:val="none" w:sz="0" w:space="0" w:color="auto"/>
                                                                                                    <w:bottom w:val="none" w:sz="0" w:space="0" w:color="auto"/>
                                                                                                    <w:right w:val="none" w:sz="0" w:space="0" w:color="auto"/>
                                                                                                  </w:divBdr>
                                                                                                  <w:divsChild>
                                                                                                    <w:div w:id="1611088174">
                                                                                                      <w:marLeft w:val="0"/>
                                                                                                      <w:marRight w:val="0"/>
                                                                                                      <w:marTop w:val="0"/>
                                                                                                      <w:marBottom w:val="0"/>
                                                                                                      <w:divBdr>
                                                                                                        <w:top w:val="none" w:sz="0" w:space="0" w:color="auto"/>
                                                                                                        <w:left w:val="none" w:sz="0" w:space="0" w:color="auto"/>
                                                                                                        <w:bottom w:val="none" w:sz="0" w:space="0" w:color="auto"/>
                                                                                                        <w:right w:val="none" w:sz="0" w:space="0" w:color="auto"/>
                                                                                                      </w:divBdr>
                                                                                                      <w:divsChild>
                                                                                                        <w:div w:id="1199008898">
                                                                                                          <w:marLeft w:val="0"/>
                                                                                                          <w:marRight w:val="0"/>
                                                                                                          <w:marTop w:val="0"/>
                                                                                                          <w:marBottom w:val="0"/>
                                                                                                          <w:divBdr>
                                                                                                            <w:top w:val="none" w:sz="0" w:space="0" w:color="auto"/>
                                                                                                            <w:left w:val="none" w:sz="0" w:space="0" w:color="auto"/>
                                                                                                            <w:bottom w:val="none" w:sz="0" w:space="0" w:color="auto"/>
                                                                                                            <w:right w:val="none" w:sz="0" w:space="0" w:color="auto"/>
                                                                                                          </w:divBdr>
                                                                                                          <w:divsChild>
                                                                                                            <w:div w:id="46022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3986242">
      <w:bodyDiv w:val="1"/>
      <w:marLeft w:val="0"/>
      <w:marRight w:val="0"/>
      <w:marTop w:val="0"/>
      <w:marBottom w:val="0"/>
      <w:divBdr>
        <w:top w:val="none" w:sz="0" w:space="0" w:color="auto"/>
        <w:left w:val="none" w:sz="0" w:space="0" w:color="auto"/>
        <w:bottom w:val="none" w:sz="0" w:space="0" w:color="auto"/>
        <w:right w:val="none" w:sz="0" w:space="0" w:color="auto"/>
      </w:divBdr>
    </w:div>
    <w:div w:id="1521310123">
      <w:bodyDiv w:val="1"/>
      <w:marLeft w:val="0"/>
      <w:marRight w:val="0"/>
      <w:marTop w:val="0"/>
      <w:marBottom w:val="0"/>
      <w:divBdr>
        <w:top w:val="none" w:sz="0" w:space="0" w:color="auto"/>
        <w:left w:val="none" w:sz="0" w:space="0" w:color="auto"/>
        <w:bottom w:val="none" w:sz="0" w:space="0" w:color="auto"/>
        <w:right w:val="none" w:sz="0" w:space="0" w:color="auto"/>
      </w:divBdr>
    </w:div>
    <w:div w:id="1820032840">
      <w:bodyDiv w:val="1"/>
      <w:marLeft w:val="0"/>
      <w:marRight w:val="0"/>
      <w:marTop w:val="0"/>
      <w:marBottom w:val="0"/>
      <w:divBdr>
        <w:top w:val="none" w:sz="0" w:space="0" w:color="auto"/>
        <w:left w:val="none" w:sz="0" w:space="0" w:color="auto"/>
        <w:bottom w:val="none" w:sz="0" w:space="0" w:color="auto"/>
        <w:right w:val="none" w:sz="0" w:space="0" w:color="auto"/>
      </w:divBdr>
      <w:divsChild>
        <w:div w:id="176846202">
          <w:marLeft w:val="0"/>
          <w:marRight w:val="0"/>
          <w:marTop w:val="0"/>
          <w:marBottom w:val="0"/>
          <w:divBdr>
            <w:top w:val="none" w:sz="0" w:space="0" w:color="auto"/>
            <w:left w:val="none" w:sz="0" w:space="0" w:color="auto"/>
            <w:bottom w:val="none" w:sz="0" w:space="0" w:color="auto"/>
            <w:right w:val="none" w:sz="0" w:space="0" w:color="auto"/>
          </w:divBdr>
          <w:divsChild>
            <w:div w:id="375743772">
              <w:marLeft w:val="0"/>
              <w:marRight w:val="0"/>
              <w:marTop w:val="0"/>
              <w:marBottom w:val="0"/>
              <w:divBdr>
                <w:top w:val="none" w:sz="0" w:space="0" w:color="auto"/>
                <w:left w:val="none" w:sz="0" w:space="0" w:color="auto"/>
                <w:bottom w:val="none" w:sz="0" w:space="0" w:color="auto"/>
                <w:right w:val="none" w:sz="0" w:space="0" w:color="auto"/>
              </w:divBdr>
              <w:divsChild>
                <w:div w:id="468061052">
                  <w:marLeft w:val="0"/>
                  <w:marRight w:val="0"/>
                  <w:marTop w:val="0"/>
                  <w:marBottom w:val="0"/>
                  <w:divBdr>
                    <w:top w:val="none" w:sz="0" w:space="0" w:color="auto"/>
                    <w:left w:val="none" w:sz="0" w:space="0" w:color="auto"/>
                    <w:bottom w:val="none" w:sz="0" w:space="0" w:color="auto"/>
                    <w:right w:val="none" w:sz="0" w:space="0" w:color="auto"/>
                  </w:divBdr>
                  <w:divsChild>
                    <w:div w:id="327098921">
                      <w:marLeft w:val="0"/>
                      <w:marRight w:val="0"/>
                      <w:marTop w:val="0"/>
                      <w:marBottom w:val="0"/>
                      <w:divBdr>
                        <w:top w:val="none" w:sz="0" w:space="0" w:color="auto"/>
                        <w:left w:val="none" w:sz="0" w:space="0" w:color="auto"/>
                        <w:bottom w:val="none" w:sz="0" w:space="0" w:color="auto"/>
                        <w:right w:val="none" w:sz="0" w:space="0" w:color="auto"/>
                      </w:divBdr>
                      <w:divsChild>
                        <w:div w:id="1680423704">
                          <w:marLeft w:val="0"/>
                          <w:marRight w:val="0"/>
                          <w:marTop w:val="0"/>
                          <w:marBottom w:val="0"/>
                          <w:divBdr>
                            <w:top w:val="none" w:sz="0" w:space="0" w:color="auto"/>
                            <w:left w:val="none" w:sz="0" w:space="0" w:color="auto"/>
                            <w:bottom w:val="none" w:sz="0" w:space="0" w:color="auto"/>
                            <w:right w:val="none" w:sz="0" w:space="0" w:color="auto"/>
                          </w:divBdr>
                          <w:divsChild>
                            <w:div w:id="394747192">
                              <w:marLeft w:val="0"/>
                              <w:marRight w:val="0"/>
                              <w:marTop w:val="0"/>
                              <w:marBottom w:val="0"/>
                              <w:divBdr>
                                <w:top w:val="none" w:sz="0" w:space="0" w:color="auto"/>
                                <w:left w:val="none" w:sz="0" w:space="0" w:color="auto"/>
                                <w:bottom w:val="none" w:sz="0" w:space="0" w:color="auto"/>
                                <w:right w:val="none" w:sz="0" w:space="0" w:color="auto"/>
                              </w:divBdr>
                              <w:divsChild>
                                <w:div w:id="117390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5686256">
      <w:bodyDiv w:val="1"/>
      <w:marLeft w:val="0"/>
      <w:marRight w:val="0"/>
      <w:marTop w:val="0"/>
      <w:marBottom w:val="0"/>
      <w:divBdr>
        <w:top w:val="none" w:sz="0" w:space="0" w:color="auto"/>
        <w:left w:val="none" w:sz="0" w:space="0" w:color="auto"/>
        <w:bottom w:val="none" w:sz="0" w:space="0" w:color="auto"/>
        <w:right w:val="none" w:sz="0" w:space="0" w:color="auto"/>
      </w:divBdr>
      <w:divsChild>
        <w:div w:id="1689406959">
          <w:marLeft w:val="0"/>
          <w:marRight w:val="0"/>
          <w:marTop w:val="0"/>
          <w:marBottom w:val="0"/>
          <w:divBdr>
            <w:top w:val="none" w:sz="0" w:space="0" w:color="auto"/>
            <w:left w:val="none" w:sz="0" w:space="0" w:color="auto"/>
            <w:bottom w:val="none" w:sz="0" w:space="0" w:color="auto"/>
            <w:right w:val="none" w:sz="0" w:space="0" w:color="auto"/>
          </w:divBdr>
          <w:divsChild>
            <w:div w:id="845706391">
              <w:marLeft w:val="0"/>
              <w:marRight w:val="0"/>
              <w:marTop w:val="0"/>
              <w:marBottom w:val="0"/>
              <w:divBdr>
                <w:top w:val="none" w:sz="0" w:space="0" w:color="auto"/>
                <w:left w:val="none" w:sz="0" w:space="0" w:color="auto"/>
                <w:bottom w:val="none" w:sz="0" w:space="0" w:color="auto"/>
                <w:right w:val="none" w:sz="0" w:space="0" w:color="auto"/>
              </w:divBdr>
              <w:divsChild>
                <w:div w:id="7084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jcq.org.uk/exams-office/general-regulations/" TargetMode="External"/><Relationship Id="rId18" Type="http://schemas.openxmlformats.org/officeDocument/2006/relationships/hyperlink" Target="https://www.jcq.org.uk/exams-office/appeals"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s://www.jcq.org.uk/exams-office/non-examination-assessments" TargetMode="External"/><Relationship Id="rId7" Type="http://schemas.openxmlformats.org/officeDocument/2006/relationships/footnotes" Target="footnotes.xml"/><Relationship Id="rId12" Type="http://schemas.openxmlformats.org/officeDocument/2006/relationships/hyperlink" Target="https://www.jcq.org.uk/exams-office/malpractice/" TargetMode="External"/><Relationship Id="rId17" Type="http://schemas.openxmlformats.org/officeDocument/2006/relationships/hyperlink" Target="https://www.jcq.org.uk/exams-office/post-results-services" TargetMode="External"/><Relationship Id="rId25" Type="http://schemas.openxmlformats.org/officeDocument/2006/relationships/hyperlink" Target="https://www.gov.uk/government/publications/gce-qualification-level-conditions-for-pre-reform-qualifications" TargetMode="External"/><Relationship Id="rId2" Type="http://schemas.openxmlformats.org/officeDocument/2006/relationships/customXml" Target="../customXml/item2.xml"/><Relationship Id="rId16" Type="http://schemas.openxmlformats.org/officeDocument/2006/relationships/hyperlink" Target="https://www.jcq.org.uk/exams-office/general-regulations" TargetMode="External"/><Relationship Id="rId20" Type="http://schemas.openxmlformats.org/officeDocument/2006/relationships/hyperlink" Target="https://www.jcq.org.uk/exams-office/non-examination-assessmen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jcq.org.uk/exams-office/appeals/" TargetMode="External"/><Relationship Id="rId24" Type="http://schemas.openxmlformats.org/officeDocument/2006/relationships/hyperlink" Target="https://www.gov.uk/government/publications/gce-qualification-level-conditions-and-requirements" TargetMode="External"/><Relationship Id="rId5" Type="http://schemas.openxmlformats.org/officeDocument/2006/relationships/settings" Target="settings.xml"/><Relationship Id="rId15" Type="http://schemas.openxmlformats.org/officeDocument/2006/relationships/hyperlink" Target="https://www.jcq.org.uk/exams-office/access-arrangements-and-special-consideration/regulations-and-guidance/" TargetMode="External"/><Relationship Id="rId23" Type="http://schemas.openxmlformats.org/officeDocument/2006/relationships/hyperlink" Target="https://www.gov.uk/government/publications/gcse-a-to-g-qualification-level-conditions-and-requirements" TargetMode="External"/><Relationship Id="rId28" Type="http://schemas.openxmlformats.org/officeDocument/2006/relationships/fontTable" Target="fontTable.xml"/><Relationship Id="rId10" Type="http://schemas.openxmlformats.org/officeDocument/2006/relationships/hyperlink" Target="https://www.jcq.org.uk/exams-office/appeals/" TargetMode="External"/><Relationship Id="rId19" Type="http://schemas.openxmlformats.org/officeDocument/2006/relationships/hyperlink" Target="https://www.jcq.org.uk/exams-office/coursework" TargetMode="External"/><Relationship Id="rId4" Type="http://schemas.openxmlformats.org/officeDocument/2006/relationships/styles" Target="styles.xml"/><Relationship Id="rId9" Type="http://schemas.openxmlformats.org/officeDocument/2006/relationships/hyperlink" Target="https://www.jcq.org.uk/exams-office/non-examination-assessments" TargetMode="External"/><Relationship Id="rId14" Type="http://schemas.openxmlformats.org/officeDocument/2006/relationships/hyperlink" Target="https://www.jcq.org.uk/exams-office/access-arrangements-and-special-consideration/regulations-and-guidance/" TargetMode="External"/><Relationship Id="rId22" Type="http://schemas.openxmlformats.org/officeDocument/2006/relationships/hyperlink" Target="https://www.gov.uk/government/publications/gcse-9-to-1-qualification-level-conditions"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2016/17</PublishDate>
  <Abstract> Gen RegsControlled Assessments, Coursework and Portfolios of Evidence5.8 The centre agrees to:have in place, and be available for inspection purposes, an internal appeals procedure relating to internal assessment decisions and to ensure that details of this procedure are made widely available and accessible to all candidates; (A centre may place its internal appeals procedure on the school/college website or alternatively, the document may be made available to candidates upon request.)  2 PRS6.4.5 Centres must have in place a published formal appeals procedure for use in cases where centres and candidates, or their parents/carers, cannot agree as to whether an enquiry about results should be submitted. The formal appeals procedure must be made widely available. Centres must therefore draw the appeals procedure to the attention of candidates and their parents/carers. In deciding whether to support an enquiry about results, centres should take account of all relevant factors and afford candidates or their parents/carers a reasonable opportunity to express their views. Awarding bodies can only enter into discussions over enquiries about results with centres and private candidates.  GCSE, GCE, Principal Learning and Project Code of Practice9.13 The awarding organisation must require centres offering its examinations to ensure that they have in place: i a procedure for candidates or their carers to request access to the enquiry and appeals system ii a procedure for lodging enquiries about results in cases where the centre supports an enquiry lodged by a candidate or carer iii a formal, codified procedure for handling disputes when a candidate or carer disagrees with a decision by the centre not to support an enquiry. Centres must be required to ensure that the procedures are published and made widely available and accessible to all candidates and their carers. 9.14 In deciding whether to support an enquiry or appeal, centres should take account of all relevant factors and afford candidates or their carers a reasonable opportunity to expresstheir views. 9.15 Following receipt of the outcome of an enquiry, appellants must be allowed up to two calendar weeks in which to lodge an appeal. Appeals should focus on whether an awarding organisation: i used procedures that were consistent with this code of practice ii applied its procedures properly and fairly in arriving at judgements.  A guide to the awarding bodies’ appeals processes, point 12 states: Please note that internal candidates and/or their parents/carers are not entitled to appeal directly to the awarding body. Representations must be made to the head of centre where the candidate was entered or registered. The head of centre’s decision as to whether to proceed with an appeal is subject to the centre’s internal appeals arrangements.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BA3927-7C76-4F4D-A9D3-CB83A73EF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3503</Words>
  <Characters>19972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This policy is reviewed annually to ensure compliance with current regulations</dc:subject>
  <dc:creator>localuser</dc:creator>
  <cp:lastModifiedBy>elizabeth milward</cp:lastModifiedBy>
  <cp:revision>5</cp:revision>
  <dcterms:created xsi:type="dcterms:W3CDTF">2024-10-17T10:57:00Z</dcterms:created>
  <dcterms:modified xsi:type="dcterms:W3CDTF">2025-11-26T19:27:00Z</dcterms:modified>
</cp:coreProperties>
</file>