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32"/>
          <w:szCs w:val="32"/>
        </w:rPr>
      </w:pP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180012</wp:posOffset>
                </wp:positionV>
                <wp:extent cx="6330462" cy="468924"/>
                <wp:effectExtent l="0" t="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chemeClr val="accent1">
                            <a:lumMod val="40000"/>
                            <a:lumOff val="6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52"/>
                                <w:szCs w:val="52"/>
                              </w:rPr>
                            </w:pPr>
                            <w:proofErr w:type="spellStart"/>
                            <w:r>
                              <w:rPr>
                                <w:rFonts w:cstheme="minorHAnsi"/>
                                <w:b/>
                                <w:sz w:val="52"/>
                                <w:szCs w:val="52"/>
                              </w:rPr>
                              <w:t>Fearnville</w:t>
                            </w:r>
                            <w:proofErr w:type="spellEnd"/>
                            <w:r>
                              <w:rPr>
                                <w:rFonts w:cstheme="minorHAnsi"/>
                                <w:b/>
                                <w:sz w:val="52"/>
                                <w:szCs w:val="52"/>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14.15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" fillcolor="#b8cce4 [1300]" strokecolor="#0070c0" strokeweight="2pt">
                <v:textbox>
                  <w:txbxContent>
                    <w:p>
                      <w:pPr>
                        <w:jc w:val="center"/>
                        <w:rPr>
                          <w:rFonts w:cstheme="minorHAnsi"/>
                          <w:b/>
                          <w:sz w:val="52"/>
                          <w:szCs w:val="52"/>
                        </w:rPr>
                      </w:pPr>
                      <w:proofErr w:type="spellStart"/>
                      <w:r>
                        <w:rPr>
                          <w:rFonts w:cstheme="minorHAnsi"/>
                          <w:b/>
                          <w:sz w:val="52"/>
                          <w:szCs w:val="52"/>
                        </w:rPr>
                        <w:t>Fearnville</w:t>
                      </w:r>
                      <w:proofErr w:type="spellEnd"/>
                      <w:r>
                        <w:rPr>
                          <w:rFonts w:cstheme="minorHAnsi"/>
                          <w:b/>
                          <w:sz w:val="52"/>
                          <w:szCs w:val="52"/>
                        </w:rPr>
                        <w:t xml:space="preserv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ln w="7620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" fillcolor="white [3201]" strokecolor="#548dd4 [1951]" strokeweight="6pt"/>
            </w:pict>
          </mc:Fallback>
        </mc:AlternateContent>
      </w:r>
    </w:p>
    <w:p>
      <w:pPr>
        <w:rPr>
          <w:rFonts w:ascii="Gill Sans MT" w:hAnsi="Gill Sans MT"/>
        </w:rPr>
      </w:pPr>
    </w:p>
    <w:p>
      <w:pPr>
        <w:rPr>
          <w:rFonts w:ascii="Gill Sans MT" w:hAnsi="Gill Sans MT"/>
          <w:color w:val="FFFFFF" w:themeColor="background1"/>
        </w:rPr>
      </w:pPr>
      <w:r>
        <w:rPr>
          <w:rFonts w:ascii="Arial" w:hAnsi="Arial" w:cs="Arial"/>
          <w:noProof/>
          <w:color w:val="333333"/>
          <w:sz w:val="21"/>
          <w:szCs w:val="21"/>
          <w:lang w:eastAsia="en-GB"/>
        </w:rPr>
        <w:drawing>
          <wp:anchor distT="0" distB="0" distL="114300" distR="114300" simplePos="0" relativeHeight="251663360" behindDoc="0" locked="0" layoutInCell="1" allowOverlap="1">
            <wp:simplePos x="0" y="0"/>
            <wp:positionH relativeFrom="margin">
              <wp:align>center</wp:align>
            </wp:positionH>
            <wp:positionV relativeFrom="paragraph">
              <wp:posOffset>19685</wp:posOffset>
            </wp:positionV>
            <wp:extent cx="2427605" cy="2175641"/>
            <wp:effectExtent l="0" t="0" r="0" b="0"/>
            <wp:wrapNone/>
            <wp:docPr id="2" name="Picture 2"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728141/129/129/no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7605" cy="2175641"/>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Gill Sans MT" w:hAnsi="Gill Sans MT"/>
          <w:color w:val="FFFFFF" w:themeColor="background1"/>
        </w:rPr>
      </w:pPr>
    </w:p>
    <w:p>
      <w:pPr>
        <w:rPr>
          <w:rFonts w:ascii="Gill Sans MT" w:hAnsi="Gill Sans MT"/>
          <w:color w:val="FFFFFF" w:themeColor="background1"/>
          <w:sz w:val="48"/>
          <w:szCs w:val="48"/>
        </w:rPr>
      </w:pPr>
    </w:p>
    <w:p>
      <w:pPr>
        <w:rPr>
          <w:rFonts w:ascii="Gill Sans MT" w:hAnsi="Gill Sans MT"/>
          <w:color w:val="FFFFFF" w:themeColor="background1"/>
          <w:sz w:val="48"/>
          <w:szCs w:val="48"/>
        </w:rPr>
      </w:pPr>
    </w:p>
    <w:p>
      <w:pPr>
        <w:rPr>
          <w:rFonts w:ascii="Gill Sans MT" w:hAnsi="Gill Sans MT"/>
          <w:color w:val="FFFFFF" w:themeColor="background1"/>
          <w:sz w:val="48"/>
          <w:szCs w:val="48"/>
        </w:rPr>
      </w:pPr>
      <w:r>
        <w:rPr>
          <w:rFonts w:ascii="Gill Sans MT" w:hAnsi="Gill Sans MT"/>
          <w:color w:val="FFFFFF" w:themeColor="background1"/>
          <w:sz w:val="48"/>
          <w:szCs w:val="48"/>
        </w:rPr>
        <w:t>Special Educational Needs and/or Disabilities</w:t>
      </w:r>
    </w:p>
    <w:p>
      <w:pPr>
        <w:rPr>
          <w:rFonts w:ascii="Gill Sans MT" w:hAnsi="Gill Sans MT"/>
          <w:color w:val="FFFFFF" w:themeColor="background1"/>
          <w:sz w:val="48"/>
          <w:szCs w:val="48"/>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simplePos x="0" y="0"/>
                <wp:positionH relativeFrom="margin">
                  <wp:posOffset>624490</wp:posOffset>
                </wp:positionH>
                <wp:positionV relativeFrom="paragraph">
                  <wp:posOffset>47669</wp:posOffset>
                </wp:positionV>
                <wp:extent cx="8734096" cy="2254469"/>
                <wp:effectExtent l="0" t="0" r="10160" b="1270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9.15pt;margin-top:3.75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" fillcolor="#b8cce4 [1300]" strokecolor="#243f60 [1604]" strokeweight="2pt">
                <v:textbox>
                  <w:txbxContent>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pPr>
                        <w:jc w:val="center"/>
                        <w:rPr>
                          <w:rFonts w:asciiTheme="majorHAnsi" w:hAnsiTheme="majorHAnsi" w:cstheme="majorHAnsi"/>
                          <w:b/>
                          <w:color w:val="000000" w:themeColor="text1"/>
                          <w:sz w:val="96"/>
                          <w:szCs w:val="96"/>
                        </w:rPr>
                      </w:pPr>
                    </w:p>
                  </w:txbxContent>
                </v:textbox>
                <w10:wrap anchorx="margin"/>
              </v:rect>
            </w:pict>
          </mc:Fallback>
        </mc:AlternateContent>
      </w:r>
      <w:r>
        <w:rPr>
          <w:rFonts w:ascii="Gill Sans MT" w:hAnsi="Gill Sans MT"/>
          <w:color w:val="FFFFFF" w:themeColor="background1"/>
          <w:sz w:val="48"/>
          <w:szCs w:val="48"/>
        </w:rPr>
        <w:t>Information Report</w:t>
      </w: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simplePos x="0" y="0"/>
            <wp:positionH relativeFrom="margin">
              <wp:posOffset>6788500</wp:posOffset>
            </wp:positionH>
            <wp:positionV relativeFrom="paragraph">
              <wp:posOffset>17408</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trPr>
          <w:trHeight w:val="9995"/>
        </w:trPr>
        <w:tc>
          <w:tcPr>
            <w:tcW w:w="15811" w:type="dxa"/>
          </w:tcPr>
          <w:p>
            <w:pPr>
              <w:rPr>
                <w:rFonts w:ascii="Gill Sans MT" w:hAnsi="Gill Sans MT"/>
                <w:b/>
                <w:sz w:val="28"/>
                <w:szCs w:val="28"/>
              </w:rPr>
            </w:pPr>
            <w:r>
              <w:rPr>
                <w:rFonts w:ascii="Gill Sans MT" w:hAnsi="Gill Sans MT"/>
                <w:b/>
                <w:sz w:val="28"/>
                <w:szCs w:val="28"/>
              </w:rPr>
              <w:lastRenderedPageBreak/>
              <w:t>The kinds of SEN that are provided for</w:t>
            </w:r>
          </w:p>
          <w:p>
            <w:pPr>
              <w:rPr>
                <w:rFonts w:ascii="Gill Sans MT" w:hAnsi="Gill Sans MT"/>
                <w:sz w:val="24"/>
                <w:szCs w:val="24"/>
              </w:rPr>
            </w:pPr>
          </w:p>
          <w:p>
            <w:pPr>
              <w:autoSpaceDE w:val="0"/>
              <w:autoSpaceDN w:val="0"/>
              <w:adjustRightInd w:val="0"/>
              <w:spacing w:after="100" w:afterAutospacing="1" w:line="360" w:lineRule="auto"/>
              <w:jc w:val="both"/>
              <w:rPr>
                <w:rFonts w:ascii="Gill Sans MT" w:hAnsi="Gill Sans MT"/>
              </w:rPr>
            </w:pPr>
            <w:proofErr w:type="spellStart"/>
            <w:r>
              <w:rPr>
                <w:rFonts w:ascii="Gill Sans MT" w:hAnsi="Gill Sans MT"/>
              </w:rPr>
              <w:t>Fearnville</w:t>
            </w:r>
            <w:proofErr w:type="spellEnd"/>
            <w:r>
              <w:rPr>
                <w:rFonts w:ascii="Gill Sans MT" w:hAnsi="Gill Sans MT"/>
              </w:rPr>
              <w:t xml:space="preserv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w:t>
            </w:r>
            <w:proofErr w:type="spellStart"/>
            <w:r>
              <w:rPr>
                <w:rFonts w:ascii="Gill Sans MT" w:hAnsi="Gill Sans MT" w:cs="Arial"/>
                <w:bCs/>
              </w:rPr>
              <w:t>Fearnville</w:t>
            </w:r>
            <w:proofErr w:type="spellEnd"/>
            <w:r>
              <w:rPr>
                <w:rFonts w:ascii="Gill Sans MT" w:hAnsi="Gill Sans MT" w:cs="Arial"/>
                <w:bCs/>
              </w:rPr>
              <w:t xml:space="preserv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physically, creatively, emotionally and socially., creatively, emotionally and socially.</w:t>
            </w:r>
          </w:p>
          <w:tbl>
            <w:tblPr>
              <w:tblStyle w:val="TableGrid"/>
              <w:tblpPr w:leftFromText="180" w:rightFromText="180" w:vertAnchor="page" w:horzAnchor="margin" w:tblpY="3001"/>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trPr>
                <w:trHeight w:val="145"/>
              </w:trPr>
              <w:tc>
                <w:tcPr>
                  <w:tcW w:w="1226" w:type="dxa"/>
                  <w:shd w:val="clear" w:color="auto" w:fill="95B3D7" w:themeFill="accent1" w:themeFillTint="99"/>
                </w:tcPr>
                <w:p>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pPr>
                    <w:jc w:val="center"/>
                    <w:rPr>
                      <w:rFonts w:ascii="Gill Sans MT" w:hAnsi="Gill Sans MT"/>
                      <w:b/>
                      <w:sz w:val="28"/>
                      <w:szCs w:val="28"/>
                    </w:rPr>
                  </w:pPr>
                  <w:proofErr w:type="spellStart"/>
                  <w:r>
                    <w:rPr>
                      <w:rFonts w:ascii="Gill Sans MT" w:hAnsi="Gill Sans MT"/>
                      <w:b/>
                      <w:sz w:val="28"/>
                      <w:szCs w:val="28"/>
                    </w:rPr>
                    <w:t>SpLD</w:t>
                  </w:r>
                  <w:proofErr w:type="spellEnd"/>
                </w:p>
              </w:tc>
              <w:tc>
                <w:tcPr>
                  <w:tcW w:w="1056" w:type="dxa"/>
                  <w:shd w:val="clear" w:color="auto" w:fill="B2A1C7" w:themeFill="accent4" w:themeFillTint="99"/>
                </w:tcPr>
                <w:p>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pPr>
                    <w:jc w:val="center"/>
                    <w:rPr>
                      <w:rFonts w:ascii="Gill Sans MT" w:hAnsi="Gill Sans MT"/>
                      <w:b/>
                      <w:sz w:val="28"/>
                      <w:szCs w:val="28"/>
                    </w:rPr>
                  </w:pPr>
                  <w:r>
                    <w:rPr>
                      <w:rFonts w:ascii="Gill Sans MT" w:hAnsi="Gill Sans MT"/>
                      <w:b/>
                      <w:sz w:val="28"/>
                      <w:szCs w:val="28"/>
                    </w:rPr>
                    <w:t>SLD</w:t>
                  </w:r>
                </w:p>
              </w:tc>
            </w:tr>
            <w:tr>
              <w:trPr>
                <w:trHeight w:val="145"/>
              </w:trPr>
              <w:tc>
                <w:tcPr>
                  <w:tcW w:w="1226" w:type="dxa"/>
                  <w:shd w:val="clear" w:color="auto" w:fill="95B3D7" w:themeFill="accent1" w:themeFillTint="99"/>
                </w:tcPr>
                <w:p>
                  <w:pPr>
                    <w:jc w:val="center"/>
                    <w:rPr>
                      <w:rFonts w:ascii="Gill Sans MT" w:hAnsi="Gill Sans MT"/>
                      <w:b/>
                      <w:sz w:val="28"/>
                      <w:szCs w:val="28"/>
                    </w:rPr>
                  </w:pPr>
                </w:p>
                <w:p>
                  <w:pPr>
                    <w:rPr>
                      <w:rFonts w:ascii="Gill Sans MT" w:hAnsi="Gill Sans MT"/>
                      <w:b/>
                      <w:sz w:val="28"/>
                      <w:szCs w:val="28"/>
                    </w:rPr>
                  </w:pPr>
                </w:p>
              </w:tc>
              <w:tc>
                <w:tcPr>
                  <w:tcW w:w="1313" w:type="dxa"/>
                  <w:shd w:val="clear" w:color="auto" w:fill="FBD4B4" w:themeFill="accent6" w:themeFillTint="66"/>
                </w:tcPr>
                <w:p>
                  <w:pPr>
                    <w:jc w:val="center"/>
                    <w:rPr>
                      <w:rFonts w:ascii="Gill Sans MT" w:hAnsi="Gill Sans MT"/>
                      <w:b/>
                      <w:sz w:val="28"/>
                      <w:szCs w:val="28"/>
                    </w:rPr>
                  </w:pPr>
                </w:p>
              </w:tc>
              <w:tc>
                <w:tcPr>
                  <w:tcW w:w="1056" w:type="dxa"/>
                  <w:shd w:val="clear" w:color="auto" w:fill="B2A1C7" w:themeFill="accent4" w:themeFillTint="99"/>
                </w:tcPr>
                <w:p>
                  <w:pPr>
                    <w:jc w:val="center"/>
                    <w:rPr>
                      <w:rFonts w:ascii="Gill Sans MT" w:hAnsi="Gill Sans MT"/>
                      <w:b/>
                      <w:sz w:val="28"/>
                      <w:szCs w:val="28"/>
                    </w:rPr>
                  </w:pPr>
                </w:p>
              </w:tc>
              <w:tc>
                <w:tcPr>
                  <w:tcW w:w="1533" w:type="dxa"/>
                  <w:shd w:val="clear" w:color="auto" w:fill="C2D69B" w:themeFill="accent3" w:themeFillTint="99"/>
                </w:tcPr>
                <w:p>
                  <w:pPr>
                    <w:jc w:val="center"/>
                    <w:rPr>
                      <w:rFonts w:ascii="Gill Sans MT" w:hAnsi="Gill Sans MT"/>
                      <w:b/>
                      <w:sz w:val="28"/>
                      <w:szCs w:val="28"/>
                    </w:rPr>
                  </w:pPr>
                </w:p>
              </w:tc>
              <w:tc>
                <w:tcPr>
                  <w:tcW w:w="1066" w:type="dxa"/>
                  <w:shd w:val="clear" w:color="auto" w:fill="548DD4" w:themeFill="text2" w:themeFillTint="99"/>
                </w:tcPr>
                <w:p>
                  <w:pPr>
                    <w:jc w:val="center"/>
                    <w:rPr>
                      <w:rFonts w:ascii="Gill Sans MT" w:hAnsi="Gill Sans MT"/>
                      <w:b/>
                      <w:sz w:val="28"/>
                      <w:szCs w:val="28"/>
                    </w:rPr>
                  </w:pPr>
                </w:p>
              </w:tc>
              <w:tc>
                <w:tcPr>
                  <w:tcW w:w="1154" w:type="dxa"/>
                  <w:shd w:val="clear" w:color="auto" w:fill="D99594" w:themeFill="accent2" w:themeFillTint="99"/>
                </w:tcPr>
                <w:p>
                  <w:pPr>
                    <w:jc w:val="center"/>
                    <w:rPr>
                      <w:rFonts w:ascii="Gill Sans MT" w:hAnsi="Gill Sans MT"/>
                      <w:b/>
                      <w:sz w:val="28"/>
                      <w:szCs w:val="28"/>
                    </w:rPr>
                  </w:pPr>
                </w:p>
              </w:tc>
              <w:tc>
                <w:tcPr>
                  <w:tcW w:w="3173" w:type="dxa"/>
                  <w:shd w:val="clear" w:color="auto" w:fill="76923C" w:themeFill="accent3" w:themeFillShade="BF"/>
                </w:tcPr>
                <w:p>
                  <w:pPr>
                    <w:jc w:val="center"/>
                    <w:rPr>
                      <w:rFonts w:ascii="Gill Sans MT" w:hAnsi="Gill Sans MT"/>
                      <w:b/>
                      <w:sz w:val="28"/>
                      <w:szCs w:val="28"/>
                    </w:rPr>
                  </w:pPr>
                </w:p>
              </w:tc>
              <w:tc>
                <w:tcPr>
                  <w:tcW w:w="1279" w:type="dxa"/>
                  <w:shd w:val="clear" w:color="auto" w:fill="FFFF00"/>
                </w:tcPr>
                <w:p>
                  <w:pPr>
                    <w:jc w:val="center"/>
                    <w:rPr>
                      <w:rFonts w:ascii="Gill Sans MT" w:hAnsi="Gill Sans MT"/>
                      <w:b/>
                      <w:sz w:val="28"/>
                      <w:szCs w:val="28"/>
                    </w:rPr>
                  </w:pPr>
                </w:p>
              </w:tc>
              <w:tc>
                <w:tcPr>
                  <w:tcW w:w="1355" w:type="dxa"/>
                  <w:shd w:val="clear" w:color="auto" w:fill="FFC000"/>
                </w:tcPr>
                <w:p>
                  <w:pPr>
                    <w:jc w:val="center"/>
                    <w:rPr>
                      <w:rFonts w:ascii="Gill Sans MT" w:hAnsi="Gill Sans MT"/>
                      <w:b/>
                      <w:sz w:val="28"/>
                      <w:szCs w:val="28"/>
                    </w:rPr>
                  </w:pPr>
                </w:p>
              </w:tc>
              <w:tc>
                <w:tcPr>
                  <w:tcW w:w="1143" w:type="dxa"/>
                  <w:shd w:val="clear" w:color="auto" w:fill="FFC000"/>
                </w:tcPr>
                <w:p>
                  <w:pPr>
                    <w:jc w:val="center"/>
                    <w:rPr>
                      <w:rFonts w:ascii="Gill Sans MT" w:hAnsi="Gill Sans MT"/>
                      <w:b/>
                      <w:sz w:val="28"/>
                      <w:szCs w:val="28"/>
                    </w:rPr>
                  </w:pPr>
                </w:p>
              </w:tc>
            </w:tr>
            <w:tr>
              <w:trPr>
                <w:trHeight w:val="865"/>
              </w:trPr>
              <w:tc>
                <w:tcPr>
                  <w:tcW w:w="1226" w:type="dxa"/>
                  <w:vAlign w:val="center"/>
                </w:tcPr>
                <w:p>
                  <w:pPr>
                    <w:jc w:val="center"/>
                    <w:rPr>
                      <w:rFonts w:ascii="Gill Sans MT" w:hAnsi="Gill Sans MT"/>
                      <w:sz w:val="28"/>
                      <w:szCs w:val="28"/>
                    </w:rPr>
                  </w:pPr>
                  <w:r>
                    <w:rPr>
                      <w:rFonts w:ascii="Gill Sans MT" w:hAnsi="Gill Sans MT"/>
                    </w:rPr>
                    <w:t>No of students</w:t>
                  </w:r>
                </w:p>
              </w:tc>
              <w:tc>
                <w:tcPr>
                  <w:tcW w:w="1313" w:type="dxa"/>
                  <w:vAlign w:val="center"/>
                </w:tcPr>
                <w:p>
                  <w:pPr>
                    <w:jc w:val="center"/>
                    <w:rPr>
                      <w:rFonts w:ascii="Gill Sans MT" w:hAnsi="Gill Sans MT"/>
                      <w:sz w:val="28"/>
                      <w:szCs w:val="28"/>
                    </w:rPr>
                  </w:pPr>
                  <w:r>
                    <w:rPr>
                      <w:rFonts w:ascii="Gill Sans MT" w:hAnsi="Gill Sans MT"/>
                      <w:sz w:val="28"/>
                      <w:szCs w:val="28"/>
                    </w:rPr>
                    <w:t>3</w:t>
                  </w:r>
                </w:p>
              </w:tc>
              <w:tc>
                <w:tcPr>
                  <w:tcW w:w="1056" w:type="dxa"/>
                  <w:vAlign w:val="center"/>
                </w:tcPr>
                <w:p>
                  <w:pPr>
                    <w:jc w:val="center"/>
                    <w:rPr>
                      <w:rFonts w:ascii="Gill Sans MT" w:hAnsi="Gill Sans MT"/>
                      <w:sz w:val="28"/>
                      <w:szCs w:val="28"/>
                    </w:rPr>
                  </w:pPr>
                  <w:r>
                    <w:rPr>
                      <w:rFonts w:ascii="Gill Sans MT" w:hAnsi="Gill Sans MT"/>
                      <w:sz w:val="28"/>
                      <w:szCs w:val="28"/>
                    </w:rPr>
                    <w:t>8</w:t>
                  </w:r>
                </w:p>
              </w:tc>
              <w:tc>
                <w:tcPr>
                  <w:tcW w:w="1533" w:type="dxa"/>
                  <w:vAlign w:val="center"/>
                </w:tcPr>
                <w:p>
                  <w:pPr>
                    <w:rPr>
                      <w:rFonts w:ascii="Gill Sans MT" w:hAnsi="Gill Sans MT"/>
                      <w:sz w:val="28"/>
                      <w:szCs w:val="28"/>
                    </w:rPr>
                  </w:pPr>
                  <w:r>
                    <w:rPr>
                      <w:rFonts w:ascii="Gill Sans MT" w:hAnsi="Gill Sans MT"/>
                      <w:sz w:val="28"/>
                      <w:szCs w:val="28"/>
                    </w:rPr>
                    <w:t>25</w:t>
                  </w:r>
                </w:p>
              </w:tc>
              <w:tc>
                <w:tcPr>
                  <w:tcW w:w="1066" w:type="dxa"/>
                  <w:vAlign w:val="center"/>
                </w:tcPr>
                <w:p>
                  <w:pPr>
                    <w:jc w:val="center"/>
                    <w:rPr>
                      <w:rFonts w:ascii="Gill Sans MT" w:hAnsi="Gill Sans MT"/>
                      <w:sz w:val="28"/>
                      <w:szCs w:val="28"/>
                    </w:rPr>
                  </w:pPr>
                  <w:r>
                    <w:rPr>
                      <w:rFonts w:ascii="Gill Sans MT" w:hAnsi="Gill Sans MT"/>
                      <w:sz w:val="28"/>
                      <w:szCs w:val="28"/>
                    </w:rPr>
                    <w:t>0</w:t>
                  </w:r>
                </w:p>
              </w:tc>
              <w:tc>
                <w:tcPr>
                  <w:tcW w:w="1154" w:type="dxa"/>
                  <w:vAlign w:val="center"/>
                </w:tcPr>
                <w:p>
                  <w:pPr>
                    <w:jc w:val="center"/>
                    <w:rPr>
                      <w:rFonts w:ascii="Gill Sans MT" w:hAnsi="Gill Sans MT"/>
                      <w:sz w:val="28"/>
                      <w:szCs w:val="28"/>
                    </w:rPr>
                  </w:pPr>
                  <w:r>
                    <w:rPr>
                      <w:rFonts w:ascii="Gill Sans MT" w:hAnsi="Gill Sans MT"/>
                      <w:sz w:val="28"/>
                      <w:szCs w:val="28"/>
                    </w:rPr>
                    <w:t>2</w:t>
                  </w:r>
                </w:p>
              </w:tc>
              <w:tc>
                <w:tcPr>
                  <w:tcW w:w="3173" w:type="dxa"/>
                  <w:vAlign w:val="center"/>
                </w:tcPr>
                <w:p>
                  <w:pPr>
                    <w:jc w:val="center"/>
                    <w:rPr>
                      <w:rFonts w:ascii="Gill Sans MT" w:hAnsi="Gill Sans MT"/>
                      <w:sz w:val="28"/>
                      <w:szCs w:val="28"/>
                    </w:rPr>
                  </w:pPr>
                  <w:r>
                    <w:rPr>
                      <w:rFonts w:ascii="Gill Sans MT" w:hAnsi="Gill Sans MT"/>
                      <w:sz w:val="28"/>
                      <w:szCs w:val="28"/>
                    </w:rPr>
                    <w:t>2</w:t>
                  </w:r>
                </w:p>
              </w:tc>
              <w:tc>
                <w:tcPr>
                  <w:tcW w:w="1279" w:type="dxa"/>
                  <w:vAlign w:val="center"/>
                </w:tcPr>
                <w:p>
                  <w:pPr>
                    <w:jc w:val="center"/>
                    <w:rPr>
                      <w:rFonts w:ascii="Gill Sans MT" w:hAnsi="Gill Sans MT"/>
                      <w:sz w:val="28"/>
                      <w:szCs w:val="28"/>
                    </w:rPr>
                  </w:pPr>
                  <w:r>
                    <w:rPr>
                      <w:rFonts w:ascii="Gill Sans MT" w:hAnsi="Gill Sans MT"/>
                      <w:sz w:val="28"/>
                      <w:szCs w:val="28"/>
                    </w:rPr>
                    <w:t>3</w:t>
                  </w:r>
                </w:p>
              </w:tc>
              <w:tc>
                <w:tcPr>
                  <w:tcW w:w="1355" w:type="dxa"/>
                  <w:vAlign w:val="center"/>
                </w:tcPr>
                <w:p>
                  <w:pPr>
                    <w:jc w:val="center"/>
                    <w:rPr>
                      <w:rFonts w:ascii="Gill Sans MT" w:hAnsi="Gill Sans MT"/>
                      <w:sz w:val="28"/>
                      <w:szCs w:val="28"/>
                    </w:rPr>
                  </w:pPr>
                  <w:r>
                    <w:rPr>
                      <w:rFonts w:ascii="Gill Sans MT" w:hAnsi="Gill Sans MT"/>
                      <w:sz w:val="28"/>
                      <w:szCs w:val="28"/>
                    </w:rPr>
                    <w:t>29</w:t>
                  </w:r>
                </w:p>
              </w:tc>
              <w:tc>
                <w:tcPr>
                  <w:tcW w:w="1143" w:type="dxa"/>
                </w:tcPr>
                <w:p>
                  <w:pPr>
                    <w:jc w:val="center"/>
                    <w:rPr>
                      <w:rFonts w:ascii="Gill Sans MT" w:hAnsi="Gill Sans MT"/>
                      <w:sz w:val="28"/>
                      <w:szCs w:val="28"/>
                    </w:rPr>
                  </w:pPr>
                </w:p>
                <w:p>
                  <w:pPr>
                    <w:jc w:val="center"/>
                    <w:rPr>
                      <w:rFonts w:ascii="Gill Sans MT" w:hAnsi="Gill Sans MT"/>
                      <w:sz w:val="28"/>
                      <w:szCs w:val="28"/>
                    </w:rPr>
                  </w:pPr>
                  <w:r>
                    <w:rPr>
                      <w:rFonts w:ascii="Gill Sans MT" w:hAnsi="Gill Sans MT"/>
                      <w:sz w:val="28"/>
                      <w:szCs w:val="28"/>
                    </w:rPr>
                    <w:t>2</w:t>
                  </w:r>
                </w:p>
              </w:tc>
            </w:tr>
          </w:tbl>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r>
              <w:rPr>
                <w:rFonts w:ascii="Gill Sans MT" w:hAnsi="Gill Sans MT"/>
              </w:rPr>
              <w:t xml:space="preserve">We are able to cater for and provide for students with a variety of needs.  The list below is used to help identify and classify the priority need in line with the most recent SEND Code of Practice </w:t>
            </w:r>
            <w:proofErr w:type="spellStart"/>
            <w:r>
              <w:rPr>
                <w:rFonts w:ascii="Gill Sans MT" w:hAnsi="Gill Sans MT"/>
              </w:rPr>
              <w:t>pg</w:t>
            </w:r>
            <w:proofErr w:type="spellEnd"/>
            <w:r>
              <w:rPr>
                <w:rFonts w:ascii="Gill Sans MT" w:hAnsi="Gill Sans MT"/>
              </w:rPr>
              <w:t xml:space="preserve"> 97 -98(July 2014).  Please take into account that students may have more than one need type.  It is usually deemed appropriate that a student with Severe or Profound Moderate Learning Difficulties would be educated in a specialist setting rather than at this Academy.</w:t>
            </w:r>
          </w:p>
          <w:p>
            <w:pPr>
              <w:spacing w:after="100" w:afterAutospacing="1" w:line="360" w:lineRule="auto"/>
              <w:rPr>
                <w:rFonts w:ascii="Gill Sans MT" w:hAnsi="Gill Sans MT"/>
              </w:rPr>
            </w:pPr>
          </w:p>
          <w:p>
            <w:pPr>
              <w:pStyle w:val="NoSpacing"/>
              <w:rPr>
                <w:rFonts w:ascii="Gill Sans MT" w:hAnsi="Gill Sans MT"/>
              </w:rPr>
            </w:pPr>
            <w:r>
              <w:rPr>
                <w:rFonts w:ascii="Gill Sans MT" w:hAnsi="Gill Sans MT"/>
              </w:rPr>
              <w:t>SLCN    Speech, Language and Communication Needs                 SEMH     Social, Emotional and Mental Health</w:t>
            </w:r>
          </w:p>
          <w:p>
            <w:pPr>
              <w:pStyle w:val="NoSpacing"/>
              <w:rPr>
                <w:rFonts w:ascii="Gill Sans MT" w:hAnsi="Gill Sans MT"/>
              </w:rPr>
            </w:pPr>
            <w:r>
              <w:rPr>
                <w:rFonts w:ascii="Gill Sans MT" w:hAnsi="Gill Sans MT"/>
              </w:rPr>
              <w:t>ASD</w:t>
            </w:r>
            <w:r>
              <w:rPr>
                <w:rFonts w:ascii="Gill Sans MT" w:hAnsi="Gill Sans MT"/>
              </w:rPr>
              <w:tab/>
              <w:t xml:space="preserve">  Autism Spectrum        </w:t>
            </w:r>
            <w:r>
              <w:rPr>
                <w:rFonts w:ascii="Gill Sans MT" w:hAnsi="Gill Sans MT"/>
              </w:rPr>
              <w:tab/>
              <w:t xml:space="preserve">                                                      VI            Visual Impairment        </w:t>
            </w:r>
          </w:p>
          <w:p>
            <w:pPr>
              <w:pStyle w:val="NoSpacing"/>
              <w:rPr>
                <w:rFonts w:ascii="Gill Sans MT" w:hAnsi="Gill Sans MT"/>
              </w:rPr>
            </w:pPr>
            <w:r>
              <w:rPr>
                <w:rFonts w:ascii="Gill Sans MT" w:hAnsi="Gill Sans MT"/>
              </w:rPr>
              <w:t>MLD</w:t>
            </w:r>
            <w:r>
              <w:rPr>
                <w:rFonts w:ascii="Gill Sans MT" w:hAnsi="Gill Sans MT"/>
              </w:rPr>
              <w:tab/>
              <w:t xml:space="preserve">  Moderate Learning Difficulties                                         HI            Hearing Impairment</w:t>
            </w:r>
          </w:p>
          <w:p>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pPr>
              <w:pStyle w:val="NoSpacing"/>
              <w:rPr>
                <w:rFonts w:ascii="Gill Sans MT" w:hAnsi="Gill Sans MT"/>
              </w:rPr>
            </w:pPr>
            <w:r>
              <w:rPr>
                <w:rFonts w:ascii="Gill Sans MT" w:hAnsi="Gill Sans MT"/>
              </w:rPr>
              <w:t>PMLD</w:t>
            </w:r>
            <w:r>
              <w:rPr>
                <w:rFonts w:ascii="Gill Sans MT" w:hAnsi="Gill Sans MT"/>
              </w:rPr>
              <w:tab/>
              <w:t xml:space="preserve">  Profound Moderate Learning Difficulties                       PD           Physical Disability </w:t>
            </w:r>
          </w:p>
          <w:p>
            <w:pPr>
              <w:pStyle w:val="NoSpacing"/>
              <w:rPr>
                <w:rFonts w:ascii="Gill Sans MT" w:hAnsi="Gill Sans MT"/>
              </w:rPr>
            </w:pPr>
            <w:proofErr w:type="spellStart"/>
            <w:r>
              <w:rPr>
                <w:rFonts w:ascii="Gill Sans MT" w:hAnsi="Gill Sans MT"/>
              </w:rPr>
              <w:t>SpLD</w:t>
            </w:r>
            <w:proofErr w:type="spellEnd"/>
            <w:r>
              <w:rPr>
                <w:rFonts w:ascii="Gill Sans MT" w:hAnsi="Gill Sans MT"/>
              </w:rPr>
              <w:t xml:space="preserve">        Specific Learning Difficulties</w:t>
            </w:r>
          </w:p>
        </w:tc>
      </w:tr>
      <w:tr>
        <w:trPr>
          <w:trHeight w:val="10038"/>
        </w:trPr>
        <w:tc>
          <w:tcPr>
            <w:tcW w:w="15811" w:type="dxa"/>
          </w:tcPr>
          <w:p>
            <w:pPr>
              <w:rPr>
                <w:rFonts w:ascii="Gill Sans MT" w:hAnsi="Gill Sans MT"/>
                <w:b/>
                <w:sz w:val="28"/>
                <w:szCs w:val="28"/>
              </w:rPr>
            </w:pPr>
            <w:r>
              <w:rPr>
                <w:rFonts w:ascii="Gill Sans MT" w:hAnsi="Gill Sans MT"/>
                <w:b/>
                <w:sz w:val="28"/>
                <w:szCs w:val="28"/>
              </w:rPr>
              <w:t xml:space="preserve">Policies for identifying children and young people with SEN and assessing their needs, including the name and contact details of the SENCO </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Safeguarding and Child Protection  Policy (including e-safety policy)</w:t>
            </w:r>
            <w:r>
              <w:rPr>
                <w:rFonts w:ascii="Gill Sans MT" w:hAnsi="Gill Sans MT" w:cs="Arial"/>
                <w:color w:val="222222"/>
              </w:rPr>
              <w:t xml:space="preserve"> </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pPr>
              <w:rPr>
                <w:rFonts w:ascii="Gill Sans MT" w:hAnsi="Gill Sans MT"/>
                <w:b/>
                <w:sz w:val="28"/>
                <w:szCs w:val="28"/>
              </w:rPr>
            </w:pPr>
            <w:r>
              <w:rPr>
                <w:rFonts w:ascii="Gill Sans MT" w:hAnsi="Gill Sans MT"/>
                <w:b/>
                <w:sz w:val="28"/>
                <w:szCs w:val="28"/>
              </w:rPr>
              <w:t xml:space="preserve">The SENCO at </w:t>
            </w:r>
            <w:proofErr w:type="spellStart"/>
            <w:r>
              <w:rPr>
                <w:rFonts w:ascii="Gill Sans MT" w:hAnsi="Gill Sans MT"/>
                <w:b/>
                <w:sz w:val="28"/>
                <w:szCs w:val="28"/>
              </w:rPr>
              <w:t>Fearnville</w:t>
            </w:r>
            <w:proofErr w:type="spellEnd"/>
            <w:r>
              <w:rPr>
                <w:rFonts w:ascii="Gill Sans MT" w:hAnsi="Gill Sans MT"/>
                <w:b/>
                <w:sz w:val="28"/>
                <w:szCs w:val="28"/>
              </w:rPr>
              <w:t xml:space="preserve"> Primary School is </w:t>
            </w:r>
            <w:proofErr w:type="spellStart"/>
            <w:r>
              <w:rPr>
                <w:rFonts w:ascii="Gill Sans MT" w:hAnsi="Gill Sans MT"/>
                <w:b/>
                <w:sz w:val="28"/>
                <w:szCs w:val="28"/>
              </w:rPr>
              <w:t>Furhana</w:t>
            </w:r>
            <w:proofErr w:type="spellEnd"/>
            <w:r>
              <w:rPr>
                <w:rFonts w:ascii="Gill Sans MT" w:hAnsi="Gill Sans MT"/>
                <w:b/>
                <w:sz w:val="28"/>
                <w:szCs w:val="28"/>
              </w:rPr>
              <w:t xml:space="preserve"> Adam</w:t>
            </w:r>
          </w:p>
          <w:p>
            <w:pPr>
              <w:rPr>
                <w:rFonts w:ascii="Gill Sans MT" w:hAnsi="Gill Sans MT"/>
                <w:b/>
                <w:sz w:val="28"/>
                <w:szCs w:val="28"/>
              </w:rPr>
            </w:pPr>
          </w:p>
          <w:p>
            <w:pPr>
              <w:rPr>
                <w:rFonts w:ascii="Gill Sans MT" w:hAnsi="Gill Sans MT"/>
                <w:b/>
                <w:sz w:val="28"/>
                <w:szCs w:val="28"/>
              </w:rPr>
            </w:pPr>
            <w:r>
              <w:rPr>
                <w:rFonts w:ascii="Gill Sans MT" w:hAnsi="Gill Sans MT"/>
                <w:b/>
                <w:sz w:val="28"/>
                <w:szCs w:val="28"/>
              </w:rPr>
              <w:t>The SEN Governor is Chris Mason</w:t>
            </w:r>
          </w:p>
          <w:p>
            <w:pPr>
              <w:rPr>
                <w:rFonts w:ascii="Gill Sans MT" w:hAnsi="Gill Sans MT"/>
                <w:b/>
                <w:sz w:val="28"/>
                <w:szCs w:val="28"/>
              </w:rPr>
            </w:pPr>
          </w:p>
          <w:p>
            <w:pPr>
              <w:rPr>
                <w:rFonts w:ascii="Gill Sans MT" w:hAnsi="Gill Sans MT"/>
                <w:sz w:val="28"/>
                <w:szCs w:val="28"/>
              </w:rPr>
            </w:pPr>
            <w:r>
              <w:rPr>
                <w:rFonts w:ascii="Gill Sans MT" w:hAnsi="Gill Sans MT"/>
                <w:b/>
                <w:sz w:val="28"/>
                <w:szCs w:val="28"/>
              </w:rPr>
              <w:t>The Deputy Head is Sarah Bowe who is responsible for Inclusion</w:t>
            </w:r>
          </w:p>
          <w:p>
            <w:pPr>
              <w:rPr>
                <w:rFonts w:ascii="Gill Sans MT" w:hAnsi="Gill Sans MT"/>
              </w:rPr>
            </w:pPr>
          </w:p>
          <w:p>
            <w:pPr>
              <w:rPr>
                <w:rFonts w:ascii="Gill Sans MT" w:hAnsi="Gill Sans MT"/>
              </w:rPr>
            </w:pPr>
          </w:p>
          <w:p>
            <w:pPr>
              <w:rPr>
                <w:rFonts w:ascii="Gill Sans MT" w:hAnsi="Gill Sans MT"/>
              </w:rPr>
            </w:pPr>
            <w:r>
              <w:rPr>
                <w:rFonts w:ascii="Gill Sans MT" w:hAnsi="Gill Sans MT"/>
              </w:rPr>
              <w:t>Please contact them through the main telephone number : 01274 664661</w:t>
            </w:r>
          </w:p>
          <w:p>
            <w:pPr>
              <w:rPr>
                <w:rFonts w:ascii="Gill Sans MT" w:hAnsi="Gill Sans MT"/>
                <w:sz w:val="28"/>
                <w:szCs w:val="28"/>
              </w:rPr>
            </w:pPr>
          </w:p>
          <w:p>
            <w:pPr>
              <w:rPr>
                <w:rFonts w:ascii="Gill Sans MT" w:hAnsi="Gill Sans MT"/>
                <w:sz w:val="28"/>
                <w:szCs w:val="28"/>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r>
        <w:trPr>
          <w:trHeight w:val="10113"/>
        </w:trPr>
        <w:tc>
          <w:tcPr>
            <w:tcW w:w="15811" w:type="dxa"/>
          </w:tcPr>
          <w:p>
            <w:pPr>
              <w:rPr>
                <w:rFonts w:ascii="Gill Sans MT" w:hAnsi="Gill Sans MT"/>
                <w:b/>
                <w:sz w:val="28"/>
                <w:szCs w:val="28"/>
              </w:rPr>
            </w:pPr>
            <w:r>
              <w:rPr>
                <w:rFonts w:ascii="Gill Sans MT" w:hAnsi="Gill Sans MT"/>
                <w:b/>
                <w:sz w:val="28"/>
                <w:szCs w:val="28"/>
              </w:rPr>
              <w:t>Arrangements for consulting parents of children with SEN and involving them in their child’s education</w:t>
            </w:r>
          </w:p>
          <w:p>
            <w:pPr>
              <w:rPr>
                <w:rFonts w:ascii="Gill Sans MT" w:hAnsi="Gill Sans MT"/>
                <w:b/>
                <w:sz w:val="28"/>
                <w:szCs w:val="28"/>
              </w:rPr>
            </w:pPr>
          </w:p>
          <w:p>
            <w:pPr>
              <w:rPr>
                <w:rFonts w:ascii="Gill Sans MT" w:hAnsi="Gill Sans MT"/>
              </w:rPr>
            </w:pPr>
            <w:r>
              <w:rPr>
                <w:rFonts w:ascii="Gill Sans MT" w:hAnsi="Gill Sans MT"/>
              </w:rPr>
              <w:t>The new SEND Code of Practice states:</w:t>
            </w:r>
          </w:p>
          <w:p>
            <w:pPr>
              <w:rPr>
                <w:rFonts w:ascii="Gill Sans MT" w:hAnsi="Gill Sans MT"/>
              </w:rPr>
            </w:pPr>
          </w:p>
          <w:p>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roofErr w:type="spellStart"/>
            <w:r>
              <w:rPr>
                <w:rFonts w:ascii="Gill Sans MT" w:hAnsi="Gill Sans MT"/>
                <w:sz w:val="22"/>
                <w:szCs w:val="22"/>
              </w:rPr>
              <w:t>DfE</w:t>
            </w:r>
            <w:proofErr w:type="spellEnd"/>
            <w:r>
              <w:rPr>
                <w:rFonts w:ascii="Gill Sans MT" w:hAnsi="Gill Sans MT"/>
                <w:sz w:val="22"/>
                <w:szCs w:val="22"/>
              </w:rPr>
              <w:t>: page 104)</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At </w:t>
            </w:r>
            <w:proofErr w:type="spellStart"/>
            <w:r>
              <w:rPr>
                <w:rFonts w:ascii="Gill Sans MT" w:hAnsi="Gill Sans MT"/>
                <w:sz w:val="22"/>
                <w:szCs w:val="22"/>
              </w:rPr>
              <w:t>Fearnville</w:t>
            </w:r>
            <w:proofErr w:type="spellEnd"/>
            <w:r>
              <w:rPr>
                <w:rFonts w:ascii="Gill Sans MT" w:hAnsi="Gill Sans MT"/>
                <w:sz w:val="22"/>
                <w:szCs w:val="22"/>
              </w:rPr>
              <w:t xml:space="preserve"> Primary we:</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Hold annual parents evenings for all students and the SENCO is available to consult with parents of those on the SEND register</w:t>
            </w:r>
          </w:p>
          <w:p>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pPr>
              <w:rPr>
                <w:rFonts w:ascii="Gill Sans MT" w:hAnsi="Gill Sans MT"/>
              </w:rPr>
            </w:pPr>
          </w:p>
          <w:p>
            <w:pPr>
              <w:rPr>
                <w:rFonts w:ascii="Gill Sans MT" w:hAnsi="Gill Sans MT"/>
                <w:color w:val="C00000"/>
              </w:rPr>
            </w:pPr>
            <w:r>
              <w:rPr>
                <w:rFonts w:ascii="Gill Sans MT" w:hAnsi="Gill Sans MT"/>
              </w:rPr>
              <w:t xml:space="preserve">LA – LOCAL OFFER WEBSITE  </w:t>
            </w:r>
            <w:hyperlink r:id="rId10" w:history="1">
              <w:r>
                <w:rPr>
                  <w:color w:val="0000FF"/>
                  <w:u w:val="single"/>
                </w:rPr>
                <w:t>https://bso.bradford.gov.uk/Schools/Home.aspx</w:t>
              </w:r>
            </w:hyperlink>
            <w:r>
              <w:rPr>
                <w:rFonts w:ascii="Gill Sans MT" w:hAnsi="Gill Sans MT"/>
              </w:rPr>
              <w:t xml:space="preserve">                                                </w:t>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r>
        <w:trPr>
          <w:trHeight w:val="9687"/>
        </w:trPr>
        <w:tc>
          <w:tcPr>
            <w:tcW w:w="15811" w:type="dxa"/>
          </w:tcPr>
          <w:p>
            <w:pPr>
              <w:rPr>
                <w:rFonts w:ascii="Gill Sans MT" w:hAnsi="Gill Sans MT"/>
                <w:b/>
                <w:sz w:val="28"/>
                <w:szCs w:val="28"/>
              </w:rPr>
            </w:pPr>
            <w:r>
              <w:rPr>
                <w:rFonts w:ascii="Gill Sans MT" w:hAnsi="Gill Sans MT"/>
                <w:b/>
                <w:sz w:val="28"/>
                <w:szCs w:val="28"/>
              </w:rPr>
              <w:t>Arrangements for consulting young people with SEN and involving them in their education</w:t>
            </w:r>
          </w:p>
          <w:p>
            <w:pPr>
              <w:rPr>
                <w:rFonts w:ascii="Gill Sans MT" w:hAnsi="Gill Sans MT"/>
                <w:b/>
                <w:sz w:val="28"/>
                <w:szCs w:val="28"/>
              </w:rPr>
            </w:pPr>
          </w:p>
          <w:p>
            <w:pPr>
              <w:rPr>
                <w:rFonts w:ascii="Gill Sans MT" w:hAnsi="Gill Sans MT"/>
              </w:rPr>
            </w:pPr>
            <w:r>
              <w:rPr>
                <w:rFonts w:ascii="Gill Sans MT" w:hAnsi="Gill Sans MT"/>
              </w:rPr>
              <w:t xml:space="preserve">At </w:t>
            </w:r>
            <w:proofErr w:type="spellStart"/>
            <w:r>
              <w:rPr>
                <w:rFonts w:ascii="Gill Sans MT" w:hAnsi="Gill Sans MT"/>
              </w:rPr>
              <w:t>Fearnville</w:t>
            </w:r>
            <w:proofErr w:type="spellEnd"/>
            <w:r>
              <w:rPr>
                <w:rFonts w:ascii="Gill Sans MT" w:hAnsi="Gill Sans MT"/>
              </w:rPr>
              <w:t xml:space="preserve"> Primary we aim to develop further the voice of the student, and to encourage active participation in planning, monitoring and reviewing their educational provision when appropriate.</w:t>
            </w:r>
          </w:p>
          <w:p>
            <w:pPr>
              <w:rPr>
                <w:rFonts w:ascii="Gill Sans MT" w:hAnsi="Gill Sans MT"/>
              </w:rPr>
            </w:pPr>
            <w:r>
              <w:rPr>
                <w:rFonts w:ascii="Gill Sans MT" w:hAnsi="Gill Sans MT"/>
              </w:rPr>
              <w:t>We will look carefully at how the Code of Practice details guidance on recording student views using one page profiles for example.</w:t>
            </w:r>
          </w:p>
          <w:p>
            <w:pPr>
              <w:rPr>
                <w:rFonts w:ascii="Gill Sans MT" w:hAnsi="Gill Sans MT"/>
              </w:rPr>
            </w:pPr>
          </w:p>
          <w:p>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 Service for Children with a social and communication difficulty including Autism, Educational Psychologist, Occupational Therapist, Staff from Child and Adolescent Mental Health Service (CAMHS) etc. Families will be informed of these visits.</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Students are welcome to attend parents evenings</w:t>
            </w:r>
          </w:p>
          <w:p>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pPr>
              <w:pStyle w:val="Default"/>
              <w:spacing w:after="100" w:afterAutospacing="1" w:line="360" w:lineRule="auto"/>
              <w:rPr>
                <w:rFonts w:ascii="Gill Sans MT" w:hAnsi="Gill Sans MT"/>
                <w:sz w:val="22"/>
                <w:szCs w:val="22"/>
              </w:rPr>
            </w:pPr>
          </w:p>
          <w:p>
            <w:pPr>
              <w:rPr>
                <w:rFonts w:ascii="Gill Sans MT" w:hAnsi="Gill Sans MT"/>
                <w:sz w:val="24"/>
                <w:szCs w:val="24"/>
              </w:rPr>
            </w:pPr>
          </w:p>
          <w:p>
            <w:pPr>
              <w:tabs>
                <w:tab w:val="left" w:pos="4155"/>
              </w:tabs>
              <w:rPr>
                <w:rFonts w:ascii="Gill Sans MT" w:hAnsi="Gill Sans MT"/>
                <w:sz w:val="24"/>
                <w:szCs w:val="24"/>
              </w:rPr>
            </w:pPr>
            <w:r>
              <w:rPr>
                <w:rFonts w:ascii="Gill Sans MT" w:hAnsi="Gill Sans MT"/>
                <w:sz w:val="24"/>
                <w:szCs w:val="24"/>
              </w:rPr>
              <w:tab/>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b/>
                <w:sz w:val="28"/>
                <w:szCs w:val="28"/>
              </w:rPr>
            </w:pPr>
            <w:r>
              <w:rPr>
                <w:rFonts w:ascii="Gill Sans MT" w:hAnsi="Gill Sans MT"/>
                <w:b/>
                <w:sz w:val="28"/>
                <w:szCs w:val="28"/>
              </w:rPr>
              <w:t>Arrangements for assessing and reviewing children and young people’s progress towards outcomes. This should include the opportunities available to work with parents and young people as part of this assessment and review</w:t>
            </w:r>
          </w:p>
          <w:p>
            <w:pPr>
              <w:rPr>
                <w:rFonts w:ascii="Gill Sans MT" w:hAnsi="Gill Sans MT"/>
                <w:sz w:val="24"/>
                <w:szCs w:val="24"/>
              </w:rPr>
            </w:pPr>
          </w:p>
          <w:p>
            <w:pPr>
              <w:rPr>
                <w:rFonts w:ascii="Gill Sans MT" w:hAnsi="Gill Sans MT"/>
                <w:sz w:val="24"/>
                <w:szCs w:val="24"/>
              </w:rPr>
            </w:pPr>
          </w:p>
          <w:p>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 xml:space="preserve">eracy skills and progress is tracked rigorously using the school system.  </w:t>
            </w:r>
            <w:r>
              <w:rPr>
                <w:rFonts w:ascii="Gill Sans MT" w:hAnsi="Gill Sans MT"/>
                <w:sz w:val="22"/>
                <w:szCs w:val="22"/>
              </w:rPr>
              <w:t xml:space="preserve">Students receiving additional literacy and/or numeracy interventions are assessed to evaluate the effectiveness of the intervention and determine the next step. </w:t>
            </w:r>
          </w:p>
          <w:p>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The provision map will develop to allow the SENCO to evaluate the impact of interventions in relation to good value for money.</w:t>
            </w:r>
          </w:p>
          <w:p>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The assessment coordinator links closely with the SENCO to ensure that progress and attainment reports are fit for purpose with regard to those on the SEN register.  </w:t>
            </w:r>
          </w:p>
          <w:p>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pPr>
              <w:rPr>
                <w:lang w:eastAsia="en-GB"/>
              </w:rPr>
            </w:pPr>
          </w:p>
          <w:p>
            <w:pPr>
              <w:rPr>
                <w:lang w:eastAsia="en-GB"/>
              </w:rPr>
            </w:pPr>
          </w:p>
          <w:p>
            <w:pPr>
              <w:rPr>
                <w:lang w:eastAsia="en-GB"/>
              </w:rPr>
            </w:pPr>
          </w:p>
        </w:tc>
      </w:tr>
      <w:tr>
        <w:trPr>
          <w:trHeight w:val="3980"/>
        </w:trPr>
        <w:tc>
          <w:tcPr>
            <w:tcW w:w="15811" w:type="dxa"/>
          </w:tcPr>
          <w:p>
            <w:pPr>
              <w:rPr>
                <w:rFonts w:ascii="Gill Sans MT" w:hAnsi="Gill Sans MT"/>
                <w:b/>
                <w:sz w:val="28"/>
                <w:szCs w:val="28"/>
              </w:rPr>
            </w:pPr>
            <w:bookmarkStart w:id="0" w:name="_GoBack"/>
            <w:bookmarkEnd w:id="0"/>
            <w:r>
              <w:rPr>
                <w:rFonts w:ascii="Gill Sans MT" w:hAnsi="Gill Sans MT"/>
                <w:b/>
                <w:sz w:val="28"/>
                <w:szCs w:val="28"/>
              </w:rPr>
              <w:t>The approach to teaching children and young people with SEN</w:t>
            </w:r>
          </w:p>
          <w:p>
            <w:pPr>
              <w:rPr>
                <w:rFonts w:ascii="Gill Sans MT" w:hAnsi="Gill Sans MT"/>
                <w:sz w:val="24"/>
                <w:szCs w:val="24"/>
              </w:rPr>
            </w:pPr>
          </w:p>
          <w:p>
            <w:pPr>
              <w:rPr>
                <w:rFonts w:ascii="Gill Sans MT" w:hAnsi="Gill Sans MT"/>
              </w:rPr>
            </w:pPr>
            <w:r>
              <w:rPr>
                <w:rFonts w:ascii="Gill Sans MT" w:hAnsi="Gill Sans MT"/>
              </w:rPr>
              <w:t>High quality teaching, differentiated for individual students is the first step in responding to students who may, or may not, have SEND. In agreement with ‘The Code’ all staff agree that additional intervention and support cannot compensate for a lack of good quality teaching. The quality of Teaching and Learning of all students is supported through the lesson observation cycle; learning walks; book scrutinies and the work shadowing and tracking of individual students.  All staff will have one to one pupil progress meetings that address the impact of teaching and provision as well as identifying staff need and areas for development</w:t>
            </w:r>
          </w:p>
          <w:p>
            <w:pPr>
              <w:rPr>
                <w:rFonts w:ascii="Gill Sans MT" w:hAnsi="Gill Sans MT"/>
              </w:rPr>
            </w:pPr>
          </w:p>
          <w:p>
            <w:pPr>
              <w:rPr>
                <w:rFonts w:ascii="Gill Sans MT" w:hAnsi="Gill Sans MT"/>
              </w:rPr>
            </w:pPr>
            <w:proofErr w:type="spellStart"/>
            <w:r>
              <w:rPr>
                <w:rFonts w:ascii="Gill Sans MT" w:hAnsi="Gill Sans MT"/>
              </w:rPr>
              <w:t>Fearnville</w:t>
            </w:r>
            <w:proofErr w:type="spellEnd"/>
            <w:r>
              <w:rPr>
                <w:rFonts w:ascii="Gill Sans MT" w:hAnsi="Gill Sans MT"/>
              </w:rPr>
              <w:t xml:space="preserve"> Primary School is working to ensure that the overall quality of teaching for all students is classed as good and better in line with </w:t>
            </w:r>
            <w:proofErr w:type="spellStart"/>
            <w:r>
              <w:rPr>
                <w:rFonts w:ascii="Gill Sans MT" w:hAnsi="Gill Sans MT"/>
              </w:rPr>
              <w:t>OfSTED</w:t>
            </w:r>
            <w:proofErr w:type="spellEnd"/>
            <w:r>
              <w:rPr>
                <w:rFonts w:ascii="Gill Sans MT" w:hAnsi="Gill Sans MT"/>
              </w:rPr>
              <w:t xml:space="preserve"> requirements.  Full school procedures will take into account the teaching and learning of all vulnerable students including those with SEND.</w:t>
            </w:r>
          </w:p>
          <w:p>
            <w:pPr>
              <w:rPr>
                <w:rFonts w:ascii="Gill Sans MT" w:hAnsi="Gill Sans MT"/>
              </w:rPr>
            </w:pPr>
          </w:p>
          <w:p>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pPr>
              <w:rPr>
                <w:rFonts w:ascii="Gill Sans MT" w:hAnsi="Gill Sans MT"/>
              </w:rPr>
            </w:pPr>
          </w:p>
          <w:p>
            <w:pPr>
              <w:rPr>
                <w:rFonts w:ascii="Gill Sans MT" w:hAnsi="Gill Sans MT"/>
              </w:rPr>
            </w:pPr>
            <w:r>
              <w:rPr>
                <w:rFonts w:ascii="Gill Sans MT" w:hAnsi="Gill Sans MT"/>
              </w:rPr>
              <w:t>The school will allow the SENCO to develop an overview of Wave One and Two provision as well as targeted support at Wave Three</w:t>
            </w:r>
          </w:p>
          <w:p>
            <w:pPr>
              <w:rPr>
                <w:rFonts w:ascii="Gill Sans MT" w:hAnsi="Gill Sans MT"/>
              </w:rPr>
            </w:pPr>
          </w:p>
        </w:tc>
      </w:tr>
      <w:tr>
        <w:trPr>
          <w:trHeight w:val="9862"/>
        </w:trPr>
        <w:tc>
          <w:tcPr>
            <w:tcW w:w="15811" w:type="dxa"/>
          </w:tcPr>
          <w:p>
            <w:pPr>
              <w:rPr>
                <w:rFonts w:ascii="Gill Sans MT" w:hAnsi="Gill Sans MT"/>
                <w:b/>
                <w:sz w:val="28"/>
                <w:szCs w:val="28"/>
              </w:rPr>
            </w:pPr>
            <w:r>
              <w:rPr>
                <w:rFonts w:ascii="Gill Sans MT" w:hAnsi="Gill Sans MT"/>
                <w:b/>
                <w:sz w:val="28"/>
                <w:szCs w:val="28"/>
              </w:rPr>
              <w:t>How adaptations are made to the curriculum and the learning environment of children and young people with SEN</w:t>
            </w:r>
          </w:p>
          <w:p>
            <w:pPr>
              <w:rPr>
                <w:rFonts w:ascii="Gill Sans MT" w:hAnsi="Gill Sans MT"/>
                <w:b/>
                <w:sz w:val="28"/>
                <w:szCs w:val="28"/>
              </w:rPr>
            </w:pPr>
          </w:p>
          <w:p>
            <w:pPr>
              <w:rPr>
                <w:rFonts w:ascii="Gill Sans MT" w:hAnsi="Gill Sans MT"/>
              </w:rPr>
            </w:pPr>
            <w:r>
              <w:rPr>
                <w:rFonts w:ascii="Gill Sans MT" w:hAnsi="Gill Sans MT"/>
              </w:rPr>
              <w:t>Wave Three</w:t>
            </w:r>
          </w:p>
          <w:p>
            <w:pPr>
              <w:rPr>
                <w:rFonts w:ascii="Gill Sans MT" w:hAnsi="Gill Sans MT"/>
              </w:rPr>
            </w:pPr>
          </w:p>
          <w:p>
            <w:pPr>
              <w:rPr>
                <w:rFonts w:ascii="Gill Sans MT" w:hAnsi="Gill Sans MT"/>
              </w:rPr>
            </w:pPr>
            <w:r>
              <w:rPr>
                <w:rFonts w:ascii="Gill Sans MT" w:hAnsi="Gill Sans MT"/>
              </w:rPr>
              <w:t>The SENCO alongside appropriate staff will identify students that require ‘additional to’ and ‘different from’ provision.</w:t>
            </w:r>
          </w:p>
          <w:p>
            <w:pPr>
              <w:rPr>
                <w:rFonts w:ascii="Gill Sans MT" w:hAnsi="Gill Sans MT"/>
              </w:rPr>
            </w:pPr>
          </w:p>
          <w:p>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pPr>
              <w:rPr>
                <w:rFonts w:ascii="Gill Sans MT" w:hAnsi="Gill Sans MT"/>
              </w:rPr>
            </w:pPr>
          </w:p>
          <w:p>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pPr>
              <w:rPr>
                <w:rFonts w:ascii="Gill Sans MT" w:hAnsi="Gill Sans MT"/>
              </w:rPr>
            </w:pPr>
          </w:p>
          <w:p>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pPr>
              <w:rPr>
                <w:rFonts w:ascii="Gill Sans MT" w:hAnsi="Gill Sans MT"/>
              </w:rPr>
            </w:pPr>
          </w:p>
          <w:p>
            <w:pPr>
              <w:rPr>
                <w:rFonts w:ascii="Gill Sans MT" w:hAnsi="Gill Sans MT"/>
              </w:rPr>
            </w:pPr>
            <w:r>
              <w:rPr>
                <w:rFonts w:ascii="Gill Sans MT" w:hAnsi="Gill Sans MT"/>
              </w:rPr>
              <w:t>Other examples of specific provision are :</w:t>
            </w:r>
          </w:p>
          <w:p>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pPr>
              <w:pStyle w:val="ListParagraph"/>
              <w:numPr>
                <w:ilvl w:val="0"/>
                <w:numId w:val="11"/>
              </w:numPr>
              <w:rPr>
                <w:rFonts w:ascii="Gill Sans MT" w:hAnsi="Gill Sans MT"/>
              </w:rPr>
            </w:pPr>
            <w:r>
              <w:rPr>
                <w:rFonts w:ascii="Gill Sans MT" w:hAnsi="Gill Sans MT"/>
              </w:rPr>
              <w:t>Intervention programmes delivered by staff where gaps identified</w:t>
            </w:r>
          </w:p>
          <w:p>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pPr>
              <w:pStyle w:val="ListParagraph"/>
              <w:rPr>
                <w:rFonts w:ascii="Gill Sans MT" w:hAnsi="Gill Sans MT"/>
              </w:rPr>
            </w:pPr>
          </w:p>
          <w:p>
            <w:pPr>
              <w:rPr>
                <w:rFonts w:ascii="Gill Sans MT" w:hAnsi="Gill Sans MT"/>
              </w:rPr>
            </w:pPr>
            <w:r>
              <w:rPr>
                <w:rFonts w:ascii="Gill Sans MT" w:hAnsi="Gill Sans MT"/>
              </w:rPr>
              <w:t>The school has good accessibility via a number of ramps.</w:t>
            </w:r>
          </w:p>
          <w:p>
            <w:pPr>
              <w:rPr>
                <w:rFonts w:ascii="Gill Sans MT" w:hAnsi="Gill Sans MT"/>
              </w:rPr>
            </w:pPr>
            <w:r>
              <w:rPr>
                <w:rFonts w:ascii="Gill Sans MT" w:hAnsi="Gill Sans MT"/>
              </w:rPr>
              <w:t>Entrance to the school is well signposted and easy for those with mobility difficulties.</w:t>
            </w:r>
          </w:p>
          <w:p>
            <w:pPr>
              <w:rPr>
                <w:rFonts w:ascii="Gill Sans MT" w:hAnsi="Gill Sans MT"/>
              </w:rPr>
            </w:pPr>
            <w:r>
              <w:rPr>
                <w:rFonts w:ascii="Gill Sans MT" w:hAnsi="Gill Sans MT"/>
              </w:rPr>
              <w:t>There is a disabled accessible toilet and wet room facility.</w:t>
            </w:r>
          </w:p>
          <w:p>
            <w:pPr>
              <w:rPr>
                <w:rFonts w:ascii="Gill Sans MT" w:hAnsi="Gill Sans MT"/>
              </w:rPr>
            </w:pPr>
          </w:p>
          <w:p>
            <w:pPr>
              <w:rPr>
                <w:rFonts w:ascii="Gill Sans MT" w:hAnsi="Gill Sans MT"/>
                <w:color w:val="FF0000"/>
              </w:rPr>
            </w:pPr>
          </w:p>
          <w:p>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pPr>
              <w:rPr>
                <w:rFonts w:ascii="Gill Sans MT" w:hAnsi="Gill Sans MT"/>
              </w:rPr>
            </w:pPr>
            <w:r>
              <w:rPr>
                <w:rFonts w:ascii="Gill Sans MT" w:hAnsi="Gill Sans MT"/>
              </w:rPr>
              <w:t>The School ensures that their practice is in line with the new guidelines:  ‘</w:t>
            </w:r>
            <w:r>
              <w:rPr>
                <w:rFonts w:ascii="Gill Sans MT" w:hAnsi="Gill Sans MT"/>
                <w:i/>
                <w:iCs/>
              </w:rPr>
              <w:t>Supporting pupils at school with medical conditions</w:t>
            </w:r>
            <w:r>
              <w:rPr>
                <w:rFonts w:ascii="Gill Sans MT" w:hAnsi="Gill Sans MT"/>
              </w:rPr>
              <w:t>’.</w:t>
            </w: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sz w:val="28"/>
                <w:szCs w:val="28"/>
              </w:rPr>
            </w:pPr>
          </w:p>
          <w:p>
            <w:pPr>
              <w:rPr>
                <w:rFonts w:ascii="Gill Sans MT" w:hAnsi="Gill Sans MT"/>
                <w:sz w:val="28"/>
                <w:szCs w:val="28"/>
              </w:rPr>
            </w:pPr>
          </w:p>
          <w:p>
            <w:pPr>
              <w:rPr>
                <w:rFonts w:ascii="Gill Sans MT" w:hAnsi="Gill Sans MT"/>
              </w:rPr>
            </w:pPr>
          </w:p>
        </w:tc>
      </w:tr>
      <w:tr>
        <w:trPr>
          <w:trHeight w:val="3780"/>
        </w:trPr>
        <w:tc>
          <w:tcPr>
            <w:tcW w:w="15811" w:type="dxa"/>
          </w:tcPr>
          <w:p>
            <w:pPr>
              <w:rPr>
                <w:rFonts w:ascii="Gill Sans MT" w:hAnsi="Gill Sans MT"/>
                <w:b/>
                <w:sz w:val="28"/>
                <w:szCs w:val="28"/>
              </w:rPr>
            </w:pPr>
            <w:r>
              <w:rPr>
                <w:rFonts w:ascii="Gill Sans MT" w:hAnsi="Gill Sans MT"/>
                <w:b/>
                <w:sz w:val="28"/>
                <w:szCs w:val="28"/>
              </w:rPr>
              <w:t>The expertise and training of staff to support children and young people with SEN, including how specialist expertise will be secured</w:t>
            </w:r>
          </w:p>
          <w:p>
            <w:pPr>
              <w:rPr>
                <w:rFonts w:ascii="Gill Sans MT" w:hAnsi="Gill Sans MT"/>
                <w:sz w:val="24"/>
                <w:szCs w:val="24"/>
              </w:rPr>
            </w:pPr>
          </w:p>
          <w:p>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pPr>
              <w:rPr>
                <w:rFonts w:ascii="Gill Sans MT" w:hAnsi="Gill Sans MT"/>
              </w:rPr>
            </w:pPr>
          </w:p>
          <w:p>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pPr>
              <w:rPr>
                <w:rFonts w:ascii="Gill Sans MT" w:hAnsi="Gill Sans MT"/>
                <w:color w:val="C00000"/>
              </w:rPr>
            </w:pPr>
          </w:p>
          <w:p>
            <w:pPr>
              <w:rPr>
                <w:rFonts w:ascii="Gill Sans MT" w:hAnsi="Gill Sans MT"/>
                <w:color w:val="C00000"/>
              </w:rPr>
            </w:pPr>
          </w:p>
          <w:p>
            <w:pPr>
              <w:rPr>
                <w:rFonts w:ascii="Gill Sans MT" w:hAnsi="Gill Sans MT"/>
              </w:rPr>
            </w:pPr>
            <w:r>
              <w:rPr>
                <w:rFonts w:ascii="Gill Sans MT" w:hAnsi="Gill Sans MT"/>
              </w:rPr>
              <w:t>The SENCO is undertaking the National SENCO Award</w:t>
            </w:r>
          </w:p>
          <w:p>
            <w:pPr>
              <w:rPr>
                <w:rFonts w:ascii="Gill Sans MT" w:hAnsi="Gill Sans MT"/>
                <w:sz w:val="24"/>
                <w:szCs w:val="24"/>
              </w:rPr>
            </w:pPr>
            <w:r>
              <w:rPr>
                <w:rFonts w:ascii="Gill Sans MT" w:hAnsi="Gill Sans MT"/>
              </w:rPr>
              <w:t xml:space="preserve">The Deputy Head has a </w:t>
            </w:r>
            <w:proofErr w:type="spellStart"/>
            <w:r>
              <w:rPr>
                <w:rFonts w:ascii="Gill Sans MT" w:hAnsi="Gill Sans MT"/>
              </w:rPr>
              <w:t>Masters</w:t>
            </w:r>
            <w:proofErr w:type="spellEnd"/>
            <w:r>
              <w:rPr>
                <w:rFonts w:ascii="Gill Sans MT" w:hAnsi="Gill Sans MT"/>
              </w:rPr>
              <w:t xml:space="preserve"> degree in SEN and an OCR </w:t>
            </w:r>
            <w:proofErr w:type="spellStart"/>
            <w:r>
              <w:rPr>
                <w:rFonts w:ascii="Gill Sans MT" w:hAnsi="Gill Sans MT"/>
              </w:rPr>
              <w:t>Certficate</w:t>
            </w:r>
            <w:proofErr w:type="spellEnd"/>
            <w:r>
              <w:rPr>
                <w:rFonts w:ascii="Gill Sans MT" w:hAnsi="Gill Sans MT"/>
              </w:rPr>
              <w:t xml:space="preserve"> in </w:t>
            </w:r>
            <w:proofErr w:type="spellStart"/>
            <w:r>
              <w:rPr>
                <w:rFonts w:ascii="Gill Sans MT" w:hAnsi="Gill Sans MT"/>
              </w:rPr>
              <w:t>SPLd</w:t>
            </w:r>
            <w:proofErr w:type="spellEnd"/>
            <w:r>
              <w:rPr>
                <w:rFonts w:ascii="Gill Sans MT" w:hAnsi="Gill Sans MT"/>
              </w:rPr>
              <w:t xml:space="preserve"> identification and assessment.</w:t>
            </w:r>
          </w:p>
          <w:p>
            <w:pPr>
              <w:rPr>
                <w:rFonts w:ascii="Gill Sans MT" w:hAnsi="Gill Sans MT"/>
              </w:rPr>
            </w:pPr>
          </w:p>
        </w:tc>
      </w:tr>
      <w:tr>
        <w:trPr>
          <w:trHeight w:val="6032"/>
        </w:trPr>
        <w:tc>
          <w:tcPr>
            <w:tcW w:w="15811" w:type="dxa"/>
          </w:tcPr>
          <w:p>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pPr>
              <w:rPr>
                <w:rFonts w:ascii="Gill Sans MT" w:hAnsi="Gill Sans MT"/>
                <w:sz w:val="24"/>
                <w:szCs w:val="24"/>
              </w:rPr>
            </w:pPr>
          </w:p>
          <w:p>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pPr>
              <w:rPr>
                <w:rFonts w:ascii="Gill Sans MT" w:hAnsi="Gill Sans MT"/>
              </w:rPr>
            </w:pPr>
          </w:p>
          <w:p>
            <w:pPr>
              <w:rPr>
                <w:rFonts w:ascii="Gill Sans MT" w:hAnsi="Gill Sans MT"/>
              </w:rPr>
            </w:pPr>
            <w:r>
              <w:rPr>
                <w:rFonts w:ascii="Gill Sans MT" w:hAnsi="Gill Sans MT"/>
              </w:rPr>
              <w:t>The SENCO works closely with the Deputy Head to ensure that all agencies are working together to meet the individual needs of all children.</w:t>
            </w:r>
          </w:p>
          <w:p>
            <w:pPr>
              <w:rPr>
                <w:rFonts w:ascii="Gill Sans MT" w:hAnsi="Gill Sans MT"/>
              </w:rPr>
            </w:pPr>
          </w:p>
          <w:p>
            <w:pPr>
              <w:rPr>
                <w:rFonts w:ascii="Gill Sans MT" w:hAnsi="Gill Sans MT"/>
              </w:rPr>
            </w:pPr>
            <w:r>
              <w:rPr>
                <w:rFonts w:ascii="Gill Sans MT" w:hAnsi="Gill Sans MT"/>
              </w:rPr>
              <w:t>Statutory review meetings are held for those students with an Education Health and Care plan</w:t>
            </w:r>
          </w:p>
          <w:p>
            <w:pPr>
              <w:rPr>
                <w:rFonts w:ascii="Gill Sans MT" w:hAnsi="Gill Sans MT"/>
              </w:rPr>
            </w:pPr>
          </w:p>
          <w:p>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pPr>
              <w:rPr>
                <w:rFonts w:ascii="Gill Sans MT" w:hAnsi="Gill Sans MT"/>
              </w:rPr>
            </w:pPr>
          </w:p>
          <w:p>
            <w:pPr>
              <w:rPr>
                <w:rFonts w:ascii="Gill Sans MT" w:hAnsi="Gill Sans MT"/>
              </w:rPr>
            </w:pPr>
            <w:r>
              <w:rPr>
                <w:rFonts w:ascii="Gill Sans MT" w:hAnsi="Gill Sans MT"/>
              </w:rPr>
              <w:t>The SENCO works in collaboration with class teachers to manage strategies and evaluate progress for the most vulnerable when appropriate.</w:t>
            </w:r>
          </w:p>
          <w:p>
            <w:pPr>
              <w:rPr>
                <w:rFonts w:ascii="Gill Sans MT" w:hAnsi="Gill Sans MT"/>
              </w:rPr>
            </w:pPr>
          </w:p>
          <w:p>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pPr>
              <w:rPr>
                <w:rFonts w:ascii="Gill Sans MT" w:hAnsi="Gill Sans MT"/>
              </w:rPr>
            </w:pPr>
          </w:p>
          <w:p>
            <w:pPr>
              <w:rPr>
                <w:rFonts w:ascii="Gill Sans MT" w:hAnsi="Gill Sans MT"/>
              </w:rPr>
            </w:pPr>
            <w:r>
              <w:rPr>
                <w:rFonts w:ascii="Gill Sans MT" w:hAnsi="Gill Sans MT"/>
              </w:rPr>
              <w:t>The SENCO monitors progress and attainment measures for SEND with subject leaders.</w:t>
            </w:r>
          </w:p>
          <w:p>
            <w:pPr>
              <w:rPr>
                <w:rFonts w:ascii="Gill Sans MT" w:hAnsi="Gill Sans MT"/>
                <w:color w:val="4F81BD" w:themeColor="accent1"/>
              </w:rPr>
            </w:pPr>
          </w:p>
          <w:p>
            <w:pPr>
              <w:rPr>
                <w:rFonts w:ascii="Gill Sans MT" w:hAnsi="Gill Sans MT"/>
              </w:rPr>
            </w:pPr>
            <w:r>
              <w:rPr>
                <w:rFonts w:ascii="Gill Sans MT" w:hAnsi="Gill Sans MT"/>
              </w:rPr>
              <w:t xml:space="preserve">The SENCO provides a report for SLT and Governors.   </w:t>
            </w:r>
          </w:p>
          <w:p>
            <w:pPr>
              <w:rPr>
                <w:rFonts w:ascii="Gill Sans MT" w:hAnsi="Gill Sans MT"/>
              </w:rPr>
            </w:pPr>
          </w:p>
          <w:p>
            <w:pPr>
              <w:rPr>
                <w:rFonts w:ascii="Gill Sans MT" w:hAnsi="Gill Sans MT"/>
              </w:rPr>
            </w:pPr>
            <w:r>
              <w:rPr>
                <w:rFonts w:ascii="Gill Sans MT" w:hAnsi="Gill Sans MT"/>
              </w:rPr>
              <w:t>A costed provision map is reviewed, evaluated and updated at least annually.</w:t>
            </w: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tc>
      </w:tr>
      <w:tr>
        <w:trPr>
          <w:trHeight w:val="5507"/>
        </w:trPr>
        <w:tc>
          <w:tcPr>
            <w:tcW w:w="15811" w:type="dxa"/>
          </w:tcPr>
          <w:p>
            <w:pPr>
              <w:rPr>
                <w:rFonts w:ascii="Gill Sans MT" w:hAnsi="Gill Sans MT"/>
                <w:b/>
                <w:sz w:val="28"/>
                <w:szCs w:val="28"/>
              </w:rPr>
            </w:pPr>
            <w:r>
              <w:rPr>
                <w:rFonts w:ascii="Gill Sans MT" w:hAnsi="Gill Sans MT"/>
                <w:b/>
                <w:sz w:val="28"/>
                <w:szCs w:val="28"/>
              </w:rPr>
              <w:t>How the school involves other bodies, including health and social care bodies, local authority support services and voluntary sector organisations, in meeting children and young people’s SEN and supporting their families</w:t>
            </w:r>
          </w:p>
          <w:p>
            <w:pPr>
              <w:rPr>
                <w:rFonts w:ascii="Gill Sans MT" w:hAnsi="Gill Sans MT"/>
                <w:sz w:val="24"/>
                <w:szCs w:val="24"/>
              </w:rPr>
            </w:pPr>
          </w:p>
          <w:p>
            <w:pPr>
              <w:rPr>
                <w:rFonts w:ascii="Gill Sans MT" w:hAnsi="Gill Sans MT"/>
              </w:rPr>
            </w:pPr>
          </w:p>
          <w:p>
            <w:pPr>
              <w:rPr>
                <w:rFonts w:ascii="Gill Sans MT" w:hAnsi="Gill Sans MT"/>
              </w:rPr>
            </w:pPr>
            <w:proofErr w:type="spellStart"/>
            <w:r>
              <w:rPr>
                <w:rFonts w:ascii="Gill Sans MT" w:hAnsi="Gill Sans MT"/>
              </w:rPr>
              <w:t>Fearnville</w:t>
            </w:r>
            <w:proofErr w:type="spellEnd"/>
            <w:r>
              <w:rPr>
                <w:rFonts w:ascii="Gill Sans MT" w:hAnsi="Gill Sans MT"/>
              </w:rPr>
              <w:t xml:space="preserve"> Primary School has very close relationships with the local authority, social care and health services. </w:t>
            </w:r>
          </w:p>
          <w:p>
            <w:pPr>
              <w:rPr>
                <w:rFonts w:ascii="Gill Sans MT" w:hAnsi="Gill Sans MT"/>
              </w:rPr>
            </w:pPr>
            <w:r>
              <w:rPr>
                <w:rFonts w:ascii="Gill Sans MT" w:hAnsi="Gill Sans MT"/>
              </w:rPr>
              <w:t>These include:</w:t>
            </w:r>
          </w:p>
          <w:p>
            <w:pPr>
              <w:pStyle w:val="ListParagraph"/>
              <w:numPr>
                <w:ilvl w:val="0"/>
                <w:numId w:val="8"/>
              </w:numPr>
              <w:rPr>
                <w:rFonts w:ascii="Gill Sans MT" w:hAnsi="Gill Sans MT"/>
              </w:rPr>
            </w:pPr>
            <w:r>
              <w:rPr>
                <w:rFonts w:ascii="Gill Sans MT" w:hAnsi="Gill Sans MT"/>
              </w:rPr>
              <w:t>Educational Psychology Service</w:t>
            </w:r>
          </w:p>
          <w:p>
            <w:pPr>
              <w:pStyle w:val="ListParagraph"/>
              <w:numPr>
                <w:ilvl w:val="0"/>
                <w:numId w:val="8"/>
              </w:numPr>
              <w:rPr>
                <w:rFonts w:ascii="Gill Sans MT" w:hAnsi="Gill Sans MT"/>
              </w:rPr>
            </w:pPr>
            <w:r>
              <w:rPr>
                <w:rFonts w:ascii="Gill Sans MT" w:hAnsi="Gill Sans MT"/>
              </w:rPr>
              <w:t>Occupational Therapist</w:t>
            </w:r>
          </w:p>
          <w:p>
            <w:pPr>
              <w:pStyle w:val="ListParagraph"/>
              <w:numPr>
                <w:ilvl w:val="0"/>
                <w:numId w:val="8"/>
              </w:numPr>
              <w:rPr>
                <w:rFonts w:ascii="Gill Sans MT" w:hAnsi="Gill Sans MT"/>
              </w:rPr>
            </w:pPr>
            <w:r>
              <w:rPr>
                <w:rFonts w:ascii="Gill Sans MT" w:hAnsi="Gill Sans MT"/>
              </w:rPr>
              <w:t>Physiotherapists</w:t>
            </w:r>
          </w:p>
          <w:p>
            <w:pPr>
              <w:pStyle w:val="ListParagraph"/>
              <w:numPr>
                <w:ilvl w:val="0"/>
                <w:numId w:val="8"/>
              </w:numPr>
              <w:rPr>
                <w:rFonts w:ascii="Gill Sans MT" w:hAnsi="Gill Sans MT"/>
              </w:rPr>
            </w:pPr>
            <w:r>
              <w:rPr>
                <w:rFonts w:ascii="Gill Sans MT" w:hAnsi="Gill Sans MT"/>
              </w:rPr>
              <w:t>NHS School Nurse Service</w:t>
            </w:r>
          </w:p>
          <w:p>
            <w:pPr>
              <w:pStyle w:val="ListParagraph"/>
              <w:numPr>
                <w:ilvl w:val="0"/>
                <w:numId w:val="8"/>
              </w:numPr>
              <w:rPr>
                <w:rFonts w:ascii="Gill Sans MT" w:hAnsi="Gill Sans MT"/>
              </w:rPr>
            </w:pPr>
            <w:r>
              <w:rPr>
                <w:rFonts w:ascii="Gill Sans MT" w:hAnsi="Gill Sans MT"/>
              </w:rPr>
              <w:t>Children’s Social Care</w:t>
            </w:r>
          </w:p>
          <w:p>
            <w:pPr>
              <w:pStyle w:val="ListParagraph"/>
              <w:numPr>
                <w:ilvl w:val="0"/>
                <w:numId w:val="8"/>
              </w:numPr>
              <w:rPr>
                <w:rFonts w:ascii="Gill Sans MT" w:hAnsi="Gill Sans MT"/>
              </w:rPr>
            </w:pPr>
            <w:r>
              <w:rPr>
                <w:rFonts w:ascii="Gill Sans MT" w:hAnsi="Gill Sans MT"/>
              </w:rPr>
              <w:t>Visual Impaired Service</w:t>
            </w:r>
          </w:p>
          <w:p>
            <w:pPr>
              <w:pStyle w:val="ListParagraph"/>
              <w:numPr>
                <w:ilvl w:val="0"/>
                <w:numId w:val="8"/>
              </w:numPr>
              <w:rPr>
                <w:rFonts w:ascii="Gill Sans MT" w:hAnsi="Gill Sans MT"/>
              </w:rPr>
            </w:pPr>
            <w:r>
              <w:rPr>
                <w:rFonts w:ascii="Gill Sans MT" w:hAnsi="Gill Sans MT"/>
              </w:rPr>
              <w:t>Hearing Impaired Service</w:t>
            </w:r>
          </w:p>
          <w:p>
            <w:pPr>
              <w:pStyle w:val="ListParagraph"/>
              <w:numPr>
                <w:ilvl w:val="0"/>
                <w:numId w:val="8"/>
              </w:numPr>
              <w:rPr>
                <w:rFonts w:ascii="Gill Sans MT" w:hAnsi="Gill Sans MT"/>
              </w:rPr>
            </w:pPr>
            <w:r>
              <w:rPr>
                <w:rFonts w:ascii="Gill Sans MT" w:hAnsi="Gill Sans MT"/>
              </w:rPr>
              <w:t>Speech and Language Therapists</w:t>
            </w:r>
          </w:p>
          <w:p>
            <w:pPr>
              <w:pStyle w:val="ListParagraph"/>
              <w:numPr>
                <w:ilvl w:val="0"/>
                <w:numId w:val="8"/>
              </w:numPr>
              <w:rPr>
                <w:rFonts w:ascii="Gill Sans MT" w:hAnsi="Gill Sans MT"/>
              </w:rPr>
            </w:pPr>
            <w:r>
              <w:rPr>
                <w:rFonts w:ascii="Gill Sans MT" w:hAnsi="Gill Sans MT"/>
              </w:rPr>
              <w:t xml:space="preserve">High Incidence Team </w:t>
            </w:r>
          </w:p>
          <w:p>
            <w:pPr>
              <w:pStyle w:val="ListParagraph"/>
              <w:numPr>
                <w:ilvl w:val="0"/>
                <w:numId w:val="8"/>
              </w:numPr>
              <w:rPr>
                <w:rFonts w:ascii="Gill Sans MT" w:hAnsi="Gill Sans MT"/>
              </w:rPr>
            </w:pPr>
            <w:r>
              <w:rPr>
                <w:rFonts w:ascii="Gill Sans MT" w:hAnsi="Gill Sans MT"/>
              </w:rPr>
              <w:t>CAMHS</w:t>
            </w:r>
          </w:p>
          <w:p>
            <w:pPr>
              <w:rPr>
                <w:rFonts w:ascii="Gill Sans MT" w:hAnsi="Gill Sans MT"/>
              </w:rPr>
            </w:pPr>
          </w:p>
          <w:p>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pPr>
              <w:rPr>
                <w:rFonts w:ascii="Gill Sans MT" w:eastAsia="Times New Roman" w:hAnsi="Gill Sans MT" w:cs="Times New Roman"/>
                <w:lang w:eastAsia="en-GB"/>
              </w:rPr>
            </w:pPr>
            <w:r>
              <w:rPr>
                <w:rFonts w:ascii="Gill Sans MT" w:hAnsi="Gill Sans MT"/>
              </w:rPr>
              <w:t xml:space="preserve"> </w:t>
            </w:r>
          </w:p>
          <w:p>
            <w:pPr>
              <w:rPr>
                <w:rFonts w:ascii="Gill Sans MT" w:hAnsi="Gill Sans MT"/>
                <w:sz w:val="24"/>
                <w:szCs w:val="24"/>
              </w:rPr>
            </w:pPr>
          </w:p>
        </w:tc>
      </w:tr>
      <w:tr>
        <w:trPr>
          <w:trHeight w:val="2954"/>
        </w:trPr>
        <w:tc>
          <w:tcPr>
            <w:tcW w:w="15811" w:type="dxa"/>
          </w:tcPr>
          <w:p>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pPr>
              <w:rPr>
                <w:rFonts w:ascii="Gill Sans MT" w:hAnsi="Gill Sans MT"/>
                <w:sz w:val="24"/>
                <w:szCs w:val="24"/>
              </w:rPr>
            </w:pPr>
          </w:p>
          <w:p>
            <w:pPr>
              <w:rPr>
                <w:rFonts w:ascii="Gill Sans MT" w:hAnsi="Gill Sans MT"/>
                <w:sz w:val="24"/>
                <w:szCs w:val="24"/>
              </w:rPr>
            </w:pPr>
            <w:proofErr w:type="spellStart"/>
            <w:r>
              <w:rPr>
                <w:rFonts w:ascii="Gill Sans MT" w:hAnsi="Gill Sans MT"/>
                <w:sz w:val="24"/>
                <w:szCs w:val="24"/>
              </w:rPr>
              <w:t>Fearnville</w:t>
            </w:r>
            <w:proofErr w:type="spellEnd"/>
            <w:r>
              <w:rPr>
                <w:rFonts w:ascii="Gill Sans MT" w:hAnsi="Gill Sans MT"/>
                <w:sz w:val="24"/>
                <w:szCs w:val="24"/>
              </w:rPr>
              <w:t xml:space="preserve"> Primary School has a complaints procedure which is strictly adhered to.</w:t>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bl>
    <w:p>
      <w:pPr>
        <w:rPr>
          <w:rFonts w:ascii="Gill Sans MT" w:hAnsi="Gill Sans MT"/>
        </w:rPr>
      </w:pPr>
    </w:p>
    <w:p>
      <w:pPr>
        <w:rPr>
          <w:rFonts w:ascii="Gill Sans MT" w:hAnsi="Gill Sans MT"/>
          <w:color w:val="FFFFFF" w:themeColor="background1"/>
        </w:rPr>
      </w:pPr>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pPr>
        <w:rPr>
          <w:rFonts w:ascii="Gill Sans MT" w:hAnsi="Gill Sans MT"/>
          <w:b/>
          <w:sz w:val="28"/>
          <w:szCs w:val="28"/>
        </w:rPr>
      </w:pPr>
    </w:p>
    <w:sectPr>
      <w:footerReference w:type="default" r:id="rId11"/>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3"/>
  </w:num>
  <w:num w:numId="6">
    <w:abstractNumId w:val="0"/>
  </w:num>
  <w:num w:numId="7">
    <w:abstractNumId w:val="2"/>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so.bradford.gov.uk/Schools/Home.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5FEF9-E1CD-4D33-B79B-8D371C69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Afshah Qaddus</cp:lastModifiedBy>
  <cp:revision>3</cp:revision>
  <cp:lastPrinted>2019-09-18T10:35:00Z</cp:lastPrinted>
  <dcterms:created xsi:type="dcterms:W3CDTF">2019-09-24T13:02:00Z</dcterms:created>
  <dcterms:modified xsi:type="dcterms:W3CDTF">2019-09-24T13:04:00Z</dcterms:modified>
</cp:coreProperties>
</file>