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sz w:val="32"/>
        </w:rPr>
        <w:sectPr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>
        <w:rPr>
          <w:noProof/>
          <w:color w:val="231F20"/>
          <w:lang w:bidi="ar-SA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6426835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>
          <w:rPr>
            <w:rStyle w:val="Hyperlink"/>
          </w:rPr>
          <w:t>Ofsted</w:t>
        </w:r>
        <w:r>
          <w:rPr>
            <w:rStyle w:val="Hyperlink"/>
            <w:spacing w:val="-6"/>
          </w:rPr>
          <w:t xml:space="preserve"> </w:t>
        </w:r>
        <w:r>
          <w:rPr>
            <w:rStyle w:val="Hyperlink"/>
          </w:rPr>
          <w:t>Schools</w:t>
        </w:r>
        <w:r>
          <w:rPr>
            <w:rStyle w:val="Hyperlink"/>
            <w:spacing w:val="-7"/>
          </w:rPr>
          <w:t xml:space="preserve"> </w:t>
        </w:r>
        <w:r>
          <w:rPr>
            <w:rStyle w:val="Hyperlink"/>
          </w:rPr>
          <w:t>Inspection</w:t>
        </w:r>
        <w:r>
          <w:rPr>
            <w:rStyle w:val="Hyperlink"/>
            <w:spacing w:val="-5"/>
          </w:rPr>
          <w:t xml:space="preserve"> </w:t>
        </w:r>
        <w:r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>
          <w:rPr>
            <w:rStyle w:val="Hyperlink"/>
          </w:rPr>
          <w:t>governors</w:t>
        </w:r>
      </w:hyperlink>
      <w:r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participation and attainment by the end of the summer term or by </w:t>
      </w:r>
      <w:r>
        <w:rPr>
          <w:b/>
          <w:color w:val="231F20"/>
        </w:rPr>
        <w:t>31 July 2019</w:t>
      </w:r>
      <w:r>
        <w:rPr>
          <w:color w:val="231F20"/>
        </w:rPr>
        <w:t xml:space="preserve"> at the </w:t>
      </w:r>
      <w:r>
        <w:rPr>
          <w:color w:val="231F20"/>
        </w:rPr>
        <w:br/>
        <w:t xml:space="preserve">latest. </w:t>
      </w:r>
      <w:r>
        <w:rPr>
          <w:color w:val="231F20"/>
        </w:rPr>
        <w:br/>
      </w:r>
      <w:r>
        <w:rPr>
          <w:color w:val="231F20"/>
        </w:rPr>
        <w:br/>
        <w:t>We recommend regularly updating</w:t>
      </w:r>
      <w:r>
        <w:t xml:space="preserve"> </w:t>
      </w:r>
      <w:r>
        <w:rPr>
          <w:color w:val="231F20"/>
        </w:rPr>
        <w:t>the table and publishing it</w:t>
      </w:r>
      <w:r>
        <w:rPr>
          <w:color w:val="231F20"/>
        </w:rPr>
        <w:br/>
        <w:t xml:space="preserve">on your website throughout the year, as evidence of your </w:t>
      </w:r>
      <w:r>
        <w:rPr>
          <w:color w:val="231F20"/>
        </w:rPr>
        <w:br/>
        <w:t xml:space="preserve">ongoing review into how you are using the money to </w:t>
      </w:r>
      <w:r>
        <w:rPr>
          <w:color w:val="231F20"/>
        </w:rPr>
        <w:br/>
        <w:t xml:space="preserve">secure maximum, sustainable impact. To see an </w:t>
      </w:r>
      <w:r>
        <w:rPr>
          <w:color w:val="231F20"/>
        </w:rPr>
        <w:br/>
        <w:t xml:space="preserve">example of how to complete the table please </w:t>
      </w:r>
      <w:r>
        <w:rPr>
          <w:color w:val="231F20"/>
        </w:rPr>
        <w:br/>
        <w:t xml:space="preserve">click </w:t>
      </w:r>
      <w:hyperlink r:id="rId15" w:history="1">
        <w:r>
          <w:rPr>
            <w:rStyle w:val="Hyperlink"/>
          </w:rPr>
          <w:t>HERE</w:t>
        </w:r>
      </w:hyperlink>
      <w:r>
        <w:rPr>
          <w:color w:val="231F20"/>
        </w:rPr>
        <w:t>.</w:t>
      </w:r>
    </w:p>
    <w:p>
      <w:pPr>
        <w:spacing w:line="242" w:lineRule="auto"/>
        <w:sectPr>
          <w:pgSz w:w="16840" w:h="11910" w:orient="landscape"/>
          <w:pgMar w:top="640" w:right="0" w:bottom="280" w:left="0" w:header="720" w:footer="720" w:gutter="0"/>
          <w:cols w:space="720"/>
        </w:sectPr>
      </w:pPr>
    </w:p>
    <w:p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>
        <w:trPr>
          <w:trHeight w:val="497"/>
        </w:trPr>
        <w:tc>
          <w:tcPr>
            <w:tcW w:w="7700" w:type="dxa"/>
          </w:tcPr>
          <w:p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>
        <w:trPr>
          <w:trHeight w:val="2551"/>
        </w:trPr>
        <w:tc>
          <w:tcPr>
            <w:tcW w:w="7700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>
        <w:trPr>
          <w:trHeight w:val="405"/>
        </w:trPr>
        <w:tc>
          <w:tcPr>
            <w:tcW w:w="11582" w:type="dxa"/>
          </w:tcPr>
          <w:p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>
        <w:trPr>
          <w:trHeight w:val="1271"/>
        </w:trPr>
        <w:tc>
          <w:tcPr>
            <w:tcW w:w="11582" w:type="dxa"/>
          </w:tcPr>
          <w:p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>
        <w:trPr>
          <w:trHeight w:val="1159"/>
        </w:trPr>
        <w:tc>
          <w:tcPr>
            <w:tcW w:w="11582" w:type="dxa"/>
          </w:tcPr>
          <w:p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>
        <w:trPr>
          <w:trHeight w:val="1117"/>
        </w:trPr>
        <w:tc>
          <w:tcPr>
            <w:tcW w:w="11582" w:type="dxa"/>
          </w:tcPr>
          <w:p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>
        <w:trPr>
          <w:trHeight w:val="1135"/>
        </w:trPr>
        <w:tc>
          <w:tcPr>
            <w:tcW w:w="11582" w:type="dxa"/>
          </w:tcPr>
          <w:p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>
      <w:pPr>
        <w:rPr>
          <w:sz w:val="26"/>
        </w:rPr>
        <w:sectPr>
          <w:pgSz w:w="16840" w:h="11910" w:orient="landscape"/>
          <w:pgMar w:top="720" w:right="0" w:bottom="280" w:left="0" w:header="720" w:footer="720" w:gutter="0"/>
          <w:cols w:space="72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8"/>
        <w:gridCol w:w="3458"/>
        <w:gridCol w:w="104"/>
        <w:gridCol w:w="1559"/>
        <w:gridCol w:w="57"/>
        <w:gridCol w:w="3307"/>
        <w:gridCol w:w="59"/>
        <w:gridCol w:w="3076"/>
      </w:tblGrid>
      <w:tr>
        <w:trPr>
          <w:trHeight w:val="383"/>
        </w:trPr>
        <w:tc>
          <w:tcPr>
            <w:tcW w:w="3720" w:type="dxa"/>
          </w:tcPr>
          <w:p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2019/20</w:t>
            </w:r>
          </w:p>
        </w:tc>
        <w:tc>
          <w:tcPr>
            <w:tcW w:w="3600" w:type="dxa"/>
            <w:gridSpan w:val="3"/>
          </w:tcPr>
          <w:p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£18,920</w:t>
            </w:r>
          </w:p>
        </w:tc>
        <w:tc>
          <w:tcPr>
            <w:tcW w:w="4923" w:type="dxa"/>
            <w:gridSpan w:val="3"/>
          </w:tcPr>
          <w:p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 September 2019</w:t>
            </w:r>
          </w:p>
        </w:tc>
        <w:tc>
          <w:tcPr>
            <w:tcW w:w="3134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32"/>
        </w:trPr>
        <w:tc>
          <w:tcPr>
            <w:tcW w:w="12243" w:type="dxa"/>
            <w:gridSpan w:val="7"/>
            <w:vMerge w:val="restart"/>
          </w:tcPr>
          <w:p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>
        <w:trPr>
          <w:trHeight w:val="332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60%</w:t>
            </w:r>
          </w:p>
        </w:tc>
      </w:tr>
      <w:tr>
        <w:trPr>
          <w:trHeight w:val="657"/>
        </w:trPr>
        <w:tc>
          <w:tcPr>
            <w:tcW w:w="3720" w:type="dxa"/>
          </w:tcPr>
          <w:p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>
        <w:trPr>
          <w:trHeight w:val="1006"/>
        </w:trPr>
        <w:tc>
          <w:tcPr>
            <w:tcW w:w="3720" w:type="dxa"/>
            <w:tcBorders>
              <w:bottom w:val="single" w:sz="4" w:space="0" w:color="auto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Pupils of all ages will be part of clubs in a range of sports led by outside professionals. </w:t>
            </w:r>
          </w:p>
        </w:tc>
        <w:tc>
          <w:tcPr>
            <w:tcW w:w="3600" w:type="dxa"/>
            <w:gridSpan w:val="3"/>
            <w:tcBorders>
              <w:bottom w:val="single" w:sz="12" w:space="0" w:color="231F2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Bradford City coaches providing a wide range of sport clubs before school, at lunchtime and after school on a daily basis. </w:t>
            </w:r>
          </w:p>
        </w:tc>
        <w:tc>
          <w:tcPr>
            <w:tcW w:w="1616" w:type="dxa"/>
            <w:gridSpan w:val="2"/>
            <w:tcBorders>
              <w:bottom w:val="single" w:sz="12" w:space="0" w:color="231F2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11,400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gridSpan w:val="2"/>
            <w:tcBorders>
              <w:bottom w:val="single" w:sz="12" w:space="0" w:color="231F20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15"/>
        </w:trPr>
        <w:tc>
          <w:tcPr>
            <w:tcW w:w="12243" w:type="dxa"/>
            <w:gridSpan w:val="7"/>
            <w:vMerge w:val="restart"/>
            <w:tcBorders>
              <w:top w:val="single" w:sz="12" w:space="0" w:color="231F20"/>
            </w:tcBorders>
          </w:tcPr>
          <w:p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>
        <w:trPr>
          <w:trHeight w:val="320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19%</w:t>
            </w:r>
          </w:p>
        </w:tc>
      </w:tr>
      <w:tr>
        <w:trPr>
          <w:trHeight w:val="618"/>
        </w:trPr>
        <w:tc>
          <w:tcPr>
            <w:tcW w:w="3720" w:type="dxa"/>
          </w:tcPr>
          <w:p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>
        <w:trPr>
          <w:trHeight w:val="1060"/>
        </w:trPr>
        <w:tc>
          <w:tcPr>
            <w:tcW w:w="3720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Transport and equipment</w:t>
            </w:r>
          </w:p>
        </w:tc>
        <w:tc>
          <w:tcPr>
            <w:tcW w:w="360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Minibus costs to attend sporting events 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Equipment, particularly in the playground to develop skills and physical activity by all children.</w:t>
            </w:r>
          </w:p>
        </w:tc>
        <w:tc>
          <w:tcPr>
            <w:tcW w:w="1616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3600</w:t>
            </w:r>
          </w:p>
        </w:tc>
        <w:tc>
          <w:tcPr>
            <w:tcW w:w="330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83"/>
        </w:trPr>
        <w:tc>
          <w:tcPr>
            <w:tcW w:w="12302" w:type="dxa"/>
            <w:gridSpan w:val="8"/>
            <w:vMerge w:val="restart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>
        <w:trPr>
          <w:trHeight w:val="291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5%</w:t>
            </w:r>
          </w:p>
        </w:tc>
      </w:tr>
      <w:tr>
        <w:trPr>
          <w:trHeight w:val="594"/>
        </w:trPr>
        <w:tc>
          <w:tcPr>
            <w:tcW w:w="3758" w:type="dxa"/>
            <w:gridSpan w:val="2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>
        <w:trPr>
          <w:trHeight w:val="1906"/>
        </w:trPr>
        <w:tc>
          <w:tcPr>
            <w:tcW w:w="3758" w:type="dxa"/>
            <w:gridSpan w:val="2"/>
          </w:tcPr>
          <w:p>
            <w:pPr>
              <w:pStyle w:val="TableParagraph"/>
              <w:ind w:left="0"/>
            </w:pPr>
            <w:r>
              <w:t xml:space="preserve"> </w:t>
            </w:r>
          </w:p>
          <w:p>
            <w:pPr>
              <w:pStyle w:val="TableParagraph"/>
              <w:ind w:left="0"/>
            </w:pPr>
            <w:r>
              <w:t>Up to date training for staff to ensure that pupils receive high quality PE</w:t>
            </w:r>
          </w:p>
        </w:tc>
        <w:tc>
          <w:tcPr>
            <w:tcW w:w="345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HLTA to work alongside sports coach / specialist teacher in areas identified. 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Training courses provided for PE staff </w:t>
            </w:r>
          </w:p>
        </w:tc>
        <w:tc>
          <w:tcPr>
            <w:tcW w:w="1663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42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05"/>
        </w:trPr>
        <w:tc>
          <w:tcPr>
            <w:tcW w:w="12302" w:type="dxa"/>
            <w:gridSpan w:val="8"/>
            <w:vMerge w:val="restart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>
        <w:trPr>
          <w:trHeight w:val="305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10%</w:t>
            </w:r>
          </w:p>
        </w:tc>
      </w:tr>
      <w:tr>
        <w:trPr>
          <w:trHeight w:val="595"/>
        </w:trPr>
        <w:tc>
          <w:tcPr>
            <w:tcW w:w="3758" w:type="dxa"/>
            <w:gridSpan w:val="2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>
        <w:trPr>
          <w:trHeight w:val="1323"/>
        </w:trPr>
        <w:tc>
          <w:tcPr>
            <w:tcW w:w="3758" w:type="dxa"/>
            <w:gridSpan w:val="2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Widen the experiences of the children by the installation of new equipment to extend skills</w:t>
            </w:r>
          </w:p>
        </w:tc>
        <w:tc>
          <w:tcPr>
            <w:tcW w:w="345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Climbing wall in the playground</w:t>
            </w:r>
          </w:p>
        </w:tc>
        <w:tc>
          <w:tcPr>
            <w:tcW w:w="1663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1900</w:t>
            </w:r>
          </w:p>
        </w:tc>
        <w:tc>
          <w:tcPr>
            <w:tcW w:w="342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52"/>
        </w:trPr>
        <w:tc>
          <w:tcPr>
            <w:tcW w:w="12302" w:type="dxa"/>
            <w:gridSpan w:val="8"/>
            <w:vMerge w:val="restart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>
        <w:trPr>
          <w:trHeight w:val="296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5%</w:t>
            </w:r>
          </w:p>
        </w:tc>
      </w:tr>
      <w:tr>
        <w:trPr>
          <w:trHeight w:val="603"/>
        </w:trPr>
        <w:tc>
          <w:tcPr>
            <w:tcW w:w="3758" w:type="dxa"/>
            <w:gridSpan w:val="2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>
        <w:trPr>
          <w:trHeight w:val="1929"/>
        </w:trPr>
        <w:tc>
          <w:tcPr>
            <w:tcW w:w="3758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Participate in sports competitions opportunities in MAT, links with local secondary school and local and national competitions such as J Rock</w:t>
            </w:r>
          </w:p>
        </w:tc>
        <w:tc>
          <w:tcPr>
            <w:tcW w:w="345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Transport and sports kits / equipment</w:t>
            </w:r>
          </w:p>
        </w:tc>
        <w:tc>
          <w:tcPr>
            <w:tcW w:w="1663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42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tabs>
          <w:tab w:val="left" w:pos="12450"/>
        </w:tabs>
      </w:pPr>
    </w:p>
    <w:sectPr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FCC23F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304E9D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851</Words>
  <Characters>4851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Afshah Qaddus</cp:lastModifiedBy>
  <cp:revision>2</cp:revision>
  <dcterms:created xsi:type="dcterms:W3CDTF">2019-09-24T13:43:00Z</dcterms:created>
  <dcterms:modified xsi:type="dcterms:W3CDTF">2019-09-24T13:43:00Z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