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85"/>
        <w:tblW w:w="14997" w:type="dxa"/>
        <w:tblLook w:val="04A0" w:firstRow="1" w:lastRow="0" w:firstColumn="1" w:lastColumn="0" w:noHBand="0" w:noVBand="1"/>
      </w:tblPr>
      <w:tblGrid>
        <w:gridCol w:w="2498"/>
        <w:gridCol w:w="2498"/>
        <w:gridCol w:w="2501"/>
        <w:gridCol w:w="2500"/>
        <w:gridCol w:w="2500"/>
        <w:gridCol w:w="2500"/>
      </w:tblGrid>
      <w:tr w:rsidR="00CD2EDE" w:rsidRPr="007E10F4" w14:paraId="54849A86" w14:textId="77777777" w:rsidTr="00B83499">
        <w:trPr>
          <w:trHeight w:val="464"/>
        </w:trPr>
        <w:tc>
          <w:tcPr>
            <w:tcW w:w="7497" w:type="dxa"/>
            <w:gridSpan w:val="3"/>
            <w:shd w:val="clear" w:color="auto" w:fill="990033"/>
          </w:tcPr>
          <w:p w14:paraId="570E70A1" w14:textId="1E15AF7A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Word reading</w:t>
            </w:r>
          </w:p>
        </w:tc>
        <w:tc>
          <w:tcPr>
            <w:tcW w:w="7500" w:type="dxa"/>
            <w:gridSpan w:val="3"/>
            <w:shd w:val="clear" w:color="auto" w:fill="990033"/>
          </w:tcPr>
          <w:p w14:paraId="706E5A21" w14:textId="46C51288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Comprehension</w:t>
            </w:r>
          </w:p>
        </w:tc>
      </w:tr>
      <w:tr w:rsidR="00CD2EDE" w:rsidRPr="007E10F4" w14:paraId="5EDEF8D4" w14:textId="77777777" w:rsidTr="007E10F4">
        <w:trPr>
          <w:trHeight w:val="499"/>
        </w:trPr>
        <w:tc>
          <w:tcPr>
            <w:tcW w:w="2498" w:type="dxa"/>
          </w:tcPr>
          <w:p w14:paraId="7E28EE4D" w14:textId="31588A34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Decoding</w:t>
            </w:r>
          </w:p>
        </w:tc>
        <w:tc>
          <w:tcPr>
            <w:tcW w:w="2498" w:type="dxa"/>
          </w:tcPr>
          <w:p w14:paraId="034B0832" w14:textId="4988F7B1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By the end of Y</w:t>
            </w:r>
            <w:r w:rsidR="003B404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01" w:type="dxa"/>
          </w:tcPr>
          <w:p w14:paraId="70862254" w14:textId="76A551E3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Reading for Pleasure</w:t>
            </w:r>
          </w:p>
        </w:tc>
        <w:tc>
          <w:tcPr>
            <w:tcW w:w="2500" w:type="dxa"/>
          </w:tcPr>
          <w:p w14:paraId="64DFEB40" w14:textId="23F8819F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Inference, Prediction, Clarifying, Questioning Summarising</w:t>
            </w:r>
          </w:p>
        </w:tc>
        <w:tc>
          <w:tcPr>
            <w:tcW w:w="2500" w:type="dxa"/>
          </w:tcPr>
          <w:p w14:paraId="7D50D508" w14:textId="14BD2C97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Language for effect</w:t>
            </w:r>
          </w:p>
        </w:tc>
        <w:tc>
          <w:tcPr>
            <w:tcW w:w="2500" w:type="dxa"/>
          </w:tcPr>
          <w:p w14:paraId="21098B7E" w14:textId="3E0602F9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Themes and conventions</w:t>
            </w:r>
          </w:p>
        </w:tc>
      </w:tr>
      <w:tr w:rsidR="003D76EF" w:rsidRPr="007E10F4" w14:paraId="03989E8C" w14:textId="77777777" w:rsidTr="003D76EF">
        <w:trPr>
          <w:trHeight w:val="2531"/>
        </w:trPr>
        <w:tc>
          <w:tcPr>
            <w:tcW w:w="2498" w:type="dxa"/>
            <w:vMerge w:val="restart"/>
          </w:tcPr>
          <w:p w14:paraId="6D398B98" w14:textId="77777777" w:rsidR="003B404A" w:rsidRPr="007A07C7" w:rsidRDefault="003B404A" w:rsidP="003B404A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Read most words fluently and attempt to decode any unfamiliar words with increasing speed and skill, recognising their meaning through contextual cues. </w:t>
            </w:r>
          </w:p>
          <w:p w14:paraId="53AD2BE5" w14:textId="77777777" w:rsidR="003B404A" w:rsidRPr="007A07C7" w:rsidRDefault="003B404A" w:rsidP="003B404A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To begin to work out how to pronounce unfamiliar written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words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579DCC3" w14:textId="77777777" w:rsidR="003B404A" w:rsidRPr="007A07C7" w:rsidRDefault="003B404A" w:rsidP="003B404A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Apply their growing knowledge of root words, prefixes and suffixes/ word endings, including -</w:t>
            </w:r>
            <w:proofErr w:type="spell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sion</w:t>
            </w:r>
            <w:proofErr w:type="spell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, -</w:t>
            </w:r>
            <w:proofErr w:type="spell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tion</w:t>
            </w:r>
            <w:proofErr w:type="spell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, -</w:t>
            </w:r>
            <w:proofErr w:type="spell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cial</w:t>
            </w:r>
            <w:proofErr w:type="spell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, -</w:t>
            </w:r>
            <w:proofErr w:type="spell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tial</w:t>
            </w:r>
            <w:proofErr w:type="spell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, -ant/-</w:t>
            </w:r>
            <w:proofErr w:type="spell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ance</w:t>
            </w:r>
            <w:proofErr w:type="spell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/-</w:t>
            </w:r>
            <w:proofErr w:type="spell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ancy</w:t>
            </w:r>
            <w:proofErr w:type="spell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, - </w:t>
            </w:r>
            <w:proofErr w:type="spell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ent</w:t>
            </w:r>
            <w:proofErr w:type="spell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/- </w:t>
            </w:r>
            <w:proofErr w:type="spell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ence</w:t>
            </w:r>
            <w:proofErr w:type="spell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/-</w:t>
            </w:r>
            <w:proofErr w:type="spell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ency</w:t>
            </w:r>
            <w:proofErr w:type="spell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, - able/-ably and - </w:t>
            </w:r>
            <w:proofErr w:type="spell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ible</w:t>
            </w:r>
            <w:proofErr w:type="spell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ibly</w:t>
            </w:r>
            <w:proofErr w:type="spell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, to read aloud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fluently.*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AFCBE20" w14:textId="1F170640" w:rsidR="003D76EF" w:rsidRPr="003B404A" w:rsidRDefault="003B404A" w:rsidP="003B404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3B404A">
              <w:rPr>
                <w:rFonts w:cstheme="minorHAnsi"/>
                <w:sz w:val="16"/>
                <w:szCs w:val="16"/>
              </w:rPr>
              <w:t>Begin to read the Year 5 and 6 common exception words, noting unusual correspondences</w:t>
            </w:r>
          </w:p>
        </w:tc>
        <w:tc>
          <w:tcPr>
            <w:tcW w:w="2498" w:type="dxa"/>
            <w:vMerge w:val="restart"/>
          </w:tcPr>
          <w:p w14:paraId="55F593D9" w14:textId="77777777" w:rsidR="003D76EF" w:rsidRDefault="0040199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Book bands: </w:t>
            </w:r>
          </w:p>
          <w:p w14:paraId="2FB3803C" w14:textId="77777777" w:rsidR="0040199F" w:rsidRDefault="0040199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C60C65" w14:textId="77777777" w:rsidR="0040199F" w:rsidRDefault="0040199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Emerald- Y5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developing</w:t>
            </w:r>
            <w:proofErr w:type="gramEnd"/>
          </w:p>
          <w:p w14:paraId="10FFB41E" w14:textId="77777777" w:rsidR="0040199F" w:rsidRDefault="0040199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Sapphire- Y5 Secure</w:t>
            </w:r>
          </w:p>
          <w:p w14:paraId="63FE1623" w14:textId="5E1BB059" w:rsidR="006E3116" w:rsidRDefault="006E3116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Diamond- Y5 GDS</w:t>
            </w:r>
          </w:p>
          <w:p w14:paraId="6D03D4CD" w14:textId="77777777" w:rsidR="0040199F" w:rsidRDefault="0040199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5FAC64" w14:textId="77777777" w:rsidR="0040199F" w:rsidRDefault="0040199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WPM: 146 WPM</w:t>
            </w:r>
            <w:r w:rsidR="006E3116">
              <w:rPr>
                <w:rFonts w:asciiTheme="majorHAnsi" w:hAnsiTheme="majorHAnsi" w:cstheme="majorHAnsi"/>
                <w:sz w:val="18"/>
                <w:szCs w:val="18"/>
              </w:rPr>
              <w:t>- EXS</w:t>
            </w:r>
          </w:p>
          <w:p w14:paraId="3D1694B0" w14:textId="548DB2F9" w:rsidR="006E3116" w:rsidRPr="007E10F4" w:rsidRDefault="006E3116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168- GDS</w:t>
            </w:r>
          </w:p>
        </w:tc>
        <w:tc>
          <w:tcPr>
            <w:tcW w:w="2501" w:type="dxa"/>
            <w:vMerge w:val="restart"/>
          </w:tcPr>
          <w:p w14:paraId="5EE42CB1" w14:textId="77777777" w:rsidR="003B404A" w:rsidRPr="007A07C7" w:rsidRDefault="003B404A" w:rsidP="003B404A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Increase familiarity with a wide range of books, including myths, legends and traditional stories, modern fiction, fiction from our literacy heritage and books from other cultures and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traditions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293692D" w14:textId="77777777" w:rsidR="003B404A" w:rsidRPr="007A07C7" w:rsidRDefault="003B404A" w:rsidP="003B404A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Learn a wider range of poetry by heart, preparing poems to read aloud and perform, showing understanding through intonation,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tone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and volume so that the meaning is clear to the audience. </w:t>
            </w:r>
          </w:p>
          <w:p w14:paraId="197AA70C" w14:textId="77777777" w:rsidR="003D76EF" w:rsidRPr="00AA1B46" w:rsidRDefault="003B404A" w:rsidP="003B404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7A07C7">
              <w:rPr>
                <w:rFonts w:cstheme="minorHAnsi"/>
                <w:sz w:val="16"/>
                <w:szCs w:val="16"/>
              </w:rPr>
              <w:t>Continue to read and discuss an increasingly wide range of fiction, poetry, plays, non-fiction and reference or textbooks. Read books that are structured in different ways and read for a range of purposes.</w:t>
            </w:r>
          </w:p>
          <w:p w14:paraId="00726F17" w14:textId="77777777" w:rsidR="00AA1B46" w:rsidRPr="007A07C7" w:rsidRDefault="00AA1B46" w:rsidP="00AA1B46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Recommend books that they have read to their peers, giving reasons for their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choices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and making connections to other reading material. </w:t>
            </w:r>
          </w:p>
          <w:p w14:paraId="411C6E0B" w14:textId="77777777" w:rsidR="00AA1B46" w:rsidRPr="007A07C7" w:rsidRDefault="00AA1B46" w:rsidP="00AA1B46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Lead and participate in discussions about books, building on their own and other’s ideas and challenging views politely. </w:t>
            </w:r>
          </w:p>
          <w:p w14:paraId="2652ED38" w14:textId="7AB667AC" w:rsidR="00AA1B46" w:rsidRPr="00AA1B46" w:rsidRDefault="00AA1B46" w:rsidP="00AA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cstheme="minorHAnsi"/>
                <w:sz w:val="16"/>
                <w:szCs w:val="16"/>
              </w:rPr>
              <w:t xml:space="preserve">Explain and discuss their understanding of what they have read, </w:t>
            </w:r>
            <w:r w:rsidRPr="00AA1B46">
              <w:rPr>
                <w:rFonts w:cstheme="minorHAnsi"/>
                <w:sz w:val="16"/>
                <w:szCs w:val="16"/>
              </w:rPr>
              <w:lastRenderedPageBreak/>
              <w:t>including formal presentations and debates with reasoned justifications for their views with increasing confidence</w:t>
            </w:r>
          </w:p>
        </w:tc>
        <w:tc>
          <w:tcPr>
            <w:tcW w:w="2500" w:type="dxa"/>
          </w:tcPr>
          <w:p w14:paraId="348424EC" w14:textId="77777777" w:rsidR="003D76EF" w:rsidRDefault="00AA1B46" w:rsidP="003B404A">
            <w:pPr>
              <w:pStyle w:val="Default"/>
              <w:ind w:right="32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Infer</w:t>
            </w:r>
          </w:p>
          <w:p w14:paraId="5663498B" w14:textId="4C894A73" w:rsidR="00AA1B46" w:rsidRPr="003D76EF" w:rsidRDefault="00AA1B46" w:rsidP="003B404A">
            <w:pPr>
              <w:pStyle w:val="Default"/>
              <w:ind w:right="32"/>
              <w:rPr>
                <w:rFonts w:asciiTheme="majorHAnsi" w:hAnsiTheme="majorHAnsi" w:cstheme="majorHAnsi"/>
                <w:sz w:val="18"/>
                <w:szCs w:val="18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Make inferences about characters’ feelings,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thoughts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and motives, giving one or two pieces of evidence to support the point they are making. Begin to draw evidence from more than one place across a text.</w:t>
            </w:r>
          </w:p>
        </w:tc>
        <w:tc>
          <w:tcPr>
            <w:tcW w:w="2500" w:type="dxa"/>
            <w:vMerge w:val="restart"/>
          </w:tcPr>
          <w:p w14:paraId="5EDD5E79" w14:textId="2283ED5A" w:rsidR="00AA1B46" w:rsidRPr="007A07C7" w:rsidRDefault="00AA1B46" w:rsidP="00AA1B46">
            <w:pPr>
              <w:pStyle w:val="Default"/>
              <w:numPr>
                <w:ilvl w:val="0"/>
                <w:numId w:val="4"/>
              </w:numPr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Check for sense and discuss understanding and exploring the meaning of words in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context</w:t>
            </w:r>
            <w:proofErr w:type="gramEnd"/>
          </w:p>
          <w:p w14:paraId="6D7E26AA" w14:textId="3A3561F9" w:rsidR="00AA1B46" w:rsidRPr="007A07C7" w:rsidRDefault="00AA1B46" w:rsidP="00AA1B46">
            <w:pPr>
              <w:pStyle w:val="Default"/>
              <w:numPr>
                <w:ilvl w:val="0"/>
                <w:numId w:val="4"/>
              </w:numPr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Identify vocabulary chosen to convey different messages, moods, feelings and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attitudes</w:t>
            </w:r>
            <w:proofErr w:type="gramEnd"/>
          </w:p>
          <w:p w14:paraId="6F466419" w14:textId="2CFC63DA" w:rsidR="00AA1B46" w:rsidRPr="00AA1B46" w:rsidRDefault="00AA1B46" w:rsidP="00AA1B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Discuss how the</w:t>
            </w:r>
          </w:p>
          <w:p w14:paraId="7A7AFC94" w14:textId="698F663A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structural and</w:t>
            </w:r>
          </w:p>
          <w:p w14:paraId="5B38B060" w14:textId="3D51BC93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presentational</w:t>
            </w:r>
          </w:p>
          <w:p w14:paraId="28D34165" w14:textId="03BC36C3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choices impact on</w:t>
            </w:r>
          </w:p>
          <w:p w14:paraId="4B809675" w14:textId="668D84C5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meaning, theme and</w:t>
            </w:r>
          </w:p>
          <w:p w14:paraId="1F18ED62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purpose.</w:t>
            </w:r>
          </w:p>
          <w:p w14:paraId="1A578B24" w14:textId="5E2B60AB" w:rsidR="00AA1B46" w:rsidRPr="00AA1B46" w:rsidRDefault="00AA1B46" w:rsidP="00AA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Discuss and</w:t>
            </w:r>
          </w:p>
          <w:p w14:paraId="2B81A2F2" w14:textId="41285790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evaluate texts,</w:t>
            </w:r>
          </w:p>
          <w:p w14:paraId="2754E09A" w14:textId="43B4082D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commenting on</w:t>
            </w:r>
          </w:p>
          <w:p w14:paraId="7E3940BE" w14:textId="6CAA9085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writers’ use of</w:t>
            </w:r>
          </w:p>
          <w:p w14:paraId="7575C031" w14:textId="667726EA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words, phrases and</w:t>
            </w:r>
          </w:p>
          <w:p w14:paraId="415B0BB7" w14:textId="041CCEBB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language features</w:t>
            </w:r>
          </w:p>
          <w:p w14:paraId="5CDD4551" w14:textId="603388BD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including figurative</w:t>
            </w:r>
          </w:p>
          <w:p w14:paraId="146F17BE" w14:textId="77777777" w:rsidR="003D76EF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language.</w:t>
            </w:r>
            <w:r w:rsidRPr="00AA1B46">
              <w:rPr>
                <w:rFonts w:asciiTheme="majorHAnsi" w:hAnsiTheme="majorHAnsi" w:cstheme="majorHAnsi"/>
                <w:sz w:val="18"/>
                <w:szCs w:val="18"/>
              </w:rPr>
              <w:cr/>
            </w:r>
          </w:p>
          <w:p w14:paraId="4F1E7C2B" w14:textId="77777777" w:rsid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8E6BB0" w14:textId="77777777" w:rsidR="00AA1B46" w:rsidRPr="007A07C7" w:rsidRDefault="00AA1B46" w:rsidP="00AA1B46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Identify and discuss structural devices the author has used to organise the text - Recognise clauses within sentences. </w:t>
            </w:r>
          </w:p>
          <w:p w14:paraId="3A094F49" w14:textId="75C6389E" w:rsidR="00AA1B46" w:rsidRPr="003B404A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A07C7">
              <w:rPr>
                <w:rFonts w:cstheme="minorHAnsi"/>
                <w:sz w:val="16"/>
                <w:szCs w:val="16"/>
              </w:rPr>
              <w:t>Comment and compare the language choices the author has made to convey information including in a range of non-fiction texts</w:t>
            </w:r>
          </w:p>
        </w:tc>
        <w:tc>
          <w:tcPr>
            <w:tcW w:w="2500" w:type="dxa"/>
            <w:vMerge w:val="restart"/>
          </w:tcPr>
          <w:p w14:paraId="436CB5A6" w14:textId="33CC72FA" w:rsidR="00AA1B46" w:rsidRPr="00AA1B46" w:rsidRDefault="00E20D0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="00AA1B46"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dentify the </w:t>
            </w:r>
            <w:proofErr w:type="gramStart"/>
            <w:r w:rsidR="00AA1B46" w:rsidRPr="00AA1B46">
              <w:rPr>
                <w:rFonts w:asciiTheme="majorHAnsi" w:hAnsiTheme="majorHAnsi" w:cstheme="majorHAnsi"/>
                <w:sz w:val="18"/>
                <w:szCs w:val="18"/>
              </w:rPr>
              <w:t>themes</w:t>
            </w:r>
            <w:proofErr w:type="gramEnd"/>
            <w:r w:rsidR="00AA1B46"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C816C75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and conventions of a </w:t>
            </w:r>
          </w:p>
          <w:p w14:paraId="4C2AA576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range of texts.</w:t>
            </w:r>
          </w:p>
          <w:p w14:paraId="1B1A7B5B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Discuss/comment on </w:t>
            </w:r>
          </w:p>
          <w:p w14:paraId="61FB2394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themes and </w:t>
            </w:r>
          </w:p>
          <w:p w14:paraId="7A90D694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conventions in </w:t>
            </w:r>
          </w:p>
          <w:p w14:paraId="2184E899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different genres and </w:t>
            </w:r>
          </w:p>
          <w:p w14:paraId="02DC00BD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forms.</w:t>
            </w:r>
          </w:p>
          <w:p w14:paraId="4D150D41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Make </w:t>
            </w:r>
            <w:proofErr w:type="gramStart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comparisons</w:t>
            </w:r>
            <w:proofErr w:type="gramEnd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BAA521B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and contrasts within </w:t>
            </w:r>
          </w:p>
          <w:p w14:paraId="101C97F9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and across texts.</w:t>
            </w:r>
          </w:p>
          <w:p w14:paraId="33FEEDD8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Discuss </w:t>
            </w:r>
            <w:proofErr w:type="gramStart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viewpoints</w:t>
            </w:r>
            <w:proofErr w:type="gramEnd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5F74EC2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gramStart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both</w:t>
            </w:r>
            <w:proofErr w:type="gramEnd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 of the author </w:t>
            </w:r>
          </w:p>
          <w:p w14:paraId="0B9559C6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and fictional </w:t>
            </w:r>
          </w:p>
          <w:p w14:paraId="7BA1A69E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characters), within a </w:t>
            </w:r>
          </w:p>
          <w:p w14:paraId="0381E341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text and across more </w:t>
            </w:r>
          </w:p>
          <w:p w14:paraId="28F7DECD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than one text.</w:t>
            </w:r>
          </w:p>
          <w:p w14:paraId="482B1C10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Provide </w:t>
            </w:r>
            <w:proofErr w:type="gramStart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reasoned</w:t>
            </w:r>
            <w:proofErr w:type="gramEnd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8E0777E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justifications for </w:t>
            </w:r>
          </w:p>
          <w:p w14:paraId="1654E2E9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opinions about a </w:t>
            </w:r>
          </w:p>
          <w:p w14:paraId="12336BAE" w14:textId="5191B8B8" w:rsidR="003D76EF" w:rsidRPr="007E10F4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book.</w:t>
            </w:r>
          </w:p>
        </w:tc>
      </w:tr>
      <w:tr w:rsidR="003D76EF" w:rsidRPr="007E10F4" w14:paraId="00B6AF76" w14:textId="77777777" w:rsidTr="00CD2EDE">
        <w:trPr>
          <w:trHeight w:val="1505"/>
        </w:trPr>
        <w:tc>
          <w:tcPr>
            <w:tcW w:w="2498" w:type="dxa"/>
            <w:vMerge/>
          </w:tcPr>
          <w:p w14:paraId="4143A74E" w14:textId="77777777" w:rsidR="003D76EF" w:rsidRPr="007A07C7" w:rsidRDefault="003D76EF" w:rsidP="003D76EF">
            <w:pPr>
              <w:pStyle w:val="Default"/>
              <w:numPr>
                <w:ilvl w:val="0"/>
                <w:numId w:val="1"/>
              </w:numPr>
              <w:ind w:left="318" w:right="32" w:hanging="28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8" w:type="dxa"/>
            <w:vMerge/>
          </w:tcPr>
          <w:p w14:paraId="5B76455C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34FB515" w14:textId="77777777" w:rsidR="003D76EF" w:rsidRDefault="003D76EF" w:rsidP="003D76EF"/>
        </w:tc>
        <w:tc>
          <w:tcPr>
            <w:tcW w:w="2500" w:type="dxa"/>
          </w:tcPr>
          <w:p w14:paraId="3AB89262" w14:textId="6CF92BF7" w:rsidR="00AA1B46" w:rsidRPr="007A07C7" w:rsidRDefault="00AA1B46" w:rsidP="00AA1B46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Retrieval: </w:t>
            </w:r>
            <w:r w:rsidRPr="007A07C7">
              <w:rPr>
                <w:rFonts w:cstheme="minorHAnsi"/>
                <w:sz w:val="16"/>
                <w:szCs w:val="16"/>
              </w:rPr>
              <w:t xml:space="preserve"> </w:t>
            </w: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Ask questions and find the answer to questions in a text </w:t>
            </w:r>
          </w:p>
          <w:p w14:paraId="03E2DE98" w14:textId="55D49623" w:rsidR="003D76EF" w:rsidRPr="003D76EF" w:rsidRDefault="00AA1B46" w:rsidP="00AA1B46">
            <w:pPr>
              <w:pStyle w:val="Default"/>
              <w:ind w:right="32"/>
              <w:rPr>
                <w:rFonts w:asciiTheme="minorHAnsi" w:hAnsiTheme="minorHAnsi" w:cstheme="minorHAnsi"/>
                <w:sz w:val="18"/>
                <w:szCs w:val="18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Apply information retrieval skills across the curriculum – beginning to record key information</w:t>
            </w:r>
          </w:p>
        </w:tc>
        <w:tc>
          <w:tcPr>
            <w:tcW w:w="2500" w:type="dxa"/>
            <w:vMerge/>
          </w:tcPr>
          <w:p w14:paraId="31821947" w14:textId="77777777" w:rsidR="003D76EF" w:rsidRDefault="003D76EF" w:rsidP="003D76EF"/>
        </w:tc>
        <w:tc>
          <w:tcPr>
            <w:tcW w:w="2500" w:type="dxa"/>
            <w:vMerge/>
          </w:tcPr>
          <w:p w14:paraId="67108B23" w14:textId="77777777" w:rsidR="003D76EF" w:rsidRDefault="003D76EF" w:rsidP="003D76EF"/>
        </w:tc>
      </w:tr>
      <w:tr w:rsidR="003D76EF" w:rsidRPr="007E10F4" w14:paraId="746CD482" w14:textId="77777777" w:rsidTr="00CD2EDE">
        <w:trPr>
          <w:trHeight w:val="1343"/>
        </w:trPr>
        <w:tc>
          <w:tcPr>
            <w:tcW w:w="2498" w:type="dxa"/>
            <w:vMerge/>
          </w:tcPr>
          <w:p w14:paraId="20A925B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1418CFAD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16E3CC6F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40ECE273" w14:textId="77777777" w:rsidR="003D76EF" w:rsidRDefault="003D76EF" w:rsidP="003D76EF">
            <w:pPr>
              <w:rPr>
                <w:rFonts w:cstheme="minorHAnsi"/>
                <w:sz w:val="18"/>
                <w:szCs w:val="18"/>
              </w:rPr>
            </w:pPr>
            <w:r w:rsidRPr="003D76EF">
              <w:rPr>
                <w:rFonts w:cstheme="minorHAnsi"/>
                <w:sz w:val="18"/>
                <w:szCs w:val="18"/>
              </w:rPr>
              <w:t xml:space="preserve">Predict:  </w:t>
            </w:r>
          </w:p>
          <w:p w14:paraId="5AB8238D" w14:textId="77777777" w:rsidR="00AA1B46" w:rsidRPr="007A07C7" w:rsidRDefault="00AA1B46" w:rsidP="00AA1B46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Predict what might happen from details stated and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implied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538C6E4" w14:textId="77777777" w:rsidR="00AA1B46" w:rsidRPr="007A07C7" w:rsidRDefault="00AA1B46" w:rsidP="00AA1B46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Make a prediction for how a character might change during a story and change predictions as events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happen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C2674B9" w14:textId="4E32FD88" w:rsidR="00AA1B46" w:rsidRPr="003D76EF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A07C7">
              <w:rPr>
                <w:rFonts w:cstheme="minorHAnsi"/>
                <w:sz w:val="16"/>
                <w:szCs w:val="16"/>
              </w:rPr>
              <w:t>Refer to text to support predictions and opinions</w:t>
            </w:r>
          </w:p>
        </w:tc>
        <w:tc>
          <w:tcPr>
            <w:tcW w:w="2500" w:type="dxa"/>
            <w:vMerge/>
          </w:tcPr>
          <w:p w14:paraId="2A58B21A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27B56192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76EF" w:rsidRPr="007E10F4" w14:paraId="513BE3B4" w14:textId="77777777" w:rsidTr="00CD2EDE">
        <w:trPr>
          <w:trHeight w:val="668"/>
        </w:trPr>
        <w:tc>
          <w:tcPr>
            <w:tcW w:w="2498" w:type="dxa"/>
            <w:vMerge/>
          </w:tcPr>
          <w:p w14:paraId="5DFA7F89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6DFB861B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554A3C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2B39A35F" w14:textId="2F52F198" w:rsidR="003D76EF" w:rsidRDefault="003D76EF" w:rsidP="003D76EF">
            <w:pPr>
              <w:pStyle w:val="Default"/>
              <w:ind w:right="32"/>
              <w:rPr>
                <w:sz w:val="18"/>
                <w:szCs w:val="18"/>
              </w:rPr>
            </w:pPr>
            <w:r w:rsidRPr="003D76EF">
              <w:rPr>
                <w:sz w:val="18"/>
                <w:szCs w:val="18"/>
              </w:rPr>
              <w:t xml:space="preserve">Clarify: </w:t>
            </w:r>
          </w:p>
          <w:p w14:paraId="0A733828" w14:textId="77777777" w:rsidR="00AA1B46" w:rsidRPr="00AA1B46" w:rsidRDefault="00AA1B46" w:rsidP="00AA1B46">
            <w:pPr>
              <w:pStyle w:val="Default"/>
              <w:ind w:right="32"/>
              <w:rPr>
                <w:sz w:val="18"/>
                <w:szCs w:val="18"/>
              </w:rPr>
            </w:pPr>
            <w:r w:rsidRPr="00AA1B46">
              <w:rPr>
                <w:sz w:val="18"/>
                <w:szCs w:val="18"/>
              </w:rPr>
              <w:t>Give the meaning of words in context.</w:t>
            </w:r>
          </w:p>
          <w:p w14:paraId="013E0810" w14:textId="77777777" w:rsidR="00AA1B46" w:rsidRPr="00AA1B46" w:rsidRDefault="00AA1B46" w:rsidP="00AA1B46">
            <w:pPr>
              <w:pStyle w:val="Default"/>
              <w:ind w:right="32"/>
              <w:rPr>
                <w:sz w:val="18"/>
                <w:szCs w:val="18"/>
              </w:rPr>
            </w:pPr>
            <w:r w:rsidRPr="00AA1B46">
              <w:rPr>
                <w:sz w:val="18"/>
                <w:szCs w:val="18"/>
              </w:rPr>
              <w:t>Explore and explain the meaning of words in context.</w:t>
            </w:r>
          </w:p>
          <w:p w14:paraId="43C803C3" w14:textId="77777777" w:rsidR="00AA1B46" w:rsidRPr="00AA1B46" w:rsidRDefault="00AA1B46" w:rsidP="00AA1B46">
            <w:pPr>
              <w:pStyle w:val="Default"/>
              <w:ind w:right="32"/>
              <w:rPr>
                <w:sz w:val="18"/>
                <w:szCs w:val="18"/>
              </w:rPr>
            </w:pPr>
            <w:r w:rsidRPr="00AA1B46">
              <w:rPr>
                <w:sz w:val="18"/>
                <w:szCs w:val="18"/>
              </w:rPr>
              <w:t>Distinguish between fact and opinion.</w:t>
            </w:r>
          </w:p>
          <w:p w14:paraId="6B452149" w14:textId="77777777" w:rsidR="00AA1B46" w:rsidRPr="00AA1B46" w:rsidRDefault="00AA1B46" w:rsidP="00AA1B46">
            <w:pPr>
              <w:pStyle w:val="Default"/>
              <w:ind w:right="32"/>
              <w:rPr>
                <w:sz w:val="18"/>
                <w:szCs w:val="18"/>
              </w:rPr>
            </w:pPr>
            <w:r w:rsidRPr="00AA1B46">
              <w:rPr>
                <w:sz w:val="18"/>
                <w:szCs w:val="18"/>
              </w:rPr>
              <w:lastRenderedPageBreak/>
              <w:t xml:space="preserve">Clarify concepts and ideas at sentence, paragraph and </w:t>
            </w:r>
          </w:p>
          <w:p w14:paraId="1F395504" w14:textId="561AE3D5" w:rsidR="00AA1B46" w:rsidRPr="003D76EF" w:rsidRDefault="00AA1B46" w:rsidP="00AA1B46">
            <w:pPr>
              <w:pStyle w:val="Default"/>
              <w:ind w:right="32"/>
              <w:rPr>
                <w:sz w:val="18"/>
                <w:szCs w:val="18"/>
              </w:rPr>
            </w:pPr>
            <w:r w:rsidRPr="00AA1B46">
              <w:rPr>
                <w:sz w:val="18"/>
                <w:szCs w:val="18"/>
              </w:rPr>
              <w:t>whole text level.</w:t>
            </w:r>
          </w:p>
          <w:p w14:paraId="7B1B1D51" w14:textId="391FE42F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5A40B67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FA3FD5D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76EF" w:rsidRPr="007E10F4" w14:paraId="6B3F3907" w14:textId="77777777" w:rsidTr="00CD2EDE">
        <w:trPr>
          <w:trHeight w:val="1208"/>
        </w:trPr>
        <w:tc>
          <w:tcPr>
            <w:tcW w:w="2498" w:type="dxa"/>
            <w:vMerge/>
          </w:tcPr>
          <w:p w14:paraId="58A7F627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3E9B2D6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228CA16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25E3DD1E" w14:textId="790A15E2" w:rsidR="003B404A" w:rsidRPr="003D76EF" w:rsidRDefault="003D76EF" w:rsidP="003B404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D76EF">
              <w:rPr>
                <w:sz w:val="18"/>
                <w:szCs w:val="18"/>
              </w:rPr>
              <w:t xml:space="preserve">Question -  </w:t>
            </w:r>
          </w:p>
          <w:p w14:paraId="19851CDE" w14:textId="77777777" w:rsidR="00AA1B46" w:rsidRPr="00AA1B46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sk</w:t>
            </w:r>
            <w:proofErr w:type="spellEnd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 and answer questions to </w:t>
            </w:r>
            <w:proofErr w:type="gramStart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improve</w:t>
            </w:r>
            <w:proofErr w:type="gramEnd"/>
            <w:r w:rsidRPr="00AA1B4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1DDA4C1" w14:textId="22B127B9" w:rsidR="003D76EF" w:rsidRPr="003D76EF" w:rsidRDefault="00AA1B46" w:rsidP="00AA1B4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1B46">
              <w:rPr>
                <w:rFonts w:asciiTheme="majorHAnsi" w:hAnsiTheme="majorHAnsi" w:cstheme="majorHAnsi"/>
                <w:sz w:val="18"/>
                <w:szCs w:val="18"/>
              </w:rPr>
              <w:t>understanding of themes and authorial intent.</w:t>
            </w:r>
          </w:p>
        </w:tc>
        <w:tc>
          <w:tcPr>
            <w:tcW w:w="2500" w:type="dxa"/>
            <w:vMerge/>
          </w:tcPr>
          <w:p w14:paraId="3F065622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1231DE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76EF" w:rsidRPr="007E10F4" w14:paraId="6C91C3C1" w14:textId="77777777" w:rsidTr="00CD2EDE">
        <w:trPr>
          <w:trHeight w:val="1207"/>
        </w:trPr>
        <w:tc>
          <w:tcPr>
            <w:tcW w:w="2498" w:type="dxa"/>
            <w:vMerge/>
          </w:tcPr>
          <w:p w14:paraId="2EAF204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0F763AB5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45B6EF58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59D9DF6B" w14:textId="77777777" w:rsidR="003D76EF" w:rsidRDefault="003D76EF" w:rsidP="003D76EF">
            <w:pPr>
              <w:rPr>
                <w:rFonts w:cstheme="minorHAnsi"/>
                <w:sz w:val="18"/>
                <w:szCs w:val="18"/>
              </w:rPr>
            </w:pPr>
            <w:r w:rsidRPr="003D76EF">
              <w:rPr>
                <w:rFonts w:cstheme="minorHAnsi"/>
                <w:sz w:val="18"/>
                <w:szCs w:val="18"/>
              </w:rPr>
              <w:t xml:space="preserve">Summarise: </w:t>
            </w:r>
          </w:p>
          <w:p w14:paraId="1AD0F822" w14:textId="77777777" w:rsidR="00AA1B46" w:rsidRPr="007A07C7" w:rsidRDefault="00AA1B46" w:rsidP="00AA1B46">
            <w:pPr>
              <w:pStyle w:val="Default"/>
              <w:ind w:right="32"/>
              <w:rPr>
                <w:rFonts w:asciiTheme="minorHAnsi" w:hAnsiTheme="minorHAnsi" w:cstheme="minorHAnsi"/>
                <w:sz w:val="16"/>
                <w:szCs w:val="16"/>
              </w:rPr>
            </w:pPr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Use the skill of skimming and scanning to identify key </w:t>
            </w:r>
            <w:proofErr w:type="gramStart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>ideas</w:t>
            </w:r>
            <w:proofErr w:type="gramEnd"/>
            <w:r w:rsidRPr="007A07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CFE174E" w14:textId="5DCC004C" w:rsidR="00AA1B46" w:rsidRPr="003D76EF" w:rsidRDefault="00AA1B46" w:rsidP="00AA1B46">
            <w:pPr>
              <w:rPr>
                <w:rFonts w:cstheme="minorHAnsi"/>
                <w:sz w:val="18"/>
                <w:szCs w:val="18"/>
              </w:rPr>
            </w:pPr>
            <w:r w:rsidRPr="007A07C7">
              <w:rPr>
                <w:rFonts w:cstheme="minorHAnsi"/>
                <w:sz w:val="16"/>
                <w:szCs w:val="16"/>
              </w:rPr>
              <w:t xml:space="preserve">Begin to summarise the main ideas drawn from more than 1 paragraph, identifying key details that support the main </w:t>
            </w:r>
            <w:proofErr w:type="gramStart"/>
            <w:r w:rsidRPr="007A07C7">
              <w:rPr>
                <w:rFonts w:cstheme="minorHAnsi"/>
                <w:sz w:val="16"/>
                <w:szCs w:val="16"/>
              </w:rPr>
              <w:t>ideas</w:t>
            </w:r>
            <w:proofErr w:type="gramEnd"/>
          </w:p>
          <w:p w14:paraId="1608E8A6" w14:textId="12F6677B" w:rsidR="003D76EF" w:rsidRPr="003D76EF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6ED1EE6F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06B51921" w14:textId="77777777" w:rsidR="003D76EF" w:rsidRPr="007E10F4" w:rsidRDefault="003D76EF" w:rsidP="003D76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790E44B" w14:textId="77777777" w:rsidR="003154A2" w:rsidRPr="007E10F4" w:rsidRDefault="003154A2">
      <w:pPr>
        <w:rPr>
          <w:rFonts w:asciiTheme="majorHAnsi" w:hAnsiTheme="majorHAnsi" w:cstheme="majorHAnsi"/>
          <w:sz w:val="18"/>
          <w:szCs w:val="18"/>
        </w:rPr>
      </w:pPr>
    </w:p>
    <w:sectPr w:rsidR="003154A2" w:rsidRPr="007E10F4" w:rsidSect="00CD2ED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A224" w14:textId="77777777" w:rsidR="00C33D21" w:rsidRDefault="00C33D21" w:rsidP="007E10F4">
      <w:pPr>
        <w:spacing w:after="0" w:line="240" w:lineRule="auto"/>
      </w:pPr>
      <w:r>
        <w:separator/>
      </w:r>
    </w:p>
  </w:endnote>
  <w:endnote w:type="continuationSeparator" w:id="0">
    <w:p w14:paraId="3467DBF2" w14:textId="77777777" w:rsidR="00C33D21" w:rsidRDefault="00C33D21" w:rsidP="007E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8605" w14:textId="77777777" w:rsidR="00C33D21" w:rsidRDefault="00C33D21" w:rsidP="007E10F4">
      <w:pPr>
        <w:spacing w:after="0" w:line="240" w:lineRule="auto"/>
      </w:pPr>
      <w:r>
        <w:separator/>
      </w:r>
    </w:p>
  </w:footnote>
  <w:footnote w:type="continuationSeparator" w:id="0">
    <w:p w14:paraId="635C73A9" w14:textId="77777777" w:rsidR="00C33D21" w:rsidRDefault="00C33D21" w:rsidP="007E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47B4" w14:textId="01D06C03" w:rsidR="007E10F4" w:rsidRDefault="00B834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142D3" wp14:editId="2BF4CFB6">
          <wp:simplePos x="0" y="0"/>
          <wp:positionH relativeFrom="column">
            <wp:posOffset>7991475</wp:posOffset>
          </wp:positionH>
          <wp:positionV relativeFrom="paragraph">
            <wp:posOffset>-211455</wp:posOffset>
          </wp:positionV>
          <wp:extent cx="1524000" cy="374974"/>
          <wp:effectExtent l="0" t="0" r="0" b="0"/>
          <wp:wrapNone/>
          <wp:docPr id="150940877" name="Picture 2" descr="Ferndale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rndale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0F4">
      <w:t xml:space="preserve">Year </w:t>
    </w:r>
    <w:r w:rsidR="00E20D0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BE9"/>
    <w:multiLevelType w:val="hybridMultilevel"/>
    <w:tmpl w:val="FF285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5B89"/>
    <w:multiLevelType w:val="hybridMultilevel"/>
    <w:tmpl w:val="BF966AB2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5D780C23"/>
    <w:multiLevelType w:val="hybridMultilevel"/>
    <w:tmpl w:val="BB84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D78B0"/>
    <w:multiLevelType w:val="hybridMultilevel"/>
    <w:tmpl w:val="B47C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45259">
    <w:abstractNumId w:val="2"/>
  </w:num>
  <w:num w:numId="2" w16cid:durableId="1021473415">
    <w:abstractNumId w:val="0"/>
  </w:num>
  <w:num w:numId="3" w16cid:durableId="814683256">
    <w:abstractNumId w:val="3"/>
  </w:num>
  <w:num w:numId="4" w16cid:durableId="193478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DE"/>
    <w:rsid w:val="000948D3"/>
    <w:rsid w:val="000C7338"/>
    <w:rsid w:val="00110762"/>
    <w:rsid w:val="00272C0E"/>
    <w:rsid w:val="003154A2"/>
    <w:rsid w:val="003B404A"/>
    <w:rsid w:val="003D76EF"/>
    <w:rsid w:val="0040199F"/>
    <w:rsid w:val="004B44C0"/>
    <w:rsid w:val="004E7B19"/>
    <w:rsid w:val="0054144D"/>
    <w:rsid w:val="005F4C84"/>
    <w:rsid w:val="00660EB3"/>
    <w:rsid w:val="006E3116"/>
    <w:rsid w:val="00720930"/>
    <w:rsid w:val="007E10F4"/>
    <w:rsid w:val="007F6611"/>
    <w:rsid w:val="008244A1"/>
    <w:rsid w:val="008950AA"/>
    <w:rsid w:val="0090733E"/>
    <w:rsid w:val="00AA1B46"/>
    <w:rsid w:val="00B66921"/>
    <w:rsid w:val="00B83499"/>
    <w:rsid w:val="00C33D21"/>
    <w:rsid w:val="00C927D8"/>
    <w:rsid w:val="00CC2F46"/>
    <w:rsid w:val="00CD2EDE"/>
    <w:rsid w:val="00D137A2"/>
    <w:rsid w:val="00E115FA"/>
    <w:rsid w:val="00E20D06"/>
    <w:rsid w:val="00E679E5"/>
    <w:rsid w:val="00E851D7"/>
    <w:rsid w:val="00E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E23A"/>
  <w15:chartTrackingRefBased/>
  <w15:docId w15:val="{E0FF4F3B-CE96-4E55-93AB-7C466261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F4"/>
  </w:style>
  <w:style w:type="paragraph" w:styleId="Footer">
    <w:name w:val="footer"/>
    <w:basedOn w:val="Normal"/>
    <w:link w:val="Foot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F4"/>
  </w:style>
  <w:style w:type="paragraph" w:customStyle="1" w:styleId="Default">
    <w:name w:val="Default"/>
    <w:rsid w:val="005414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4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E6CE5CCE-D17B-4F3F-8AD4-A9BC484D3398}"/>
</file>

<file path=customXml/itemProps2.xml><?xml version="1.0" encoding="utf-8"?>
<ds:datastoreItem xmlns:ds="http://schemas.openxmlformats.org/officeDocument/2006/customXml" ds:itemID="{62CAB18D-8D10-4ACC-8ECF-C40A8DCF0896}"/>
</file>

<file path=customXml/itemProps3.xml><?xml version="1.0" encoding="utf-8"?>
<ds:datastoreItem xmlns:ds="http://schemas.openxmlformats.org/officeDocument/2006/customXml" ds:itemID="{B3E1B4DD-8A6C-4D43-BCFD-515CBA24A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Cross</dc:creator>
  <cp:keywords/>
  <dc:description/>
  <cp:lastModifiedBy>A Cross</cp:lastModifiedBy>
  <cp:revision>7</cp:revision>
  <dcterms:created xsi:type="dcterms:W3CDTF">2023-12-01T11:28:00Z</dcterms:created>
  <dcterms:modified xsi:type="dcterms:W3CDTF">2023-12-01T11:36:00Z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