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66"/>
        <w:tblW w:w="5333" w:type="pct"/>
        <w:tblLook w:val="04A0" w:firstRow="1" w:lastRow="0" w:firstColumn="1" w:lastColumn="0" w:noHBand="0" w:noVBand="1"/>
      </w:tblPr>
      <w:tblGrid>
        <w:gridCol w:w="9636"/>
      </w:tblGrid>
      <w:tr w:rsidR="007A514E" w14:paraId="68B6650B" w14:textId="77777777" w:rsidTr="00E26E82">
        <w:trPr>
          <w:trHeight w:val="19"/>
        </w:trPr>
        <w:tc>
          <w:tcPr>
            <w:tcW w:w="5000" w:type="pct"/>
          </w:tcPr>
          <w:p w14:paraId="6BE91ACF" w14:textId="77777777" w:rsidR="007A514E" w:rsidRPr="00E26E82" w:rsidRDefault="006747C0" w:rsidP="00845262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Religious Education</w:t>
            </w:r>
            <w:r w:rsidR="00845262">
              <w:rPr>
                <w:rFonts w:cstheme="minorHAnsi"/>
                <w:b/>
                <w:sz w:val="32"/>
              </w:rPr>
              <w:t xml:space="preserve"> </w:t>
            </w:r>
            <w:r w:rsidR="00687BF3" w:rsidRPr="00E26E82">
              <w:rPr>
                <w:rFonts w:cstheme="minorHAnsi"/>
                <w:b/>
                <w:sz w:val="32"/>
              </w:rPr>
              <w:t>Subject Overview</w:t>
            </w:r>
          </w:p>
        </w:tc>
      </w:tr>
      <w:tr w:rsidR="007A514E" w14:paraId="616F1AB7" w14:textId="77777777" w:rsidTr="00E26E82">
        <w:trPr>
          <w:trHeight w:val="19"/>
        </w:trPr>
        <w:tc>
          <w:tcPr>
            <w:tcW w:w="5000" w:type="pct"/>
          </w:tcPr>
          <w:p w14:paraId="384F3BED" w14:textId="77777777" w:rsidR="007A514E" w:rsidRPr="002C2AD4" w:rsidRDefault="007A514E" w:rsidP="007A514E">
            <w:p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In order to achieve our whole school intent, we have identified 3 Golden Threads that weave through our curriculum and underpin everything we do. This means that in delivering our curriculum we are embedding our school </w:t>
            </w:r>
            <w:r w:rsidRPr="002C2AD4">
              <w:rPr>
                <w:rFonts w:cstheme="minorHAnsi"/>
                <w:b/>
                <w:sz w:val="20"/>
                <w:szCs w:val="20"/>
              </w:rPr>
              <w:t>Christian Values</w:t>
            </w:r>
            <w:r w:rsidRPr="002C2AD4">
              <w:rPr>
                <w:rFonts w:cstheme="minorHAnsi"/>
                <w:sz w:val="20"/>
                <w:szCs w:val="20"/>
              </w:rPr>
              <w:t>, developing </w:t>
            </w:r>
            <w:r w:rsidRPr="002C2AD4">
              <w:rPr>
                <w:rFonts w:cstheme="minorHAnsi"/>
                <w:b/>
                <w:sz w:val="20"/>
                <w:szCs w:val="20"/>
              </w:rPr>
              <w:t>knowledge and skills</w:t>
            </w:r>
            <w:r w:rsidRPr="002C2AD4">
              <w:rPr>
                <w:rFonts w:cstheme="minorHAnsi"/>
                <w:sz w:val="20"/>
                <w:szCs w:val="20"/>
              </w:rPr>
              <w:t> progressively over time with an ambitious and aspiring curriculum whilst immersing our children in </w:t>
            </w:r>
            <w:r w:rsidRPr="002C2AD4">
              <w:rPr>
                <w:rFonts w:cstheme="minorHAnsi"/>
                <w:b/>
                <w:sz w:val="20"/>
                <w:szCs w:val="20"/>
              </w:rPr>
              <w:t>language rich</w:t>
            </w:r>
            <w:r w:rsidRPr="002C2AD4">
              <w:rPr>
                <w:rFonts w:cstheme="minorHAnsi"/>
                <w:sz w:val="20"/>
                <w:szCs w:val="20"/>
              </w:rPr>
              <w:t xml:space="preserve"> teaching.</w:t>
            </w:r>
          </w:p>
          <w:p w14:paraId="52BAC046" w14:textId="77777777" w:rsidR="007A514E" w:rsidRPr="002C2AD4" w:rsidRDefault="007A514E" w:rsidP="007A514E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5E2BB9C" wp14:editId="16444949">
                  <wp:simplePos x="0" y="0"/>
                  <wp:positionH relativeFrom="margin">
                    <wp:posOffset>778510</wp:posOffset>
                  </wp:positionH>
                  <wp:positionV relativeFrom="margin">
                    <wp:posOffset>703077</wp:posOffset>
                  </wp:positionV>
                  <wp:extent cx="4019107" cy="1911342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107" cy="191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514E" w14:paraId="55F601B7" w14:textId="77777777" w:rsidTr="00E26E82">
        <w:trPr>
          <w:trHeight w:val="19"/>
        </w:trPr>
        <w:tc>
          <w:tcPr>
            <w:tcW w:w="5000" w:type="pct"/>
          </w:tcPr>
          <w:p w14:paraId="7E60BDC9" w14:textId="77777777" w:rsidR="007A514E" w:rsidRPr="002C2AD4" w:rsidRDefault="007A514E" w:rsidP="007A514E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t xml:space="preserve">Intent  </w:t>
            </w:r>
          </w:p>
          <w:p w14:paraId="5F44741A" w14:textId="2567F52A" w:rsidR="00E86BF4" w:rsidRPr="002C2AD4" w:rsidRDefault="003A3CA8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As a Church of England School, the Christian faith forms </w:t>
            </w:r>
            <w:r w:rsidR="006747C0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the foundations of everything that we do at Forest &amp; Sandridge. 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Our Christian faith influences not only what we teach, but how we teach, and w</w:t>
            </w:r>
            <w:r w:rsidR="006747C0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 promote an environment where all children feel known, accepted, and valued as individuals, within a caring community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. </w:t>
            </w: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</w:t>
            </w:r>
            <w:r w:rsidRPr="002C2AD4">
              <w:rPr>
                <w:rFonts w:cstheme="minorHAnsi"/>
                <w:color w:val="333333"/>
                <w:sz w:val="20"/>
                <w:szCs w:val="20"/>
              </w:rPr>
              <w:t xml:space="preserve">he teaching and learning of Religious Education </w:t>
            </w:r>
            <w:proofErr w:type="gramStart"/>
            <w:r w:rsidRPr="002C2AD4">
              <w:rPr>
                <w:rFonts w:cstheme="minorHAnsi"/>
                <w:color w:val="333333"/>
                <w:sz w:val="20"/>
                <w:szCs w:val="20"/>
              </w:rPr>
              <w:t>offers</w:t>
            </w:r>
            <w:proofErr w:type="gramEnd"/>
            <w:r w:rsidRPr="002C2AD4">
              <w:rPr>
                <w:rFonts w:cstheme="minorHAnsi"/>
                <w:color w:val="333333"/>
                <w:sz w:val="20"/>
                <w:szCs w:val="20"/>
              </w:rPr>
              <w:t xml:space="preserve"> opportunities to promote respect for others, to challenge stereotypes and to build understanding of other cultures and beliefs. This </w:t>
            </w:r>
            <w:r w:rsidR="00E86BF4" w:rsidRPr="002C2AD4">
              <w:rPr>
                <w:rFonts w:cstheme="minorHAnsi"/>
                <w:color w:val="333333"/>
                <w:sz w:val="20"/>
                <w:szCs w:val="20"/>
              </w:rPr>
              <w:t xml:space="preserve">contributes to </w:t>
            </w:r>
            <w:r w:rsidRPr="002C2AD4">
              <w:rPr>
                <w:rFonts w:cstheme="minorHAnsi"/>
                <w:color w:val="333333"/>
                <w:sz w:val="20"/>
                <w:szCs w:val="20"/>
              </w:rPr>
              <w:t>a positive and inclusive school ethos that champions diversity, responsibility</w:t>
            </w:r>
            <w:r w:rsidR="00E86BF4" w:rsidRPr="002C2AD4">
              <w:rPr>
                <w:rFonts w:cstheme="minorHAnsi"/>
                <w:color w:val="333333"/>
                <w:sz w:val="20"/>
                <w:szCs w:val="20"/>
              </w:rPr>
              <w:t xml:space="preserve">, </w:t>
            </w:r>
            <w:r w:rsidRPr="002C2AD4">
              <w:rPr>
                <w:rFonts w:cstheme="minorHAnsi"/>
                <w:color w:val="333333"/>
                <w:sz w:val="20"/>
                <w:szCs w:val="20"/>
              </w:rPr>
              <w:t>spiritualit</w:t>
            </w:r>
            <w:r w:rsidR="007B4C19" w:rsidRPr="002C2AD4">
              <w:rPr>
                <w:rFonts w:cstheme="minorHAnsi"/>
                <w:color w:val="333333"/>
                <w:sz w:val="20"/>
                <w:szCs w:val="20"/>
              </w:rPr>
              <w:t>y</w:t>
            </w:r>
            <w:r w:rsidR="00E86BF4" w:rsidRPr="002C2AD4">
              <w:rPr>
                <w:rFonts w:cstheme="minorHAnsi"/>
                <w:color w:val="333333"/>
                <w:sz w:val="20"/>
                <w:szCs w:val="20"/>
              </w:rPr>
              <w:t xml:space="preserve">. We </w:t>
            </w:r>
            <w:r w:rsidR="007B4C19" w:rsidRPr="002C2AD4">
              <w:rPr>
                <w:rFonts w:cstheme="minorHAnsi"/>
                <w:color w:val="333333"/>
                <w:sz w:val="20"/>
                <w:szCs w:val="20"/>
              </w:rPr>
              <w:t>encourage c</w:t>
            </w:r>
            <w:r w:rsidR="006747C0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hildren </w:t>
            </w:r>
            <w:r w:rsidR="007B4C19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to </w:t>
            </w:r>
            <w:r w:rsidR="006747C0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develop an array of skills that will enable them to make their own positive 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influence in</w:t>
            </w:r>
            <w:r w:rsidR="006747C0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our global society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, including: </w:t>
            </w:r>
          </w:p>
          <w:p w14:paraId="091C015B" w14:textId="77777777" w:rsidR="007B4C19" w:rsidRPr="002C2AD4" w:rsidRDefault="007B4C19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26CA3E1" w14:textId="77777777" w:rsidR="006747C0" w:rsidRPr="002C2AD4" w:rsidRDefault="006747C0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To provoke challenging questions about the ultimate meaning of life, beliefs about God, the nature of reality and morality.</w:t>
            </w:r>
          </w:p>
          <w:p w14:paraId="6CD79B78" w14:textId="77777777" w:rsidR="006747C0" w:rsidRPr="002C2AD4" w:rsidRDefault="006747C0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To develop pupils’ knowledge and understanding of Christianity, other principal world religions, religious traditions and world-views, which offer answers to ultimate questions.</w:t>
            </w:r>
          </w:p>
          <w:p w14:paraId="2674354B" w14:textId="77777777" w:rsidR="006747C0" w:rsidRPr="002C2AD4" w:rsidRDefault="006747C0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To encourage pupils to develop their sense of identity and belonging, in order to flourish within communities, as responsible citizens in society and global communities. </w:t>
            </w:r>
          </w:p>
          <w:p w14:paraId="532D4AE6" w14:textId="77777777" w:rsidR="006747C0" w:rsidRPr="002C2AD4" w:rsidRDefault="006747C0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To teach pupils to develop respect for others and their beliefs and helps to challenge prejudice.</w:t>
            </w:r>
          </w:p>
          <w:p w14:paraId="584D03D4" w14:textId="77777777" w:rsidR="002C2AD4" w:rsidRPr="002C2AD4" w:rsidRDefault="006747C0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To prompt pupils to consider their responsibilities to themselves and to others, and to explore how they might contribute to their communities and to wider society encouraging empathy, generosity and compassion.</w:t>
            </w:r>
          </w:p>
          <w:p w14:paraId="0B9F2C6E" w14:textId="1D10A14B" w:rsidR="006747C0" w:rsidRPr="002C2AD4" w:rsidRDefault="002C2AD4" w:rsidP="006747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For children to be confident ‘retelling’ within the context of RE</w:t>
            </w: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using the language structures.</w:t>
            </w:r>
            <w:r w:rsidR="006747C0" w:rsidRPr="002C2AD4">
              <w:rPr>
                <w:rFonts w:cstheme="minorHAnsi"/>
                <w:b/>
                <w:sz w:val="20"/>
                <w:szCs w:val="20"/>
              </w:rPr>
              <w:br/>
            </w:r>
          </w:p>
          <w:p w14:paraId="74782763" w14:textId="77777777" w:rsidR="001F5A35" w:rsidRPr="002C2AD4" w:rsidRDefault="001F5A35" w:rsidP="001F5A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8C0058" w14:textId="77777777" w:rsidR="007A514E" w:rsidRPr="002C2AD4" w:rsidRDefault="007A514E" w:rsidP="007A51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14E" w14:paraId="1ACE2449" w14:textId="77777777" w:rsidTr="00E26E82">
        <w:trPr>
          <w:trHeight w:val="19"/>
        </w:trPr>
        <w:tc>
          <w:tcPr>
            <w:tcW w:w="5000" w:type="pct"/>
          </w:tcPr>
          <w:p w14:paraId="59ACA9D6" w14:textId="77777777" w:rsidR="0085761D" w:rsidRPr="002C2AD4" w:rsidRDefault="0085761D" w:rsidP="0085761D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t>Implementation</w:t>
            </w:r>
          </w:p>
          <w:p w14:paraId="4FFC6735" w14:textId="77777777" w:rsidR="003A3CA8" w:rsidRPr="002C2AD4" w:rsidRDefault="003A3CA8" w:rsidP="008576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104EBF" w14:textId="77777777" w:rsidR="003A3CA8" w:rsidRPr="002C2AD4" w:rsidRDefault="003A3CA8" w:rsidP="0085761D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t xml:space="preserve">Christian Values Driver: </w:t>
            </w:r>
          </w:p>
          <w:p w14:paraId="6E7A482A" w14:textId="2A7D9AE1" w:rsidR="006F7511" w:rsidRPr="002C2AD4" w:rsidRDefault="003A3CA8" w:rsidP="006F7511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At Forest and Sandridge, we believe that it is fundamental for our children to belong to a safe and nurturing community, founded on strong Christian values. </w:t>
            </w:r>
            <w:r w:rsidR="006F7511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Our RE curriculum promotes a strong </w:t>
            </w:r>
            <w:r w:rsidR="002E75FB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knowledge of core Christian ideologies</w:t>
            </w:r>
            <w:r w:rsidR="006F7511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, and the learning opportunities provided </w:t>
            </w:r>
            <w:r w:rsidR="002E75FB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equip children for a future rooted in the safety, purpose and 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eternal </w:t>
            </w:r>
            <w:r w:rsidR="002E75FB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hope that the Christian Faith offers.  Through our broad curriculum design, strong community links and tangible sense of spirituality, our pupils can flourish and grow </w:t>
            </w:r>
            <w:r w:rsidR="002E75FB" w:rsidRPr="002C2AD4">
              <w:rPr>
                <w:rFonts w:cstheme="minorHAnsi"/>
                <w:sz w:val="20"/>
                <w:szCs w:val="20"/>
              </w:rPr>
              <w:t>regardless of background, ability or additional needs</w:t>
            </w:r>
            <w:r w:rsidR="002E75FB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; confident in the knowledge that there is a great purpose in their lives. 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This is framed by our deeply embedded Christian vision </w:t>
            </w:r>
            <w:r w:rsidR="00E86BF4" w:rsidRPr="002C2AD4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“For I know the plans I have for you,” says the Lord…</w:t>
            </w:r>
            <w:proofErr w:type="gramStart"/>
            <w:r w:rsidR="00E86BF4" w:rsidRPr="002C2AD4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.”Plans</w:t>
            </w:r>
            <w:proofErr w:type="gramEnd"/>
            <w:r w:rsidR="00E86BF4" w:rsidRPr="002C2AD4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to give you a hope and a future”  </w:t>
            </w:r>
            <w:r w:rsidR="009B0482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affirming</w:t>
            </w:r>
            <w:r w:rsidR="00E86BF4"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that</w:t>
            </w:r>
            <w:r w:rsidR="00E86BF4" w:rsidRPr="002C2AD4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6F7511" w:rsidRPr="002C2AD4">
              <w:rPr>
                <w:rFonts w:cstheme="minorHAnsi"/>
                <w:sz w:val="20"/>
                <w:szCs w:val="20"/>
              </w:rPr>
              <w:t xml:space="preserve">there is a greater plan and purpose </w:t>
            </w:r>
            <w:r w:rsidR="00E86BF4" w:rsidRPr="002C2AD4">
              <w:rPr>
                <w:rFonts w:cstheme="minorHAnsi"/>
                <w:sz w:val="20"/>
                <w:szCs w:val="20"/>
              </w:rPr>
              <w:t xml:space="preserve">awaiting all children in their future. </w:t>
            </w:r>
          </w:p>
          <w:p w14:paraId="642F5496" w14:textId="77777777" w:rsidR="006F7511" w:rsidRPr="002C2AD4" w:rsidRDefault="006F7511" w:rsidP="007B4C19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0173C7A" w14:textId="77777777" w:rsidR="009B0482" w:rsidRPr="002C2AD4" w:rsidRDefault="006747C0" w:rsidP="001C75AD">
            <w:pPr>
              <w:pStyle w:val="NoSpacing"/>
              <w:rPr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E86BF4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S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tatement of </w:t>
            </w:r>
            <w:r w:rsidR="00E86BF4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E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ntitlements lays out the </w:t>
            </w:r>
            <w:r w:rsidR="006F7511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rights 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of all children to receive a high</w:t>
            </w:r>
            <w:r w:rsidR="006F7511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-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quality Religious Education which supports them in all aspects of their learning</w:t>
            </w:r>
            <w:r w:rsidR="006F7511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, explaining </w:t>
            </w:r>
            <w:r w:rsidRPr="002C2AD4">
              <w:rPr>
                <w:i/>
                <w:sz w:val="20"/>
                <w:szCs w:val="20"/>
                <w:bdr w:val="none" w:sz="0" w:space="0" w:color="auto" w:frame="1"/>
                <w:lang w:eastAsia="en-GB"/>
              </w:rPr>
              <w:t>“Religious education in a Church school should enable every child to flourish and to live life in all its fullness. (John 10:10).</w:t>
            </w:r>
            <w:r w:rsidR="006F7511" w:rsidRPr="002C2AD4">
              <w:rPr>
                <w:i/>
                <w:sz w:val="20"/>
                <w:szCs w:val="20"/>
                <w:bdr w:val="none" w:sz="0" w:space="0" w:color="auto" w:frame="1"/>
                <w:lang w:eastAsia="en-GB"/>
              </w:rPr>
              <w:t>”</w:t>
            </w:r>
            <w:r w:rsidR="00E86BF4" w:rsidRPr="002C2AD4">
              <w:rPr>
                <w:i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6F7511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We 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ensure that we fully meet the requirement of the statement of entitlement for Church school</w:t>
            </w:r>
            <w:r w:rsidR="00E86BF4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 through delivering a curriculum rich in </w:t>
            </w:r>
            <w:r w:rsidR="009B0482"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key knowledge and skills. </w:t>
            </w:r>
          </w:p>
          <w:p w14:paraId="2489021A" w14:textId="13E6960D" w:rsidR="006747C0" w:rsidRPr="002C2AD4" w:rsidRDefault="006747C0" w:rsidP="001C75AD">
            <w:pPr>
              <w:pStyle w:val="NoSpacing"/>
              <w:rPr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rFonts w:ascii="Comic Sans MS" w:hAnsi="Comic Sans MS" w:cs="Times New Roman"/>
                <w:color w:val="006400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Our RE teaching is informed by two different teaching schemes; Understanding Christianity and Discovery RE. By using these schemes alongside each other, we are ensuring children are given the opportunity to become religiously literate. 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  <w:t>Understanding Christianity is based upon seven core Christian concepts. Children will explore the different concepts in a range of inspiring activities as they move through the school, starting in Foundation Stage and developing a great depth of understanding by the time they reach Year 6.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2C2AD4">
              <w:rPr>
                <w:noProof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57EB7791" wp14:editId="7F56CC24">
                  <wp:extent cx="5890260" cy="4986655"/>
                  <wp:effectExtent l="0" t="0" r="0" b="4445"/>
                  <wp:docPr id="8" name="Picture 8" descr="https://primarysite-prod-sorted.s3.amazonaws.com/forest-and-sandridge-cofe-primary-school/UploadedImage/a8e145a200a849f8a51a559a73d5abb1_1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imarysite-prod-sorted.s3.amazonaws.com/forest-and-sandridge-cofe-primary-school/UploadedImage/a8e145a200a849f8a51a559a73d5abb1_1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260" cy="498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  <w:t>  </w:t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br/>
              <w:t xml:space="preserve">Understanding Christianity believes that not only should children show an understanding of the religious text and teachings but they should also demonstrate a deepened and more thoughtful approach to their learning and how this influences day to day life. </w:t>
            </w:r>
            <w:proofErr w:type="gramStart"/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>Therefore</w:t>
            </w:r>
            <w:proofErr w:type="gramEnd"/>
            <w:r w:rsidRPr="002C2AD4">
              <w:rPr>
                <w:sz w:val="20"/>
                <w:szCs w:val="20"/>
                <w:bdr w:val="none" w:sz="0" w:space="0" w:color="auto" w:frame="1"/>
                <w:lang w:eastAsia="en-GB"/>
              </w:rPr>
              <w:t xml:space="preserve"> is based upon a three step enquiry model of teaching. </w:t>
            </w:r>
          </w:p>
          <w:p w14:paraId="3722710B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rFonts w:eastAsia="Times New Roman" w:cstheme="minorHAnsi"/>
                <w:noProof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FE27272" wp14:editId="6D4D5282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28787</wp:posOffset>
                  </wp:positionV>
                  <wp:extent cx="4061460" cy="2265045"/>
                  <wp:effectExtent l="0" t="0" r="0" b="1905"/>
                  <wp:wrapSquare wrapText="bothSides"/>
                  <wp:docPr id="9" name="Picture 9" descr="https://primarysite-prod-sorted.s3.amazonaws.com/forest-and-sandridge-cofe-primary-school/UploadedImage/537e37352001458e8d823535e86ba37a_1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marysite-prod-sorted.s3.amazonaws.com/forest-and-sandridge-cofe-primary-school/UploadedImage/537e37352001458e8d823535e86ba37a_1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57856B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BA62C38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0FB2BB9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EC927B5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60519E2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CBE9F62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7F559DB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3A84E593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7680907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0D2F161B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626FC500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FE4A47E" w14:textId="77777777" w:rsidR="009B0482" w:rsidRPr="002C2AD4" w:rsidRDefault="009B0482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E39F4E3" w14:textId="77777777" w:rsidR="009B0482" w:rsidRPr="002C2AD4" w:rsidRDefault="009B0482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4413345" w14:textId="77777777" w:rsidR="009B0482" w:rsidRPr="002C2AD4" w:rsidRDefault="009B0482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74E57DDE" w14:textId="707499E7" w:rsidR="006747C0" w:rsidRPr="002C2AD4" w:rsidRDefault="006747C0" w:rsidP="006747C0">
            <w:pPr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Discovery RE is used alongside Understanding Christianity to ensure that children are given opportunities to explore a wide range of different religions throughout their time in Primary School.  It is through using these two schemes alongside each other that we are providing children with a holistic and balanced RE curriculum. </w:t>
            </w:r>
            <w:r w:rsidRPr="002C2AD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  <w:p w14:paraId="231AAAEE" w14:textId="77777777" w:rsidR="006747C0" w:rsidRPr="002C2AD4" w:rsidRDefault="006747C0" w:rsidP="006747C0">
            <w:pP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2C2AD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We use a variety of teaching methods including art, music, discussion, the development of thinking skills, drama, the use of artefacts, pictures, stories, and the use of reflection. </w:t>
            </w:r>
          </w:p>
          <w:p w14:paraId="511C3AE9" w14:textId="77777777" w:rsidR="00845262" w:rsidRPr="002C2AD4" w:rsidRDefault="00845262" w:rsidP="00845262">
            <w:pPr>
              <w:rPr>
                <w:rFonts w:cstheme="minorHAnsi"/>
                <w:sz w:val="20"/>
                <w:szCs w:val="20"/>
              </w:rPr>
            </w:pPr>
          </w:p>
          <w:p w14:paraId="430CDD4D" w14:textId="77777777" w:rsidR="002136DF" w:rsidRPr="002C2AD4" w:rsidRDefault="002136DF" w:rsidP="002136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92B8F3" w14:textId="77777777" w:rsidR="007A514E" w:rsidRPr="002C2AD4" w:rsidRDefault="007A514E" w:rsidP="002136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7BF3" w14:paraId="07740D3A" w14:textId="77777777" w:rsidTr="00E26E82">
        <w:trPr>
          <w:trHeight w:val="19"/>
        </w:trPr>
        <w:tc>
          <w:tcPr>
            <w:tcW w:w="5000" w:type="pct"/>
          </w:tcPr>
          <w:p w14:paraId="7152CE79" w14:textId="77777777" w:rsidR="00687BF3" w:rsidRPr="002C2AD4" w:rsidRDefault="00687BF3" w:rsidP="007A514E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lastRenderedPageBreak/>
              <w:t>Planning</w:t>
            </w:r>
          </w:p>
          <w:p w14:paraId="10C7DC84" w14:textId="77777777" w:rsidR="00687BF3" w:rsidRPr="002C2AD4" w:rsidRDefault="00687BF3" w:rsidP="007A51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635E70" w14:textId="28E64D4F" w:rsidR="00687BF3" w:rsidRPr="002C2AD4" w:rsidRDefault="00E56BA0" w:rsidP="007A51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6309037" wp14:editId="3D8B91D9">
                  <wp:extent cx="5812971" cy="269951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368" cy="270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AC827" w14:textId="77777777" w:rsidR="006F7511" w:rsidRPr="002C2AD4" w:rsidRDefault="006F7511" w:rsidP="007A51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4D555C" w14:textId="32D3C59C" w:rsidR="006F7511" w:rsidRPr="002C2AD4" w:rsidRDefault="00E56BA0" w:rsidP="007A51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0150BCD4" wp14:editId="085E3D4C">
                  <wp:extent cx="5976257" cy="3718034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377" cy="37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0986B" w14:textId="77777777" w:rsidR="00687BF3" w:rsidRPr="002C2AD4" w:rsidRDefault="00687BF3" w:rsidP="007A51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14E" w14:paraId="1CCC29C1" w14:textId="77777777" w:rsidTr="00E26E82">
        <w:trPr>
          <w:trHeight w:val="19"/>
        </w:trPr>
        <w:tc>
          <w:tcPr>
            <w:tcW w:w="5000" w:type="pct"/>
          </w:tcPr>
          <w:p w14:paraId="10378BA1" w14:textId="507B2BC6" w:rsidR="00591014" w:rsidRPr="002C2AD4" w:rsidRDefault="00591014" w:rsidP="00591014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lastRenderedPageBreak/>
              <w:t>Impact</w:t>
            </w:r>
            <w:r w:rsidR="00781335" w:rsidRPr="002C2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C2AD4">
              <w:rPr>
                <w:rFonts w:cstheme="minorHAnsi"/>
                <w:b/>
                <w:sz w:val="20"/>
                <w:szCs w:val="20"/>
              </w:rPr>
              <w:t>- How do our Golden Threads work within this subject?</w:t>
            </w:r>
          </w:p>
          <w:p w14:paraId="1471BD60" w14:textId="2452D105" w:rsidR="00591014" w:rsidRPr="002C2AD4" w:rsidRDefault="00591014" w:rsidP="006F7511">
            <w:pPr>
              <w:rPr>
                <w:rFonts w:cstheme="minorHAnsi"/>
                <w:sz w:val="20"/>
                <w:szCs w:val="20"/>
              </w:rPr>
            </w:pPr>
          </w:p>
          <w:p w14:paraId="18296BFC" w14:textId="4A7B836E" w:rsidR="00FB1DEB" w:rsidRPr="002C2AD4" w:rsidRDefault="00FB1DEB" w:rsidP="006F75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2AD4">
              <w:rPr>
                <w:rFonts w:cstheme="minorHAnsi"/>
                <w:b/>
                <w:bCs/>
                <w:sz w:val="20"/>
                <w:szCs w:val="20"/>
              </w:rPr>
              <w:t>Christian Values</w:t>
            </w:r>
          </w:p>
          <w:p w14:paraId="1AF19307" w14:textId="77777777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Ask and offer possible answers to challenging questions about the meaning of life, beliefs, nature of reality and morality. </w:t>
            </w:r>
          </w:p>
          <w:p w14:paraId="6FD0E46F" w14:textId="77777777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Have a sense of self, identity and belonging to flourish within the community and be responsible citizens. </w:t>
            </w:r>
          </w:p>
          <w:p w14:paraId="3BD86299" w14:textId="77777777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Show respect, tolerance and understanding of all religions and beliefs. </w:t>
            </w:r>
          </w:p>
          <w:p w14:paraId="7F6DEC6C" w14:textId="0FF1872B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The ability to exemplify the School’s Christian values in all aspects of life that are rooted in the teachings of the Bible.</w:t>
            </w:r>
          </w:p>
          <w:p w14:paraId="758F5236" w14:textId="1651C5B9" w:rsidR="00FB1DEB" w:rsidRPr="002C2AD4" w:rsidRDefault="00FB1DEB" w:rsidP="006F75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1B1775" w14:textId="7243A5CB" w:rsidR="00FB1DEB" w:rsidRPr="002C2AD4" w:rsidRDefault="00FB1DEB" w:rsidP="006F75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2AD4">
              <w:rPr>
                <w:rFonts w:cstheme="minorHAnsi"/>
                <w:b/>
                <w:bCs/>
                <w:sz w:val="20"/>
                <w:szCs w:val="20"/>
              </w:rPr>
              <w:t>Knowledge and Skills</w:t>
            </w:r>
          </w:p>
          <w:p w14:paraId="574910C8" w14:textId="77777777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Have a strong understanding of how the beliefs, values, practices and ways of life within any religion come together. </w:t>
            </w:r>
          </w:p>
          <w:p w14:paraId="00BB767A" w14:textId="77777777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Have a secure understanding and knowledge of the religions studied and be confident to answer ultimate questions. </w:t>
            </w:r>
          </w:p>
          <w:p w14:paraId="10ACA430" w14:textId="4D1383FE" w:rsidR="00FB1DEB" w:rsidRPr="002C2AD4" w:rsidRDefault="00FB1DEB" w:rsidP="00FB1DE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The ability to link the study of religion and belief to personal reflections on meaning and purpose. </w:t>
            </w:r>
          </w:p>
          <w:p w14:paraId="5521D427" w14:textId="77777777" w:rsidR="00FB1DEB" w:rsidRPr="002C2AD4" w:rsidRDefault="00FB1DEB" w:rsidP="00FB1DE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A9D792E" w14:textId="7DB63AA1" w:rsidR="00FB1DEB" w:rsidRPr="002C2AD4" w:rsidRDefault="00FB1DEB" w:rsidP="006F75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2AD4">
              <w:rPr>
                <w:rFonts w:cstheme="minorHAnsi"/>
                <w:b/>
                <w:bCs/>
                <w:sz w:val="20"/>
                <w:szCs w:val="20"/>
              </w:rPr>
              <w:t>Language Rich</w:t>
            </w:r>
          </w:p>
          <w:p w14:paraId="595E20B7" w14:textId="77777777" w:rsidR="007A514E" w:rsidRPr="002C2AD4" w:rsidRDefault="00FB1DEB" w:rsidP="00FB1D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Have the ability to ask significant and reflective questions about religion and demonstrate a good understanding of issues relating to the nature, truth and value of religion.</w:t>
            </w:r>
          </w:p>
          <w:p w14:paraId="249FAD68" w14:textId="5AD775CD" w:rsidR="002C2AD4" w:rsidRPr="002C2AD4" w:rsidRDefault="002C2AD4" w:rsidP="00FB1D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 w:rsidRPr="002C2AD4">
              <w:rPr>
                <w:rFonts w:cstheme="minorHAnsi"/>
                <w:iCs/>
                <w:sz w:val="20"/>
                <w:szCs w:val="20"/>
              </w:rPr>
              <w:t>Be confident and articulate within RE using the language of ‘retelling’.</w:t>
            </w:r>
          </w:p>
        </w:tc>
      </w:tr>
      <w:tr w:rsidR="007A514E" w14:paraId="50BB0C86" w14:textId="77777777" w:rsidTr="00E26E82">
        <w:trPr>
          <w:trHeight w:val="19"/>
        </w:trPr>
        <w:tc>
          <w:tcPr>
            <w:tcW w:w="5000" w:type="pct"/>
          </w:tcPr>
          <w:p w14:paraId="5F6A82B7" w14:textId="77777777" w:rsidR="007A514E" w:rsidRPr="002C2AD4" w:rsidRDefault="007A514E" w:rsidP="007A514E">
            <w:pPr>
              <w:rPr>
                <w:rFonts w:cstheme="minorHAnsi"/>
                <w:b/>
                <w:sz w:val="20"/>
                <w:szCs w:val="20"/>
              </w:rPr>
            </w:pPr>
            <w:r w:rsidRPr="002C2AD4">
              <w:rPr>
                <w:rFonts w:cstheme="minorHAnsi"/>
                <w:b/>
                <w:sz w:val="20"/>
                <w:szCs w:val="20"/>
              </w:rPr>
              <w:t>Scaffolding/supporting SEND/lowest 20%: What do we do and how does this look?</w:t>
            </w:r>
          </w:p>
          <w:p w14:paraId="142589C3" w14:textId="77777777" w:rsidR="007A514E" w:rsidRPr="002C2AD4" w:rsidRDefault="007A514E" w:rsidP="007A514E">
            <w:pPr>
              <w:rPr>
                <w:rFonts w:cstheme="minorHAnsi"/>
                <w:sz w:val="20"/>
                <w:szCs w:val="20"/>
              </w:rPr>
            </w:pPr>
          </w:p>
          <w:p w14:paraId="7F22CB2A" w14:textId="77777777" w:rsidR="007A514E" w:rsidRPr="002C2AD4" w:rsidRDefault="007A514E" w:rsidP="007A514E">
            <w:pPr>
              <w:tabs>
                <w:tab w:val="left" w:pos="6940"/>
              </w:tabs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Teachers try to identify potential barriers at the planning stage. In their planning, they consider ways of minimising or reducing those barriers.</w:t>
            </w:r>
          </w:p>
          <w:p w14:paraId="74D8F57A" w14:textId="77777777" w:rsidR="007A514E" w:rsidRPr="002C2AD4" w:rsidRDefault="007A514E" w:rsidP="007A514E">
            <w:pPr>
              <w:pStyle w:val="ListParagraph"/>
              <w:tabs>
                <w:tab w:val="left" w:pos="6940"/>
              </w:tabs>
              <w:ind w:left="315"/>
              <w:rPr>
                <w:rFonts w:cstheme="minorHAnsi"/>
                <w:sz w:val="20"/>
                <w:szCs w:val="20"/>
              </w:rPr>
            </w:pPr>
          </w:p>
          <w:p w14:paraId="424E46D3" w14:textId="77777777" w:rsidR="007A514E" w:rsidRPr="002C2AD4" w:rsidRDefault="007A514E" w:rsidP="007A514E">
            <w:pPr>
              <w:ind w:left="31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2AD4">
              <w:rPr>
                <w:rFonts w:cstheme="minorHAnsi"/>
                <w:b/>
                <w:sz w:val="20"/>
                <w:szCs w:val="20"/>
                <w:u w:val="single"/>
              </w:rPr>
              <w:t xml:space="preserve">Lesson design: </w:t>
            </w:r>
          </w:p>
          <w:p w14:paraId="4FFFF015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Recapping learning from the previous lesson. Children may revisit their work from the last lesson to remember/improve/tweak/adjust.</w:t>
            </w:r>
          </w:p>
          <w:p w14:paraId="28AA30E5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lastRenderedPageBreak/>
              <w:t>Consolidation is built in through curriculum design. Opportunities are provided for pupils to repeat and reinforce previously learnt skills and processes on a regular basis, in similar and different contexts.</w:t>
            </w:r>
          </w:p>
          <w:p w14:paraId="24227DCF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The curriculum is designed in a way that allows pupils to make links to the real world.</w:t>
            </w:r>
          </w:p>
          <w:p w14:paraId="5A414604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Scaffolded tasks to support those need additional support.</w:t>
            </w:r>
          </w:p>
          <w:p w14:paraId="1527DCCD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Whole class discussions (</w:t>
            </w:r>
            <w:proofErr w:type="gramStart"/>
            <w:r w:rsidRPr="002C2AD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2C2AD4">
              <w:rPr>
                <w:rFonts w:cstheme="minorHAnsi"/>
                <w:sz w:val="20"/>
                <w:szCs w:val="20"/>
              </w:rPr>
              <w:t xml:space="preserve"> the teacher may do a mini plenary where common misconceptions are identified and discussed or where they share examples of pupil work on the board).</w:t>
            </w:r>
          </w:p>
          <w:p w14:paraId="354E53AE" w14:textId="77777777" w:rsidR="007A514E" w:rsidRPr="002C2AD4" w:rsidRDefault="007A514E" w:rsidP="007A514E">
            <w:pPr>
              <w:pStyle w:val="ListParagraph"/>
              <w:ind w:left="315"/>
              <w:rPr>
                <w:rFonts w:cstheme="minorHAnsi"/>
                <w:sz w:val="20"/>
                <w:szCs w:val="20"/>
              </w:rPr>
            </w:pPr>
          </w:p>
          <w:p w14:paraId="18ECFE53" w14:textId="77777777" w:rsidR="007A514E" w:rsidRPr="002C2AD4" w:rsidRDefault="007A514E" w:rsidP="007A514E">
            <w:pPr>
              <w:ind w:left="31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2AD4">
              <w:rPr>
                <w:rFonts w:cstheme="minorHAnsi"/>
                <w:b/>
                <w:sz w:val="20"/>
                <w:szCs w:val="20"/>
                <w:u w:val="single"/>
              </w:rPr>
              <w:t>Environment</w:t>
            </w:r>
          </w:p>
          <w:p w14:paraId="56E56DE6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Key vocabulary displayed on the board so children can use correct terminology in their discussions.</w:t>
            </w:r>
          </w:p>
          <w:p w14:paraId="3AB5EFCA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Flexible seating options in case children need to move during the lesson.</w:t>
            </w:r>
          </w:p>
          <w:p w14:paraId="70BCED0D" w14:textId="77777777" w:rsidR="007A514E" w:rsidRPr="002C2AD4" w:rsidRDefault="007A514E" w:rsidP="007A514E">
            <w:pPr>
              <w:pStyle w:val="ListParagraph"/>
              <w:ind w:left="315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DEEF4E" w14:textId="77777777" w:rsidR="007A514E" w:rsidRPr="002C2AD4" w:rsidRDefault="007A514E" w:rsidP="007A514E">
            <w:pPr>
              <w:ind w:left="31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2AD4">
              <w:rPr>
                <w:rFonts w:cstheme="minorHAnsi"/>
                <w:b/>
                <w:sz w:val="20"/>
                <w:szCs w:val="20"/>
                <w:u w:val="single"/>
              </w:rPr>
              <w:t>Resources</w:t>
            </w:r>
          </w:p>
          <w:p w14:paraId="758F463E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Adult support (</w:t>
            </w:r>
            <w:proofErr w:type="gramStart"/>
            <w:r w:rsidRPr="002C2AD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2C2AD4">
              <w:rPr>
                <w:rFonts w:cstheme="minorHAnsi"/>
                <w:sz w:val="20"/>
                <w:szCs w:val="20"/>
              </w:rPr>
              <w:t xml:space="preserve"> additional modelling or explanation)</w:t>
            </w:r>
          </w:p>
          <w:p w14:paraId="1486C099" w14:textId="77777777" w:rsidR="007A514E" w:rsidRPr="002C2AD4" w:rsidRDefault="007A514E" w:rsidP="007A514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Peer support</w:t>
            </w:r>
          </w:p>
          <w:p w14:paraId="10975BAB" w14:textId="77777777" w:rsidR="007A514E" w:rsidRPr="002C2AD4" w:rsidRDefault="007A514E" w:rsidP="00E003A7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theme="minorHAnsi"/>
                <w:sz w:val="20"/>
                <w:szCs w:val="20"/>
              </w:rPr>
            </w:pPr>
            <w:r w:rsidRPr="002C2AD4">
              <w:rPr>
                <w:rFonts w:cstheme="minorHAnsi"/>
                <w:sz w:val="20"/>
                <w:szCs w:val="20"/>
              </w:rPr>
              <w:t>Check list of steps to complete (</w:t>
            </w:r>
            <w:proofErr w:type="gramStart"/>
            <w:r w:rsidRPr="002C2AD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2C2AD4">
              <w:rPr>
                <w:rFonts w:cstheme="minorHAnsi"/>
                <w:sz w:val="20"/>
                <w:szCs w:val="20"/>
              </w:rPr>
              <w:t xml:space="preserve"> on the flip chart or slides printed)</w:t>
            </w:r>
          </w:p>
          <w:p w14:paraId="19A4576F" w14:textId="77777777" w:rsidR="007A514E" w:rsidRPr="002C2AD4" w:rsidRDefault="007A514E" w:rsidP="007A51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2DC4A4C" w14:textId="77777777" w:rsidR="00C97C3C" w:rsidRDefault="00E56BA0"/>
    <w:sectPr w:rsidR="00C97C3C" w:rsidSect="00E26E82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2BB3" w14:textId="77777777" w:rsidR="007A514E" w:rsidRDefault="007A514E" w:rsidP="007A514E">
      <w:pPr>
        <w:spacing w:after="0" w:line="240" w:lineRule="auto"/>
      </w:pPr>
      <w:r>
        <w:separator/>
      </w:r>
    </w:p>
  </w:endnote>
  <w:endnote w:type="continuationSeparator" w:id="0">
    <w:p w14:paraId="2C926558" w14:textId="77777777" w:rsidR="007A514E" w:rsidRDefault="007A514E" w:rsidP="007A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3AF9" w14:textId="77777777" w:rsidR="007A514E" w:rsidRPr="002F213E" w:rsidRDefault="007A514E" w:rsidP="007A514E">
    <w:pPr>
      <w:jc w:val="right"/>
      <w:rPr>
        <w:rFonts w:ascii="Futura" w:eastAsia="MS Mincho" w:hAnsi="Futura" w:cs="Futura"/>
        <w:b/>
        <w:color w:val="76923C"/>
        <w:sz w:val="28"/>
        <w:szCs w:val="28"/>
        <w:lang w:val="en-US"/>
      </w:rPr>
    </w:pPr>
    <w:r w:rsidRPr="00C15625">
      <w:rPr>
        <w:i/>
        <w:sz w:val="20"/>
      </w:rPr>
      <w:t>“For I know the plans I have for you,” says the Lord… “Plans to give you hope and a future” Jeremiah 29:11</w:t>
    </w:r>
    <w:r>
      <w:rPr>
        <w:i/>
        <w:sz w:val="20"/>
      </w:rPr>
      <w:t xml:space="preserve">                                                                            </w:t>
    </w:r>
    <w:r w:rsidRPr="002F213E">
      <w:rPr>
        <w:rFonts w:ascii="Futura" w:eastAsia="MS Mincho" w:hAnsi="Futura" w:cs="Futura"/>
        <w:b/>
        <w:color w:val="76923C"/>
        <w:sz w:val="28"/>
        <w:szCs w:val="28"/>
        <w:lang w:val="en-US"/>
      </w:rPr>
      <w:t>Nurture, Grow, Flourish.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1D59" w14:textId="77777777" w:rsidR="007A514E" w:rsidRDefault="007A514E" w:rsidP="007A514E">
      <w:pPr>
        <w:spacing w:after="0" w:line="240" w:lineRule="auto"/>
      </w:pPr>
      <w:r>
        <w:separator/>
      </w:r>
    </w:p>
  </w:footnote>
  <w:footnote w:type="continuationSeparator" w:id="0">
    <w:p w14:paraId="5924D6B1" w14:textId="77777777" w:rsidR="007A514E" w:rsidRDefault="007A514E" w:rsidP="007A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C4A9" w14:textId="77777777" w:rsidR="007A514E" w:rsidRDefault="007A514E">
    <w:pPr>
      <w:pStyle w:val="Header"/>
    </w:pPr>
    <w:r w:rsidRPr="0034165D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98989FF" wp14:editId="2C8004AF">
          <wp:simplePos x="0" y="0"/>
          <wp:positionH relativeFrom="margin">
            <wp:posOffset>2101215</wp:posOffset>
          </wp:positionH>
          <wp:positionV relativeFrom="paragraph">
            <wp:posOffset>-108585</wp:posOffset>
          </wp:positionV>
          <wp:extent cx="1271270" cy="84518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est &amp; Sandridge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3C"/>
    <w:multiLevelType w:val="hybridMultilevel"/>
    <w:tmpl w:val="0B92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138"/>
    <w:multiLevelType w:val="hybridMultilevel"/>
    <w:tmpl w:val="339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410D"/>
    <w:multiLevelType w:val="hybridMultilevel"/>
    <w:tmpl w:val="B2B0B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94EA8"/>
    <w:multiLevelType w:val="hybridMultilevel"/>
    <w:tmpl w:val="749CEC4E"/>
    <w:lvl w:ilvl="0" w:tplc="E556B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352"/>
    <w:multiLevelType w:val="hybridMultilevel"/>
    <w:tmpl w:val="3658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3D7"/>
    <w:multiLevelType w:val="hybridMultilevel"/>
    <w:tmpl w:val="A838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3D8"/>
    <w:multiLevelType w:val="hybridMultilevel"/>
    <w:tmpl w:val="F3D6F1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7131189"/>
    <w:multiLevelType w:val="hybridMultilevel"/>
    <w:tmpl w:val="D99C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263C"/>
    <w:multiLevelType w:val="hybridMultilevel"/>
    <w:tmpl w:val="0D3AC4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63F0E"/>
    <w:multiLevelType w:val="hybridMultilevel"/>
    <w:tmpl w:val="6628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4161"/>
    <w:multiLevelType w:val="hybridMultilevel"/>
    <w:tmpl w:val="BF5A8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05AD9"/>
    <w:multiLevelType w:val="hybridMultilevel"/>
    <w:tmpl w:val="E1A6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0167"/>
    <w:multiLevelType w:val="hybridMultilevel"/>
    <w:tmpl w:val="0E62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3784"/>
    <w:multiLevelType w:val="hybridMultilevel"/>
    <w:tmpl w:val="294C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95EED"/>
    <w:multiLevelType w:val="hybridMultilevel"/>
    <w:tmpl w:val="E27A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A574C"/>
    <w:multiLevelType w:val="hybridMultilevel"/>
    <w:tmpl w:val="AB40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0F0E"/>
    <w:multiLevelType w:val="hybridMultilevel"/>
    <w:tmpl w:val="7C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4FD0"/>
    <w:multiLevelType w:val="hybridMultilevel"/>
    <w:tmpl w:val="2380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6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4E"/>
    <w:rsid w:val="00011988"/>
    <w:rsid w:val="001C75AD"/>
    <w:rsid w:val="001E2EEA"/>
    <w:rsid w:val="001F5A35"/>
    <w:rsid w:val="00206758"/>
    <w:rsid w:val="002136DF"/>
    <w:rsid w:val="002942EF"/>
    <w:rsid w:val="002C2AD4"/>
    <w:rsid w:val="002E75FB"/>
    <w:rsid w:val="003A3CA8"/>
    <w:rsid w:val="004E1BFE"/>
    <w:rsid w:val="00591014"/>
    <w:rsid w:val="005B636C"/>
    <w:rsid w:val="006747C0"/>
    <w:rsid w:val="00687BF3"/>
    <w:rsid w:val="006F7511"/>
    <w:rsid w:val="00781335"/>
    <w:rsid w:val="007A514E"/>
    <w:rsid w:val="007B4C19"/>
    <w:rsid w:val="007C3B1A"/>
    <w:rsid w:val="00845262"/>
    <w:rsid w:val="0085761D"/>
    <w:rsid w:val="008B3AA7"/>
    <w:rsid w:val="008B6FD3"/>
    <w:rsid w:val="009B0482"/>
    <w:rsid w:val="009D5E8C"/>
    <w:rsid w:val="00A53073"/>
    <w:rsid w:val="00AD2670"/>
    <w:rsid w:val="00B07EFF"/>
    <w:rsid w:val="00B9377A"/>
    <w:rsid w:val="00BA7D9F"/>
    <w:rsid w:val="00BD0964"/>
    <w:rsid w:val="00DB2EBB"/>
    <w:rsid w:val="00E26E82"/>
    <w:rsid w:val="00E56BA0"/>
    <w:rsid w:val="00E86BF4"/>
    <w:rsid w:val="00EA2265"/>
    <w:rsid w:val="00F37CBC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B203"/>
  <w15:chartTrackingRefBased/>
  <w15:docId w15:val="{9797D7AC-BAFB-4EAD-8948-A1AF3B1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4E"/>
    <w:pPr>
      <w:ind w:left="720"/>
      <w:contextualSpacing/>
    </w:pPr>
  </w:style>
  <w:style w:type="character" w:customStyle="1" w:styleId="e24kjd">
    <w:name w:val="e24kjd"/>
    <w:basedOn w:val="DefaultParagraphFont"/>
    <w:rsid w:val="007A514E"/>
  </w:style>
  <w:style w:type="table" w:styleId="TableGrid">
    <w:name w:val="Table Grid"/>
    <w:basedOn w:val="TableNormal"/>
    <w:uiPriority w:val="39"/>
    <w:rsid w:val="007A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4E"/>
  </w:style>
  <w:style w:type="paragraph" w:styleId="Footer">
    <w:name w:val="footer"/>
    <w:basedOn w:val="Normal"/>
    <w:link w:val="FooterChar"/>
    <w:uiPriority w:val="99"/>
    <w:unhideWhenUsed/>
    <w:rsid w:val="007A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4E"/>
  </w:style>
  <w:style w:type="character" w:styleId="Hyperlink">
    <w:name w:val="Hyperlink"/>
    <w:basedOn w:val="DefaultParagraphFont"/>
    <w:uiPriority w:val="99"/>
    <w:unhideWhenUsed/>
    <w:rsid w:val="007A51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7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EEB91-60B9-4352-908A-090B516DE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E203F-C20E-453C-A3D2-0F00497F2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E641-D82C-4325-95F6-C2282A90307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7b2ad515-d918-4703-882d-36803593d949"/>
    <ds:schemaRef ds:uri="http://schemas.microsoft.com/office/infopath/2007/PartnerControls"/>
    <ds:schemaRef ds:uri="http://schemas.openxmlformats.org/package/2006/metadata/core-properties"/>
    <ds:schemaRef ds:uri="ad3b63a2-84f3-45ac-b5aa-f84189c241e0"/>
  </ds:schemaRefs>
</ds:datastoreItem>
</file>

<file path=customXml/itemProps4.xml><?xml version="1.0" encoding="utf-8"?>
<ds:datastoreItem xmlns:ds="http://schemas.openxmlformats.org/officeDocument/2006/customXml" ds:itemID="{70324383-6C57-48CA-86E9-CCF5B203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Mead</dc:creator>
  <cp:keywords/>
  <dc:description/>
  <cp:lastModifiedBy>Harriet Prosser</cp:lastModifiedBy>
  <cp:revision>12</cp:revision>
  <dcterms:created xsi:type="dcterms:W3CDTF">2022-11-22T21:08:00Z</dcterms:created>
  <dcterms:modified xsi:type="dcterms:W3CDTF">2024-05-12T19:05:00Z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