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0D235" w14:textId="77777777" w:rsidR="00DD5845" w:rsidRDefault="00DD5845" w:rsidP="00DD5845">
      <w:pPr>
        <w:pStyle w:val="Heading3"/>
        <w:spacing w:before="197"/>
        <w:ind w:left="389"/>
      </w:pPr>
      <w:r>
        <w:t>CHARGING &amp; REMISSION POLICY</w:t>
      </w:r>
    </w:p>
    <w:p w14:paraId="4A3D274D" w14:textId="77777777" w:rsidR="00DD5845" w:rsidRDefault="00DD5845" w:rsidP="00DD5845">
      <w:pPr>
        <w:pStyle w:val="BodyText"/>
        <w:spacing w:before="144"/>
        <w:ind w:left="389" w:right="629"/>
      </w:pPr>
      <w:r>
        <w:t>Under the 1988 Education Act, the school can no longer charge for outside activities held during school time. However, charges may be made for the following:</w:t>
      </w:r>
    </w:p>
    <w:p w14:paraId="27198C1E" w14:textId="77777777" w:rsidR="00DD5845" w:rsidRDefault="00DD5845" w:rsidP="00DD5845">
      <w:pPr>
        <w:pStyle w:val="ListParagraph"/>
        <w:numPr>
          <w:ilvl w:val="1"/>
          <w:numId w:val="1"/>
        </w:numPr>
        <w:tabs>
          <w:tab w:val="left" w:pos="1469"/>
          <w:tab w:val="left" w:pos="1470"/>
        </w:tabs>
        <w:spacing w:before="118"/>
        <w:ind w:hanging="361"/>
      </w:pPr>
      <w:r>
        <w:t>Individual extra-curricular music</w:t>
      </w:r>
      <w:r>
        <w:rPr>
          <w:spacing w:val="-18"/>
        </w:rPr>
        <w:t xml:space="preserve"> </w:t>
      </w:r>
      <w:r>
        <w:t>tuition</w:t>
      </w:r>
    </w:p>
    <w:p w14:paraId="1A2117E5" w14:textId="77777777" w:rsidR="00DD5845" w:rsidRDefault="00DD5845" w:rsidP="00DD5845">
      <w:pPr>
        <w:pStyle w:val="ListParagraph"/>
        <w:numPr>
          <w:ilvl w:val="1"/>
          <w:numId w:val="1"/>
        </w:numPr>
        <w:tabs>
          <w:tab w:val="left" w:pos="1469"/>
          <w:tab w:val="left" w:pos="1470"/>
        </w:tabs>
        <w:spacing w:before="1"/>
        <w:ind w:hanging="361"/>
      </w:pPr>
      <w:r>
        <w:t>Board</w:t>
      </w:r>
      <w:r>
        <w:rPr>
          <w:spacing w:val="-4"/>
        </w:rPr>
        <w:t xml:space="preserve"> </w:t>
      </w:r>
      <w:r>
        <w:t>and</w:t>
      </w:r>
      <w:r>
        <w:rPr>
          <w:spacing w:val="-3"/>
        </w:rPr>
        <w:t xml:space="preserve"> </w:t>
      </w:r>
      <w:r>
        <w:t>lodging</w:t>
      </w:r>
      <w:r>
        <w:rPr>
          <w:spacing w:val="-4"/>
        </w:rPr>
        <w:t xml:space="preserve"> </w:t>
      </w:r>
      <w:r>
        <w:t>where</w:t>
      </w:r>
      <w:r>
        <w:rPr>
          <w:spacing w:val="-4"/>
        </w:rPr>
        <w:t xml:space="preserve"> </w:t>
      </w:r>
      <w:r>
        <w:t>a</w:t>
      </w:r>
      <w:r>
        <w:rPr>
          <w:spacing w:val="-6"/>
        </w:rPr>
        <w:t xml:space="preserve"> </w:t>
      </w:r>
      <w:r>
        <w:t>school activity</w:t>
      </w:r>
      <w:r>
        <w:rPr>
          <w:spacing w:val="-4"/>
        </w:rPr>
        <w:t xml:space="preserve"> </w:t>
      </w:r>
      <w:proofErr w:type="gramStart"/>
      <w:r>
        <w:t>involves</w:t>
      </w:r>
      <w:proofErr w:type="gramEnd"/>
      <w:r>
        <w:rPr>
          <w:spacing w:val="1"/>
        </w:rPr>
        <w:t xml:space="preserve"> </w:t>
      </w:r>
      <w:r>
        <w:t>a</w:t>
      </w:r>
      <w:r>
        <w:rPr>
          <w:spacing w:val="-1"/>
        </w:rPr>
        <w:t xml:space="preserve"> </w:t>
      </w:r>
      <w:r>
        <w:t>residential</w:t>
      </w:r>
      <w:r>
        <w:rPr>
          <w:spacing w:val="-3"/>
        </w:rPr>
        <w:t xml:space="preserve"> </w:t>
      </w:r>
      <w:r>
        <w:t>element</w:t>
      </w:r>
      <w:r>
        <w:rPr>
          <w:spacing w:val="-4"/>
        </w:rPr>
        <w:t xml:space="preserve"> </w:t>
      </w:r>
      <w:r>
        <w:t>(e.g.</w:t>
      </w:r>
      <w:r>
        <w:rPr>
          <w:spacing w:val="-5"/>
        </w:rPr>
        <w:t xml:space="preserve"> </w:t>
      </w:r>
      <w:r>
        <w:t>Derwent Hill)</w:t>
      </w:r>
    </w:p>
    <w:p w14:paraId="029E5A20" w14:textId="77777777" w:rsidR="00DD5845" w:rsidRDefault="00DD5845" w:rsidP="00DD5845">
      <w:pPr>
        <w:pStyle w:val="ListParagraph"/>
        <w:numPr>
          <w:ilvl w:val="1"/>
          <w:numId w:val="1"/>
        </w:numPr>
        <w:tabs>
          <w:tab w:val="left" w:pos="1469"/>
          <w:tab w:val="left" w:pos="1470"/>
        </w:tabs>
        <w:ind w:hanging="361"/>
      </w:pPr>
      <w:r>
        <w:t>The</w:t>
      </w:r>
      <w:r>
        <w:rPr>
          <w:spacing w:val="-3"/>
        </w:rPr>
        <w:t xml:space="preserve"> </w:t>
      </w:r>
      <w:r>
        <w:t>exact</w:t>
      </w:r>
      <w:r>
        <w:rPr>
          <w:spacing w:val="-5"/>
        </w:rPr>
        <w:t xml:space="preserve"> </w:t>
      </w:r>
      <w:r>
        <w:t>cost</w:t>
      </w:r>
      <w:r>
        <w:rPr>
          <w:spacing w:val="-4"/>
        </w:rPr>
        <w:t xml:space="preserve"> </w:t>
      </w:r>
      <w:r>
        <w:t>of</w:t>
      </w:r>
      <w:r>
        <w:rPr>
          <w:spacing w:val="-3"/>
        </w:rPr>
        <w:t xml:space="preserve"> </w:t>
      </w:r>
      <w:r>
        <w:t>‘optional</w:t>
      </w:r>
      <w:r>
        <w:rPr>
          <w:spacing w:val="-8"/>
        </w:rPr>
        <w:t xml:space="preserve"> </w:t>
      </w:r>
      <w:r>
        <w:t>extras’</w:t>
      </w:r>
      <w:r>
        <w:rPr>
          <w:spacing w:val="-4"/>
        </w:rPr>
        <w:t xml:space="preserve"> </w:t>
      </w:r>
      <w:r>
        <w:t>i.e.</w:t>
      </w:r>
      <w:r>
        <w:rPr>
          <w:spacing w:val="-3"/>
        </w:rPr>
        <w:t xml:space="preserve"> </w:t>
      </w:r>
      <w:r>
        <w:t>things not</w:t>
      </w:r>
      <w:r>
        <w:rPr>
          <w:spacing w:val="-2"/>
        </w:rPr>
        <w:t xml:space="preserve"> </w:t>
      </w:r>
      <w:r>
        <w:t>connected</w:t>
      </w:r>
      <w:r>
        <w:rPr>
          <w:spacing w:val="-3"/>
        </w:rPr>
        <w:t xml:space="preserve"> </w:t>
      </w:r>
      <w:r>
        <w:t>directly</w:t>
      </w:r>
      <w:r>
        <w:rPr>
          <w:spacing w:val="-4"/>
        </w:rPr>
        <w:t xml:space="preserve"> </w:t>
      </w:r>
      <w:r>
        <w:t>with</w:t>
      </w:r>
      <w:r>
        <w:rPr>
          <w:spacing w:val="-2"/>
        </w:rPr>
        <w:t xml:space="preserve"> </w:t>
      </w:r>
      <w:r>
        <w:t>the</w:t>
      </w:r>
      <w:r>
        <w:rPr>
          <w:spacing w:val="-5"/>
        </w:rPr>
        <w:t xml:space="preserve"> </w:t>
      </w:r>
      <w:r>
        <w:t>National</w:t>
      </w:r>
      <w:r>
        <w:rPr>
          <w:spacing w:val="-1"/>
        </w:rPr>
        <w:t xml:space="preserve"> </w:t>
      </w:r>
      <w:r>
        <w:t>Curriculum.</w:t>
      </w:r>
    </w:p>
    <w:p w14:paraId="0FF43E5E" w14:textId="77777777" w:rsidR="00DD5845" w:rsidRDefault="00DD5845" w:rsidP="00DD5845">
      <w:pPr>
        <w:pStyle w:val="BodyText"/>
        <w:spacing w:before="1"/>
      </w:pPr>
    </w:p>
    <w:p w14:paraId="28094D3B" w14:textId="77777777" w:rsidR="00DD5845" w:rsidRDefault="00DD5845" w:rsidP="00DD5845">
      <w:pPr>
        <w:pStyle w:val="BodyText"/>
        <w:ind w:left="389" w:right="490"/>
        <w:jc w:val="both"/>
      </w:pPr>
      <w:r>
        <w:t>It cannot be stressed enough how important educational visits are as an aid to learning. Prior to each visit parents will receive a letter advising of the costs of a visit i.e. venue, transport etc. payable per child. Voluntary donations will be welcomed.</w:t>
      </w:r>
    </w:p>
    <w:p w14:paraId="07E499F1" w14:textId="77777777" w:rsidR="00DD5845" w:rsidRDefault="00DD5845" w:rsidP="00DD5845">
      <w:pPr>
        <w:pStyle w:val="BodyText"/>
        <w:spacing w:before="6"/>
        <w:rPr>
          <w:sz w:val="29"/>
        </w:rPr>
      </w:pPr>
    </w:p>
    <w:p w14:paraId="67F26D4B" w14:textId="77777777" w:rsidR="00DD5845" w:rsidRDefault="00DD5845" w:rsidP="00DD5845">
      <w:pPr>
        <w:pStyle w:val="BodyText"/>
        <w:spacing w:before="1"/>
        <w:ind w:left="389" w:right="490"/>
        <w:jc w:val="both"/>
      </w:pPr>
      <w:proofErr w:type="gramStart"/>
      <w:r>
        <w:t>If</w:t>
      </w:r>
      <w:proofErr w:type="gramEnd"/>
      <w:r>
        <w:t xml:space="preserve"> however, after all donations have been received, the school cannot meet the cost of the visit, it may </w:t>
      </w:r>
      <w:r>
        <w:rPr>
          <w:spacing w:val="-2"/>
        </w:rPr>
        <w:t xml:space="preserve">not </w:t>
      </w:r>
      <w:r>
        <w:t xml:space="preserve">be able to go ahead. No child will be discriminated against if the parent is unable to </w:t>
      </w:r>
      <w:proofErr w:type="gramStart"/>
      <w:r>
        <w:t>make a contribution</w:t>
      </w:r>
      <w:proofErr w:type="gramEnd"/>
      <w:r>
        <w:t xml:space="preserve"> and we do have specific funding allocated to support pupils and parents in particular circumstances e.g. Free School Meals and Ever6. We do thank and appreciate parents for their financial support to</w:t>
      </w:r>
      <w:r>
        <w:rPr>
          <w:spacing w:val="12"/>
        </w:rPr>
        <w:t xml:space="preserve"> </w:t>
      </w:r>
      <w:r>
        <w:t>date.</w:t>
      </w:r>
    </w:p>
    <w:p w14:paraId="5A57BFAB" w14:textId="77777777" w:rsidR="00DD5845" w:rsidRDefault="00DD5845" w:rsidP="00DD5845">
      <w:pPr>
        <w:pStyle w:val="BodyText"/>
        <w:spacing w:before="8"/>
        <w:rPr>
          <w:sz w:val="16"/>
        </w:rPr>
      </w:pPr>
      <w:r>
        <w:rPr>
          <w:noProof/>
        </w:rPr>
        <w:drawing>
          <wp:anchor distT="0" distB="0" distL="0" distR="0" simplePos="0" relativeHeight="251659264" behindDoc="0" locked="0" layoutInCell="1" allowOverlap="1" wp14:anchorId="73980647" wp14:editId="2A35C748">
            <wp:simplePos x="0" y="0"/>
            <wp:positionH relativeFrom="page">
              <wp:posOffset>1622425</wp:posOffset>
            </wp:positionH>
            <wp:positionV relativeFrom="paragraph">
              <wp:posOffset>153987</wp:posOffset>
            </wp:positionV>
            <wp:extent cx="4400308" cy="2967228"/>
            <wp:effectExtent l="0" t="0" r="0" b="0"/>
            <wp:wrapTopAndBottom/>
            <wp:docPr id="7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6.jpeg"/>
                    <pic:cNvPicPr/>
                  </pic:nvPicPr>
                  <pic:blipFill>
                    <a:blip r:embed="rId5" cstate="print"/>
                    <a:stretch>
                      <a:fillRect/>
                    </a:stretch>
                  </pic:blipFill>
                  <pic:spPr>
                    <a:xfrm>
                      <a:off x="0" y="0"/>
                      <a:ext cx="4400308" cy="2967228"/>
                    </a:xfrm>
                    <a:prstGeom prst="rect">
                      <a:avLst/>
                    </a:prstGeom>
                  </pic:spPr>
                </pic:pic>
              </a:graphicData>
            </a:graphic>
          </wp:anchor>
        </w:drawing>
      </w:r>
    </w:p>
    <w:p w14:paraId="7360F2C3" w14:textId="77777777" w:rsidR="00DD5845" w:rsidRDefault="00DD5845" w:rsidP="00DD5845">
      <w:pPr>
        <w:pStyle w:val="BodyText"/>
      </w:pPr>
    </w:p>
    <w:p w14:paraId="694E1567" w14:textId="77777777" w:rsidR="00DD5845" w:rsidRDefault="00DD5845" w:rsidP="00DD5845">
      <w:pPr>
        <w:pStyle w:val="BodyText"/>
      </w:pPr>
    </w:p>
    <w:p w14:paraId="1ED81A9E" w14:textId="77777777" w:rsidR="00DD5845" w:rsidRDefault="00DD5845">
      <w:bookmarkStart w:id="0" w:name="_GoBack"/>
      <w:bookmarkEnd w:id="0"/>
    </w:p>
    <w:sectPr w:rsidR="00DD5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B29F0"/>
    <w:multiLevelType w:val="hybridMultilevel"/>
    <w:tmpl w:val="2AAC8B5C"/>
    <w:lvl w:ilvl="0" w:tplc="BF1AD900">
      <w:numFmt w:val="bullet"/>
      <w:lvlText w:val=""/>
      <w:lvlJc w:val="left"/>
      <w:pPr>
        <w:ind w:left="389" w:hanging="363"/>
      </w:pPr>
      <w:rPr>
        <w:rFonts w:ascii="Wingdings" w:eastAsia="Wingdings" w:hAnsi="Wingdings" w:cs="Wingdings" w:hint="default"/>
        <w:w w:val="243"/>
        <w:sz w:val="24"/>
        <w:szCs w:val="24"/>
        <w:lang w:val="en-US" w:eastAsia="en-US" w:bidi="ar-SA"/>
      </w:rPr>
    </w:lvl>
    <w:lvl w:ilvl="1" w:tplc="57E08400">
      <w:numFmt w:val="bullet"/>
      <w:lvlText w:val=""/>
      <w:lvlJc w:val="left"/>
      <w:pPr>
        <w:ind w:left="1469" w:hanging="360"/>
      </w:pPr>
      <w:rPr>
        <w:rFonts w:ascii="Symbol" w:eastAsia="Symbol" w:hAnsi="Symbol" w:cs="Symbol" w:hint="default"/>
        <w:w w:val="100"/>
        <w:sz w:val="22"/>
        <w:szCs w:val="22"/>
        <w:lang w:val="en-US" w:eastAsia="en-US" w:bidi="ar-SA"/>
      </w:rPr>
    </w:lvl>
    <w:lvl w:ilvl="2" w:tplc="63DEB074">
      <w:numFmt w:val="bullet"/>
      <w:lvlText w:val="•"/>
      <w:lvlJc w:val="left"/>
      <w:pPr>
        <w:ind w:left="2474" w:hanging="360"/>
      </w:pPr>
      <w:rPr>
        <w:rFonts w:hint="default"/>
        <w:lang w:val="en-US" w:eastAsia="en-US" w:bidi="ar-SA"/>
      </w:rPr>
    </w:lvl>
    <w:lvl w:ilvl="3" w:tplc="00867666">
      <w:numFmt w:val="bullet"/>
      <w:lvlText w:val="•"/>
      <w:lvlJc w:val="left"/>
      <w:pPr>
        <w:ind w:left="3489" w:hanging="360"/>
      </w:pPr>
      <w:rPr>
        <w:rFonts w:hint="default"/>
        <w:lang w:val="en-US" w:eastAsia="en-US" w:bidi="ar-SA"/>
      </w:rPr>
    </w:lvl>
    <w:lvl w:ilvl="4" w:tplc="C3646F8C">
      <w:numFmt w:val="bullet"/>
      <w:lvlText w:val="•"/>
      <w:lvlJc w:val="left"/>
      <w:pPr>
        <w:ind w:left="4503" w:hanging="360"/>
      </w:pPr>
      <w:rPr>
        <w:rFonts w:hint="default"/>
        <w:lang w:val="en-US" w:eastAsia="en-US" w:bidi="ar-SA"/>
      </w:rPr>
    </w:lvl>
    <w:lvl w:ilvl="5" w:tplc="C6DC988A">
      <w:numFmt w:val="bullet"/>
      <w:lvlText w:val="•"/>
      <w:lvlJc w:val="left"/>
      <w:pPr>
        <w:ind w:left="5518" w:hanging="360"/>
      </w:pPr>
      <w:rPr>
        <w:rFonts w:hint="default"/>
        <w:lang w:val="en-US" w:eastAsia="en-US" w:bidi="ar-SA"/>
      </w:rPr>
    </w:lvl>
    <w:lvl w:ilvl="6" w:tplc="54EA2534">
      <w:numFmt w:val="bullet"/>
      <w:lvlText w:val="•"/>
      <w:lvlJc w:val="left"/>
      <w:pPr>
        <w:ind w:left="6532" w:hanging="360"/>
      </w:pPr>
      <w:rPr>
        <w:rFonts w:hint="default"/>
        <w:lang w:val="en-US" w:eastAsia="en-US" w:bidi="ar-SA"/>
      </w:rPr>
    </w:lvl>
    <w:lvl w:ilvl="7" w:tplc="B45A856C">
      <w:numFmt w:val="bullet"/>
      <w:lvlText w:val="•"/>
      <w:lvlJc w:val="left"/>
      <w:pPr>
        <w:ind w:left="7547" w:hanging="360"/>
      </w:pPr>
      <w:rPr>
        <w:rFonts w:hint="default"/>
        <w:lang w:val="en-US" w:eastAsia="en-US" w:bidi="ar-SA"/>
      </w:rPr>
    </w:lvl>
    <w:lvl w:ilvl="8" w:tplc="E7D0CBB6">
      <w:numFmt w:val="bullet"/>
      <w:lvlText w:val="•"/>
      <w:lvlJc w:val="left"/>
      <w:pPr>
        <w:ind w:left="856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45"/>
    <w:rsid w:val="00D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15D4"/>
  <w15:chartTrackingRefBased/>
  <w15:docId w15:val="{BCB97C88-C891-4CE9-8118-5E98712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DD5845"/>
    <w:pPr>
      <w:widowControl w:val="0"/>
      <w:autoSpaceDE w:val="0"/>
      <w:autoSpaceDN w:val="0"/>
      <w:spacing w:after="0" w:line="240" w:lineRule="auto"/>
      <w:ind w:left="333"/>
      <w:outlineLvl w:val="2"/>
    </w:pPr>
    <w:rPr>
      <w:rFonts w:ascii="Carlito" w:eastAsia="Carlito" w:hAnsi="Carlito" w:cs="Carlito"/>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5845"/>
    <w:rPr>
      <w:rFonts w:ascii="Carlito" w:eastAsia="Carlito" w:hAnsi="Carlito" w:cs="Carlito"/>
      <w:b/>
      <w:bCs/>
      <w:sz w:val="32"/>
      <w:szCs w:val="32"/>
      <w:lang w:val="en-US"/>
    </w:rPr>
  </w:style>
  <w:style w:type="paragraph" w:styleId="BodyText">
    <w:name w:val="Body Text"/>
    <w:basedOn w:val="Normal"/>
    <w:link w:val="BodyTextChar"/>
    <w:uiPriority w:val="1"/>
    <w:qFormat/>
    <w:rsid w:val="00DD5845"/>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DD5845"/>
    <w:rPr>
      <w:rFonts w:ascii="Carlito" w:eastAsia="Carlito" w:hAnsi="Carlito" w:cs="Carlito"/>
      <w:lang w:val="en-US"/>
    </w:rPr>
  </w:style>
  <w:style w:type="paragraph" w:styleId="ListParagraph">
    <w:name w:val="List Paragraph"/>
    <w:basedOn w:val="Normal"/>
    <w:uiPriority w:val="1"/>
    <w:qFormat/>
    <w:rsid w:val="00DD5845"/>
    <w:pPr>
      <w:widowControl w:val="0"/>
      <w:autoSpaceDE w:val="0"/>
      <w:autoSpaceDN w:val="0"/>
      <w:spacing w:after="0" w:line="240" w:lineRule="auto"/>
      <w:ind w:left="600" w:hanging="364"/>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Hill</dc:creator>
  <cp:keywords/>
  <dc:description/>
  <cp:lastModifiedBy>Lucy Hill</cp:lastModifiedBy>
  <cp:revision>1</cp:revision>
  <dcterms:created xsi:type="dcterms:W3CDTF">2021-07-12T09:34:00Z</dcterms:created>
  <dcterms:modified xsi:type="dcterms:W3CDTF">2021-07-12T09:34:00Z</dcterms:modified>
</cp:coreProperties>
</file>