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DF91" w14:textId="77777777" w:rsidR="008407B3" w:rsidRDefault="00956891">
      <w:pPr>
        <w:pStyle w:val="Heading1"/>
      </w:pPr>
      <w:r>
        <w:t>Music Development Plan Summary</w:t>
      </w:r>
    </w:p>
    <w:p w14:paraId="084D87B5" w14:textId="2DDB9DBE" w:rsidR="008407B3" w:rsidRDefault="00956891">
      <w:r>
        <w:t xml:space="preserve">School Name: Fulwell Junior School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04"/>
        <w:gridCol w:w="3616"/>
      </w:tblGrid>
      <w:tr w:rsidR="00B3266B" w:rsidRPr="00B3266B" w14:paraId="268D7645" w14:textId="77777777">
        <w:trPr>
          <w:trHeight w:val="300"/>
        </w:trPr>
        <w:tc>
          <w:tcPr>
            <w:tcW w:w="5520" w:type="dxa"/>
            <w:tcBorders>
              <w:top w:val="single" w:sz="8" w:space="0" w:color="000000"/>
              <w:left w:val="single" w:sz="8" w:space="0" w:color="000000"/>
              <w:bottom w:val="single" w:sz="8" w:space="0" w:color="000000"/>
              <w:right w:val="single" w:sz="8" w:space="0" w:color="000000"/>
            </w:tcBorders>
            <w:shd w:val="clear" w:color="auto" w:fill="CFDCE3"/>
            <w:hideMark/>
          </w:tcPr>
          <w:p w14:paraId="2FFC904E"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Detail </w:t>
            </w:r>
          </w:p>
        </w:tc>
        <w:tc>
          <w:tcPr>
            <w:tcW w:w="3960" w:type="dxa"/>
            <w:tcBorders>
              <w:top w:val="single" w:sz="8" w:space="0" w:color="000000"/>
              <w:left w:val="nil"/>
              <w:bottom w:val="single" w:sz="8" w:space="0" w:color="000000"/>
              <w:right w:val="single" w:sz="8" w:space="0" w:color="000000"/>
            </w:tcBorders>
            <w:shd w:val="clear" w:color="auto" w:fill="CFDCE3"/>
            <w:hideMark/>
          </w:tcPr>
          <w:p w14:paraId="0738BBE8"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Information </w:t>
            </w:r>
          </w:p>
        </w:tc>
      </w:tr>
      <w:tr w:rsidR="00B3266B" w:rsidRPr="00B3266B" w14:paraId="03D2A75E" w14:textId="77777777">
        <w:trPr>
          <w:trHeight w:val="300"/>
        </w:trPr>
        <w:tc>
          <w:tcPr>
            <w:tcW w:w="5520" w:type="dxa"/>
            <w:tcBorders>
              <w:top w:val="nil"/>
              <w:left w:val="single" w:sz="8" w:space="0" w:color="000000"/>
              <w:bottom w:val="single" w:sz="8" w:space="0" w:color="000000"/>
              <w:right w:val="single" w:sz="8" w:space="0" w:color="000000"/>
            </w:tcBorders>
            <w:shd w:val="clear" w:color="auto" w:fill="FFFFFF"/>
            <w:hideMark/>
          </w:tcPr>
          <w:p w14:paraId="1BFEF761"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Academic year that this summary covers </w:t>
            </w:r>
          </w:p>
        </w:tc>
        <w:tc>
          <w:tcPr>
            <w:tcW w:w="3960" w:type="dxa"/>
            <w:tcBorders>
              <w:top w:val="nil"/>
              <w:left w:val="nil"/>
              <w:bottom w:val="single" w:sz="8" w:space="0" w:color="000000"/>
              <w:right w:val="single" w:sz="8" w:space="0" w:color="000000"/>
            </w:tcBorders>
            <w:shd w:val="clear" w:color="auto" w:fill="FFFFFF"/>
            <w:hideMark/>
          </w:tcPr>
          <w:p w14:paraId="1F651490" w14:textId="67BBA0B5" w:rsidR="00B3266B" w:rsidRPr="00B3266B" w:rsidRDefault="00B3266B" w:rsidP="00B3266B">
            <w:pPr>
              <w:pStyle w:val="Heading2"/>
              <w:rPr>
                <w:rFonts w:asciiTheme="minorHAnsi" w:hAnsiTheme="minorHAnsi"/>
                <w:color w:val="000000" w:themeColor="text1"/>
                <w:lang w:val="en-GB"/>
              </w:rPr>
            </w:pPr>
            <w:r w:rsidRPr="00B3266B">
              <w:rPr>
                <w:rFonts w:asciiTheme="minorHAnsi" w:hAnsiTheme="minorHAnsi"/>
                <w:color w:val="000000" w:themeColor="text1"/>
                <w:lang w:val="en-GB"/>
              </w:rPr>
              <w:t> </w:t>
            </w:r>
            <w:r w:rsidRPr="00B3266B">
              <w:rPr>
                <w:rFonts w:asciiTheme="minorHAnsi" w:hAnsiTheme="minorHAnsi"/>
                <w:color w:val="000000" w:themeColor="text1"/>
                <w:lang w:val="en-GB"/>
              </w:rPr>
              <w:t>2025 - 2026</w:t>
            </w:r>
          </w:p>
        </w:tc>
      </w:tr>
      <w:tr w:rsidR="00B3266B" w:rsidRPr="00B3266B" w14:paraId="53B1112A" w14:textId="77777777">
        <w:trPr>
          <w:trHeight w:val="300"/>
        </w:trPr>
        <w:tc>
          <w:tcPr>
            <w:tcW w:w="5520" w:type="dxa"/>
            <w:tcBorders>
              <w:top w:val="nil"/>
              <w:left w:val="single" w:sz="8" w:space="0" w:color="000000"/>
              <w:bottom w:val="single" w:sz="8" w:space="0" w:color="000000"/>
              <w:right w:val="single" w:sz="8" w:space="0" w:color="000000"/>
            </w:tcBorders>
            <w:shd w:val="clear" w:color="auto" w:fill="FFFFFF"/>
            <w:hideMark/>
          </w:tcPr>
          <w:p w14:paraId="436B6676"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Date this summary was published </w:t>
            </w:r>
          </w:p>
        </w:tc>
        <w:tc>
          <w:tcPr>
            <w:tcW w:w="3960" w:type="dxa"/>
            <w:tcBorders>
              <w:top w:val="nil"/>
              <w:left w:val="nil"/>
              <w:bottom w:val="single" w:sz="8" w:space="0" w:color="000000"/>
              <w:right w:val="single" w:sz="8" w:space="0" w:color="000000"/>
            </w:tcBorders>
            <w:shd w:val="clear" w:color="auto" w:fill="FFFFFF"/>
            <w:hideMark/>
          </w:tcPr>
          <w:p w14:paraId="0A46A83E" w14:textId="65481D18" w:rsidR="00B3266B" w:rsidRPr="00B3266B" w:rsidRDefault="00B3266B" w:rsidP="00B3266B">
            <w:pPr>
              <w:pStyle w:val="Heading2"/>
              <w:rPr>
                <w:rFonts w:asciiTheme="minorHAnsi" w:hAnsiTheme="minorHAnsi"/>
                <w:color w:val="000000" w:themeColor="text1"/>
                <w:lang w:val="en-GB"/>
              </w:rPr>
            </w:pPr>
            <w:r w:rsidRPr="00B3266B">
              <w:rPr>
                <w:rFonts w:asciiTheme="minorHAnsi" w:hAnsiTheme="minorHAnsi"/>
                <w:color w:val="000000" w:themeColor="text1"/>
                <w:lang w:val="en-GB"/>
              </w:rPr>
              <w:t> </w:t>
            </w:r>
            <w:r w:rsidRPr="00B3266B">
              <w:rPr>
                <w:rFonts w:asciiTheme="minorHAnsi" w:hAnsiTheme="minorHAnsi"/>
                <w:color w:val="000000" w:themeColor="text1"/>
                <w:lang w:val="en-GB"/>
              </w:rPr>
              <w:t>20.2.26</w:t>
            </w:r>
          </w:p>
        </w:tc>
      </w:tr>
      <w:tr w:rsidR="00B3266B" w:rsidRPr="00B3266B" w14:paraId="22BD07D0" w14:textId="77777777">
        <w:trPr>
          <w:trHeight w:val="300"/>
        </w:trPr>
        <w:tc>
          <w:tcPr>
            <w:tcW w:w="5520" w:type="dxa"/>
            <w:tcBorders>
              <w:top w:val="nil"/>
              <w:left w:val="single" w:sz="8" w:space="0" w:color="000000"/>
              <w:bottom w:val="single" w:sz="8" w:space="0" w:color="000000"/>
              <w:right w:val="single" w:sz="8" w:space="0" w:color="000000"/>
            </w:tcBorders>
            <w:shd w:val="clear" w:color="auto" w:fill="FFFFFF"/>
            <w:hideMark/>
          </w:tcPr>
          <w:p w14:paraId="4AEC4C67"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Date this summary will be reviewed </w:t>
            </w:r>
          </w:p>
        </w:tc>
        <w:tc>
          <w:tcPr>
            <w:tcW w:w="3960" w:type="dxa"/>
            <w:tcBorders>
              <w:top w:val="nil"/>
              <w:left w:val="nil"/>
              <w:bottom w:val="single" w:sz="8" w:space="0" w:color="000000"/>
              <w:right w:val="single" w:sz="8" w:space="0" w:color="000000"/>
            </w:tcBorders>
            <w:shd w:val="clear" w:color="auto" w:fill="FFFFFF"/>
            <w:hideMark/>
          </w:tcPr>
          <w:p w14:paraId="663BE495" w14:textId="11D9C878" w:rsidR="00B3266B" w:rsidRPr="00B3266B" w:rsidRDefault="00B3266B" w:rsidP="00B3266B">
            <w:pPr>
              <w:pStyle w:val="Heading2"/>
              <w:rPr>
                <w:rFonts w:asciiTheme="minorHAnsi" w:hAnsiTheme="minorHAnsi"/>
                <w:color w:val="000000" w:themeColor="text1"/>
                <w:lang w:val="en-GB"/>
              </w:rPr>
            </w:pPr>
            <w:r w:rsidRPr="00B3266B">
              <w:rPr>
                <w:rFonts w:asciiTheme="minorHAnsi" w:hAnsiTheme="minorHAnsi"/>
                <w:color w:val="000000" w:themeColor="text1"/>
                <w:lang w:val="en-GB"/>
              </w:rPr>
              <w:t> </w:t>
            </w:r>
            <w:r w:rsidRPr="00B3266B">
              <w:rPr>
                <w:rFonts w:asciiTheme="minorHAnsi" w:hAnsiTheme="minorHAnsi"/>
                <w:color w:val="000000" w:themeColor="text1"/>
                <w:lang w:val="en-GB"/>
              </w:rPr>
              <w:t>9.9.26</w:t>
            </w:r>
          </w:p>
        </w:tc>
      </w:tr>
      <w:tr w:rsidR="00B3266B" w:rsidRPr="00B3266B" w14:paraId="6E107542" w14:textId="77777777">
        <w:trPr>
          <w:trHeight w:val="300"/>
        </w:trPr>
        <w:tc>
          <w:tcPr>
            <w:tcW w:w="5520" w:type="dxa"/>
            <w:tcBorders>
              <w:top w:val="nil"/>
              <w:left w:val="single" w:sz="8" w:space="0" w:color="000000"/>
              <w:bottom w:val="single" w:sz="8" w:space="0" w:color="000000"/>
              <w:right w:val="single" w:sz="8" w:space="0" w:color="000000"/>
            </w:tcBorders>
            <w:shd w:val="clear" w:color="auto" w:fill="FFFFFF"/>
            <w:hideMark/>
          </w:tcPr>
          <w:p w14:paraId="48E18EAE"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Name of the school music lead </w:t>
            </w:r>
          </w:p>
        </w:tc>
        <w:tc>
          <w:tcPr>
            <w:tcW w:w="3960" w:type="dxa"/>
            <w:tcBorders>
              <w:top w:val="nil"/>
              <w:left w:val="nil"/>
              <w:bottom w:val="single" w:sz="8" w:space="0" w:color="000000"/>
              <w:right w:val="single" w:sz="8" w:space="0" w:color="000000"/>
            </w:tcBorders>
            <w:shd w:val="clear" w:color="auto" w:fill="FFFFFF"/>
            <w:hideMark/>
          </w:tcPr>
          <w:p w14:paraId="102B7411" w14:textId="20980FC0" w:rsidR="00B3266B" w:rsidRPr="00B3266B" w:rsidRDefault="00B3266B" w:rsidP="00B3266B">
            <w:pPr>
              <w:pStyle w:val="Heading2"/>
              <w:rPr>
                <w:rFonts w:asciiTheme="minorHAnsi" w:hAnsiTheme="minorHAnsi"/>
                <w:color w:val="000000" w:themeColor="text1"/>
                <w:lang w:val="en-GB"/>
              </w:rPr>
            </w:pPr>
            <w:r w:rsidRPr="00B3266B">
              <w:rPr>
                <w:rFonts w:asciiTheme="minorHAnsi" w:hAnsiTheme="minorHAnsi"/>
                <w:color w:val="000000" w:themeColor="text1"/>
                <w:lang w:val="en-GB"/>
              </w:rPr>
              <w:t> </w:t>
            </w:r>
            <w:r w:rsidRPr="00B3266B">
              <w:rPr>
                <w:rFonts w:asciiTheme="minorHAnsi" w:hAnsiTheme="minorHAnsi"/>
                <w:color w:val="000000" w:themeColor="text1"/>
                <w:lang w:val="en-GB"/>
              </w:rPr>
              <w:t>Jane Lazenby</w:t>
            </w:r>
          </w:p>
        </w:tc>
      </w:tr>
      <w:tr w:rsidR="00B3266B" w:rsidRPr="00B3266B" w14:paraId="480F2562" w14:textId="77777777">
        <w:trPr>
          <w:trHeight w:val="300"/>
        </w:trPr>
        <w:tc>
          <w:tcPr>
            <w:tcW w:w="5520" w:type="dxa"/>
            <w:tcBorders>
              <w:top w:val="nil"/>
              <w:left w:val="single" w:sz="8" w:space="0" w:color="000000"/>
              <w:bottom w:val="single" w:sz="8" w:space="0" w:color="000000"/>
              <w:right w:val="single" w:sz="8" w:space="0" w:color="000000"/>
            </w:tcBorders>
            <w:shd w:val="clear" w:color="auto" w:fill="FFFFFF"/>
            <w:hideMark/>
          </w:tcPr>
          <w:p w14:paraId="086F50F4"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Name of school leadership team member with responsibility for music (if different) </w:t>
            </w:r>
          </w:p>
        </w:tc>
        <w:tc>
          <w:tcPr>
            <w:tcW w:w="3960" w:type="dxa"/>
            <w:tcBorders>
              <w:top w:val="nil"/>
              <w:left w:val="nil"/>
              <w:bottom w:val="single" w:sz="8" w:space="0" w:color="000000"/>
              <w:right w:val="single" w:sz="8" w:space="0" w:color="000000"/>
            </w:tcBorders>
            <w:shd w:val="clear" w:color="auto" w:fill="FFFFFF"/>
            <w:hideMark/>
          </w:tcPr>
          <w:p w14:paraId="31814A60" w14:textId="77777777" w:rsidR="00B3266B" w:rsidRPr="00B3266B" w:rsidRDefault="00B3266B" w:rsidP="00B3266B">
            <w:pPr>
              <w:pStyle w:val="Heading2"/>
              <w:rPr>
                <w:rFonts w:asciiTheme="minorHAnsi" w:hAnsiTheme="minorHAnsi"/>
                <w:color w:val="000000" w:themeColor="text1"/>
                <w:lang w:val="en-GB"/>
              </w:rPr>
            </w:pPr>
            <w:r w:rsidRPr="00B3266B">
              <w:rPr>
                <w:rFonts w:asciiTheme="minorHAnsi" w:hAnsiTheme="minorHAnsi"/>
                <w:color w:val="000000" w:themeColor="text1"/>
                <w:lang w:val="en-GB"/>
              </w:rPr>
              <w:t> </w:t>
            </w:r>
          </w:p>
        </w:tc>
      </w:tr>
      <w:tr w:rsidR="00B3266B" w:rsidRPr="00B3266B" w14:paraId="18D4AF39" w14:textId="77777777">
        <w:trPr>
          <w:trHeight w:val="300"/>
        </w:trPr>
        <w:tc>
          <w:tcPr>
            <w:tcW w:w="5520" w:type="dxa"/>
            <w:tcBorders>
              <w:top w:val="nil"/>
              <w:left w:val="single" w:sz="8" w:space="0" w:color="000000"/>
              <w:bottom w:val="single" w:sz="8" w:space="0" w:color="000000"/>
              <w:right w:val="single" w:sz="8" w:space="0" w:color="000000"/>
            </w:tcBorders>
            <w:shd w:val="clear" w:color="auto" w:fill="FFFFFF"/>
            <w:hideMark/>
          </w:tcPr>
          <w:p w14:paraId="0819F8A5"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Name of local music hub  </w:t>
            </w:r>
          </w:p>
        </w:tc>
        <w:tc>
          <w:tcPr>
            <w:tcW w:w="3960" w:type="dxa"/>
            <w:tcBorders>
              <w:top w:val="nil"/>
              <w:left w:val="nil"/>
              <w:bottom w:val="single" w:sz="8" w:space="0" w:color="000000"/>
              <w:right w:val="single" w:sz="8" w:space="0" w:color="000000"/>
            </w:tcBorders>
            <w:shd w:val="clear" w:color="auto" w:fill="FFFFFF"/>
            <w:hideMark/>
          </w:tcPr>
          <w:p w14:paraId="676495D3" w14:textId="02AA36B1" w:rsidR="00B3266B" w:rsidRPr="00B3266B" w:rsidRDefault="00B3266B" w:rsidP="00B3266B">
            <w:pPr>
              <w:pStyle w:val="Heading2"/>
              <w:rPr>
                <w:rFonts w:asciiTheme="minorHAnsi" w:hAnsiTheme="minorHAnsi"/>
                <w:color w:val="000000" w:themeColor="text1"/>
                <w:lang w:val="en-GB"/>
              </w:rPr>
            </w:pPr>
            <w:r w:rsidRPr="00B3266B">
              <w:rPr>
                <w:rFonts w:asciiTheme="minorHAnsi" w:hAnsiTheme="minorHAnsi"/>
                <w:color w:val="000000" w:themeColor="text1"/>
                <w:lang w:val="en-GB"/>
              </w:rPr>
              <w:t> </w:t>
            </w:r>
            <w:r w:rsidRPr="00B3266B">
              <w:rPr>
                <w:rFonts w:asciiTheme="minorHAnsi" w:hAnsiTheme="minorHAnsi"/>
                <w:color w:val="000000" w:themeColor="text1"/>
                <w:lang w:val="en-GB"/>
              </w:rPr>
              <w:t>Sunderland Music Hub</w:t>
            </w:r>
          </w:p>
        </w:tc>
      </w:tr>
      <w:tr w:rsidR="00B3266B" w:rsidRPr="00B3266B" w14:paraId="118B85DE" w14:textId="77777777">
        <w:trPr>
          <w:trHeight w:val="300"/>
        </w:trPr>
        <w:tc>
          <w:tcPr>
            <w:tcW w:w="5520" w:type="dxa"/>
            <w:tcBorders>
              <w:top w:val="nil"/>
              <w:left w:val="single" w:sz="8" w:space="0" w:color="000000"/>
              <w:bottom w:val="single" w:sz="8" w:space="0" w:color="000000"/>
              <w:right w:val="single" w:sz="8" w:space="0" w:color="000000"/>
            </w:tcBorders>
            <w:shd w:val="clear" w:color="auto" w:fill="FFFFFF"/>
            <w:hideMark/>
          </w:tcPr>
          <w:p w14:paraId="3252E2F1"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Name of other music education organisation(s) (if partnership in place)  </w:t>
            </w:r>
          </w:p>
        </w:tc>
        <w:tc>
          <w:tcPr>
            <w:tcW w:w="3960" w:type="dxa"/>
            <w:tcBorders>
              <w:top w:val="nil"/>
              <w:left w:val="nil"/>
              <w:bottom w:val="single" w:sz="8" w:space="0" w:color="000000"/>
              <w:right w:val="single" w:sz="8" w:space="0" w:color="000000"/>
            </w:tcBorders>
            <w:shd w:val="clear" w:color="auto" w:fill="FFFFFF"/>
            <w:hideMark/>
          </w:tcPr>
          <w:p w14:paraId="30D90B19" w14:textId="77777777" w:rsidR="00B3266B" w:rsidRPr="00B3266B" w:rsidRDefault="00B3266B" w:rsidP="00B3266B">
            <w:pPr>
              <w:pStyle w:val="Heading2"/>
              <w:rPr>
                <w:rFonts w:asciiTheme="minorHAnsi" w:hAnsiTheme="minorHAnsi"/>
                <w:lang w:val="en-GB"/>
              </w:rPr>
            </w:pPr>
            <w:r w:rsidRPr="00B3266B">
              <w:rPr>
                <w:rFonts w:asciiTheme="minorHAnsi" w:hAnsiTheme="minorHAnsi"/>
                <w:lang w:val="en-GB"/>
              </w:rPr>
              <w:t> </w:t>
            </w:r>
          </w:p>
        </w:tc>
      </w:tr>
    </w:tbl>
    <w:p w14:paraId="657C48C1" w14:textId="77777777" w:rsidR="00B3266B" w:rsidRDefault="00B3266B">
      <w:pPr>
        <w:pStyle w:val="Heading2"/>
      </w:pPr>
    </w:p>
    <w:p w14:paraId="215BEFEA" w14:textId="41EABDB3" w:rsidR="008407B3" w:rsidRDefault="00956891">
      <w:pPr>
        <w:pStyle w:val="Heading2"/>
      </w:pPr>
      <w:r>
        <w:t>Overview</w:t>
      </w:r>
    </w:p>
    <w:p w14:paraId="5F0FB095" w14:textId="77777777" w:rsidR="008407B3" w:rsidRDefault="00956891">
      <w:r>
        <w:t>The vision for music education in our school is to create a dynamic and inclusive music programme that fosters creativity, collaboration and a lifelong love for music. We aim to provide every pupil with the opportunity to explore their musical potential, regardless of background or prior experience.</w:t>
      </w:r>
      <w:r>
        <w:br/>
      </w:r>
      <w:r>
        <w:br/>
        <w:t>We are committed to creating a culture where music is celebrated and valued, enabling children to engage in active music-making through singing, instrumental performance and composition. Through music, pupils are encouraged to express themselves individually, work collaboratively and develop important life skills such as confidence, resilience and teamwork. Musical potential is nurtured through a wide range of curricular, co-curricular and enrichment opportunities.</w:t>
      </w:r>
    </w:p>
    <w:p w14:paraId="77F63664" w14:textId="77777777" w:rsidR="008407B3" w:rsidRDefault="00956891">
      <w:pPr>
        <w:pStyle w:val="Heading2"/>
      </w:pPr>
      <w:r>
        <w:t>Part A: Curriculum Music</w:t>
      </w:r>
    </w:p>
    <w:p w14:paraId="3B919A9B" w14:textId="77777777" w:rsidR="008407B3" w:rsidRDefault="00956891">
      <w:r>
        <w:t>Our curriculum is designed to be diverse and inclusive, enabling all pupils to develop and progress their skills in composing, performing, appraising, improvising, music technology and singing.</w:t>
      </w:r>
      <w:r>
        <w:br/>
      </w:r>
      <w:r>
        <w:lastRenderedPageBreak/>
        <w:br/>
        <w:t>Charanga is used as our main teaching platform, alongside enrichment and focus weeks delivered throughout the academic year. These are based on an annual whole-school music project planned by the music lead and delivered by all teaching staff.</w:t>
      </w:r>
      <w:r>
        <w:br/>
      </w:r>
      <w:r>
        <w:br/>
        <w:t>Key musical elements such as listening and responding, rhythmic notation, composition and performance are embedded throughout. Pupils also develop communication and collaboration skills while demonstrating our school values of confidence, resilience, teamwork and excellence.</w:t>
      </w:r>
    </w:p>
    <w:p w14:paraId="5BE504F3" w14:textId="77777777" w:rsidR="008407B3" w:rsidRDefault="00956891">
      <w:pPr>
        <w:pStyle w:val="Heading2"/>
      </w:pPr>
      <w:r>
        <w:t>Part B: Co-Curricular Music</w:t>
      </w:r>
    </w:p>
    <w:p w14:paraId="7BFBB38B" w14:textId="77777777" w:rsidR="008407B3" w:rsidRDefault="00956891">
      <w:r>
        <w:t>Our co-curricular music provision establishes music as a vital part of school life. We offer small-group instrumental tuition in violin and guitar delivered by peripatetic music tutors.</w:t>
      </w:r>
      <w:r>
        <w:br/>
      </w:r>
      <w:r>
        <w:br/>
        <w:t>Opportunities for progression are embedded across the school, with pupils given chances to perform as ensembles throughout the year to celebrate success and enrich their musical learning.</w:t>
      </w:r>
    </w:p>
    <w:p w14:paraId="0104E107" w14:textId="797E4734" w:rsidR="00CA1087" w:rsidRDefault="00CA1087">
      <w:pPr>
        <w:pStyle w:val="Heading2"/>
        <w:rPr>
          <w:rFonts w:asciiTheme="minorHAnsi" w:eastAsiaTheme="minorEastAsia" w:hAnsiTheme="minorHAnsi" w:cstheme="minorBidi"/>
          <w:b w:val="0"/>
          <w:bCs w:val="0"/>
          <w:color w:val="auto"/>
          <w:sz w:val="22"/>
          <w:szCs w:val="22"/>
        </w:rPr>
      </w:pPr>
      <w:r w:rsidRPr="00B3266B">
        <w:rPr>
          <w:rFonts w:asciiTheme="minorHAnsi" w:eastAsiaTheme="minorEastAsia" w:hAnsiTheme="minorHAnsi" w:cstheme="minorBidi"/>
          <w:b w:val="0"/>
          <w:bCs w:val="0"/>
          <w:color w:val="auto"/>
          <w:sz w:val="22"/>
          <w:szCs w:val="22"/>
        </w:rPr>
        <w:t xml:space="preserve">We are </w:t>
      </w:r>
      <w:r w:rsidR="00B3266B">
        <w:rPr>
          <w:rFonts w:asciiTheme="minorHAnsi" w:eastAsiaTheme="minorEastAsia" w:hAnsiTheme="minorHAnsi" w:cstheme="minorBidi"/>
          <w:b w:val="0"/>
          <w:bCs w:val="0"/>
          <w:color w:val="auto"/>
          <w:sz w:val="22"/>
          <w:szCs w:val="22"/>
        </w:rPr>
        <w:t xml:space="preserve">currently </w:t>
      </w:r>
      <w:r w:rsidRPr="00B3266B">
        <w:rPr>
          <w:rFonts w:asciiTheme="minorHAnsi" w:eastAsiaTheme="minorEastAsia" w:hAnsiTheme="minorHAnsi" w:cstheme="minorBidi"/>
          <w:b w:val="0"/>
          <w:bCs w:val="0"/>
          <w:color w:val="auto"/>
          <w:sz w:val="22"/>
          <w:szCs w:val="22"/>
        </w:rPr>
        <w:t xml:space="preserve">developing a school band in partnership with </w:t>
      </w:r>
      <w:proofErr w:type="spellStart"/>
      <w:r w:rsidRPr="00B3266B">
        <w:rPr>
          <w:rFonts w:asciiTheme="minorHAnsi" w:eastAsiaTheme="minorEastAsia" w:hAnsiTheme="minorHAnsi" w:cstheme="minorBidi"/>
          <w:b w:val="0"/>
          <w:bCs w:val="0"/>
          <w:color w:val="auto"/>
          <w:sz w:val="22"/>
          <w:szCs w:val="22"/>
        </w:rPr>
        <w:t>Monkwearmouth</w:t>
      </w:r>
      <w:proofErr w:type="spellEnd"/>
      <w:r w:rsidRPr="00B3266B">
        <w:rPr>
          <w:rFonts w:asciiTheme="minorHAnsi" w:eastAsiaTheme="minorEastAsia" w:hAnsiTheme="minorHAnsi" w:cstheme="minorBidi"/>
          <w:b w:val="0"/>
          <w:bCs w:val="0"/>
          <w:color w:val="auto"/>
          <w:sz w:val="22"/>
          <w:szCs w:val="22"/>
        </w:rPr>
        <w:t xml:space="preserve"> Academy. Pupils will rehearse regularly as an ensemble, developing instrumental skills, listening, collaboration and confidence. The partnership will support clear progression routes into Key Stage 3 </w:t>
      </w:r>
      <w:r w:rsidR="00B3266B" w:rsidRPr="00B3266B">
        <w:rPr>
          <w:rFonts w:asciiTheme="minorHAnsi" w:eastAsiaTheme="minorEastAsia" w:hAnsiTheme="minorHAnsi" w:cstheme="minorBidi"/>
          <w:b w:val="0"/>
          <w:bCs w:val="0"/>
          <w:color w:val="auto"/>
          <w:sz w:val="22"/>
          <w:szCs w:val="22"/>
        </w:rPr>
        <w:t>music,</w:t>
      </w:r>
      <w:r w:rsidRPr="00B3266B">
        <w:rPr>
          <w:rFonts w:asciiTheme="minorHAnsi" w:eastAsiaTheme="minorEastAsia" w:hAnsiTheme="minorHAnsi" w:cstheme="minorBidi"/>
          <w:b w:val="0"/>
          <w:bCs w:val="0"/>
          <w:color w:val="auto"/>
          <w:sz w:val="22"/>
          <w:szCs w:val="22"/>
        </w:rPr>
        <w:t xml:space="preserve"> and the band will perform at a range of school and community events throughout the year, providing purposeful opportunities to share and celebrate achievement.</w:t>
      </w:r>
    </w:p>
    <w:p w14:paraId="0223D077" w14:textId="333977DA" w:rsidR="008407B3" w:rsidRDefault="00956891">
      <w:pPr>
        <w:pStyle w:val="Heading2"/>
      </w:pPr>
      <w:r>
        <w:t>Part C: Musical Experiences</w:t>
      </w:r>
    </w:p>
    <w:p w14:paraId="3301072D" w14:textId="19D12BC3" w:rsidR="008407B3" w:rsidRDefault="00956891">
      <w:r>
        <w:t>Our enrichment offer enhances pupils’ musical experiences by aligning opportunities with their interests and aspirations. A careers aspirations tracker is used to tailor musical experiences and encourage pupils to think about future pathways.</w:t>
      </w:r>
      <w:r>
        <w:br/>
      </w:r>
      <w:r>
        <w:br/>
        <w:t>All pupils experience live music during their time at school, exposing them to a range of genres and inspiring curiosity and a lifelong love of music.</w:t>
      </w:r>
      <w:r>
        <w:br/>
      </w:r>
      <w:r>
        <w:br/>
        <w:t xml:space="preserve">Our </w:t>
      </w:r>
      <w:r w:rsidR="00CA1087">
        <w:t>80</w:t>
      </w:r>
      <w:r>
        <w:t>+ pupil choir performs regularly, including at the annual carol service and summer productions, supporting pupils to grow in confidence and celebrate their enjoyment of singing and performing.</w:t>
      </w:r>
    </w:p>
    <w:p w14:paraId="791916CF" w14:textId="77777777" w:rsidR="00CA1087" w:rsidRDefault="00CA1087"/>
    <w:p w14:paraId="0227FCAB" w14:textId="5FE0D378" w:rsidR="00CA1087" w:rsidRPr="00675D12" w:rsidRDefault="00675D12" w:rsidP="00CA1087">
      <w:pPr>
        <w:rPr>
          <w:rFonts w:asciiTheme="majorHAnsi" w:eastAsiaTheme="majorEastAsia" w:hAnsiTheme="majorHAnsi" w:cstheme="majorBidi"/>
          <w:b/>
          <w:bCs/>
          <w:color w:val="4F81BD" w:themeColor="accent1"/>
          <w:sz w:val="26"/>
          <w:szCs w:val="26"/>
        </w:rPr>
      </w:pPr>
      <w:r w:rsidRPr="00675D12">
        <w:rPr>
          <w:rFonts w:asciiTheme="majorHAnsi" w:eastAsiaTheme="majorEastAsia" w:hAnsiTheme="majorHAnsi" w:cstheme="majorBidi"/>
          <w:b/>
          <w:bCs/>
          <w:color w:val="4F81BD" w:themeColor="accent1"/>
          <w:sz w:val="26"/>
          <w:szCs w:val="26"/>
        </w:rPr>
        <w:t>Future Development</w:t>
      </w:r>
    </w:p>
    <w:p w14:paraId="2B1A8D93" w14:textId="7F4E1A9E" w:rsidR="00675D12" w:rsidRPr="00675D12" w:rsidRDefault="00675D12" w:rsidP="00675D12">
      <w:pPr>
        <w:rPr>
          <w:lang w:val="en-GB"/>
        </w:rPr>
      </w:pPr>
      <w:r w:rsidRPr="00675D12">
        <w:rPr>
          <w:lang w:val="en-GB"/>
        </w:rPr>
        <w:t xml:space="preserve">Over the next two years, we plan to further strengthen our music provision across curriculum and co-curricular areas. Within curriculum music, we intend to broaden our </w:t>
      </w:r>
      <w:r>
        <w:rPr>
          <w:lang w:val="en-GB"/>
        </w:rPr>
        <w:t>w</w:t>
      </w:r>
      <w:r w:rsidRPr="00675D12">
        <w:rPr>
          <w:lang w:val="en-GB"/>
        </w:rPr>
        <w:t>hole-</w:t>
      </w:r>
      <w:r>
        <w:rPr>
          <w:lang w:val="en-GB"/>
        </w:rPr>
        <w:t>c</w:t>
      </w:r>
      <w:r w:rsidRPr="00675D12">
        <w:rPr>
          <w:lang w:val="en-GB"/>
        </w:rPr>
        <w:t xml:space="preserve">lass </w:t>
      </w:r>
      <w:r>
        <w:rPr>
          <w:lang w:val="en-GB"/>
        </w:rPr>
        <w:t>e</w:t>
      </w:r>
      <w:r w:rsidRPr="00675D12">
        <w:rPr>
          <w:lang w:val="en-GB"/>
        </w:rPr>
        <w:t xml:space="preserve">nsemble </w:t>
      </w:r>
      <w:r>
        <w:rPr>
          <w:lang w:val="en-GB"/>
        </w:rPr>
        <w:t>t</w:t>
      </w:r>
      <w:r w:rsidRPr="00675D12">
        <w:rPr>
          <w:lang w:val="en-GB"/>
        </w:rPr>
        <w:t xml:space="preserve">eaching offer by introducing additional instruments, enabling greater access, variety and progression for pupils. This will support the development of </w:t>
      </w:r>
      <w:r w:rsidRPr="00675D12">
        <w:rPr>
          <w:lang w:val="en-GB"/>
        </w:rPr>
        <w:lastRenderedPageBreak/>
        <w:t>instrumental technique, ensemble skills and musical understanding in line with the Model Music Curriculum.</w:t>
      </w:r>
    </w:p>
    <w:p w14:paraId="34B606B0" w14:textId="77777777" w:rsidR="00675D12" w:rsidRPr="00675D12" w:rsidRDefault="00675D12" w:rsidP="00675D12">
      <w:pPr>
        <w:rPr>
          <w:lang w:val="en-GB"/>
        </w:rPr>
      </w:pPr>
      <w:r w:rsidRPr="00675D12">
        <w:rPr>
          <w:lang w:val="en-GB"/>
        </w:rPr>
        <w:t>We also plan to continue developing performance opportunities and strengthening partnerships to ensure pupils experience high-quality musical engagement and clear progression pathways throughout their primary years.</w:t>
      </w:r>
    </w:p>
    <w:p w14:paraId="3E012908" w14:textId="77777777" w:rsidR="00675D12" w:rsidRDefault="00675D12" w:rsidP="00CA1087">
      <w:pPr>
        <w:rPr>
          <w:b/>
          <w:bCs/>
          <w:lang w:val="en-GB"/>
        </w:rPr>
      </w:pPr>
    </w:p>
    <w:p w14:paraId="082FA7EE" w14:textId="77777777" w:rsidR="00CA1087" w:rsidRDefault="00CA1087"/>
    <w:sectPr w:rsidR="00CA10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7572A6"/>
    <w:multiLevelType w:val="multilevel"/>
    <w:tmpl w:val="1FE8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2901111">
    <w:abstractNumId w:val="8"/>
  </w:num>
  <w:num w:numId="2" w16cid:durableId="1015692486">
    <w:abstractNumId w:val="6"/>
  </w:num>
  <w:num w:numId="3" w16cid:durableId="872421970">
    <w:abstractNumId w:val="5"/>
  </w:num>
  <w:num w:numId="4" w16cid:durableId="278226088">
    <w:abstractNumId w:val="4"/>
  </w:num>
  <w:num w:numId="5" w16cid:durableId="381297415">
    <w:abstractNumId w:val="7"/>
  </w:num>
  <w:num w:numId="6" w16cid:durableId="1973633723">
    <w:abstractNumId w:val="3"/>
  </w:num>
  <w:num w:numId="7" w16cid:durableId="1108041901">
    <w:abstractNumId w:val="2"/>
  </w:num>
  <w:num w:numId="8" w16cid:durableId="723872674">
    <w:abstractNumId w:val="1"/>
  </w:num>
  <w:num w:numId="9" w16cid:durableId="589847879">
    <w:abstractNumId w:val="0"/>
  </w:num>
  <w:num w:numId="10" w16cid:durableId="863716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0479"/>
    <w:rsid w:val="00675D12"/>
    <w:rsid w:val="008407B3"/>
    <w:rsid w:val="00956891"/>
    <w:rsid w:val="00AA1D8D"/>
    <w:rsid w:val="00B3266B"/>
    <w:rsid w:val="00B47730"/>
    <w:rsid w:val="00CA1087"/>
    <w:rsid w:val="00CB0664"/>
    <w:rsid w:val="00FC693F"/>
    <w:rsid w:val="00FF0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B66D8E"/>
  <w14:defaultImageDpi w14:val="300"/>
  <w15:docId w15:val="{5DAB430A-310A-465E-B915-12434453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1087"/>
    <w:rPr>
      <w:color w:val="0000FF" w:themeColor="hyperlink"/>
      <w:u w:val="single"/>
    </w:rPr>
  </w:style>
  <w:style w:type="character" w:styleId="UnresolvedMention">
    <w:name w:val="Unresolved Mention"/>
    <w:basedOn w:val="DefaultParagraphFont"/>
    <w:uiPriority w:val="99"/>
    <w:semiHidden/>
    <w:unhideWhenUsed/>
    <w:rsid w:val="00CA1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 Lazenby</cp:lastModifiedBy>
  <cp:revision>3</cp:revision>
  <dcterms:created xsi:type="dcterms:W3CDTF">2026-02-12T17:02:00Z</dcterms:created>
  <dcterms:modified xsi:type="dcterms:W3CDTF">2026-02-20T12:03:00Z</dcterms:modified>
  <cp:category/>
</cp:coreProperties>
</file>