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FE7D" w14:textId="77777777" w:rsidR="003B141D" w:rsidRDefault="003B141D" w:rsidP="003B141D">
      <w:pPr>
        <w:jc w:val="both"/>
        <w:rPr>
          <w:color w:val="002060"/>
          <w:sz w:val="32"/>
          <w:szCs w:val="32"/>
        </w:rPr>
      </w:pPr>
      <w:r w:rsidRPr="007D72CB">
        <w:rPr>
          <w:b/>
          <w:noProof/>
          <w:color w:val="002060"/>
          <w:sz w:val="32"/>
          <w:szCs w:val="32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3D2545DE" wp14:editId="59F6242C">
            <wp:simplePos x="0" y="0"/>
            <wp:positionH relativeFrom="column">
              <wp:posOffset>8964930</wp:posOffset>
            </wp:positionH>
            <wp:positionV relativeFrom="paragraph">
              <wp:posOffset>-228600</wp:posOffset>
            </wp:positionV>
            <wp:extent cx="902288" cy="907415"/>
            <wp:effectExtent l="0" t="0" r="0" b="6985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88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2CB">
        <w:rPr>
          <w:b/>
          <w:color w:val="002060"/>
          <w:sz w:val="32"/>
          <w:szCs w:val="32"/>
        </w:rPr>
        <w:t>Fulwell Junior School Sport Premium Funding</w:t>
      </w:r>
      <w:r w:rsidRPr="007D72CB">
        <w:rPr>
          <w:color w:val="002060"/>
          <w:sz w:val="32"/>
          <w:szCs w:val="32"/>
        </w:rPr>
        <w:tab/>
      </w:r>
    </w:p>
    <w:p w14:paraId="28D8BD0E" w14:textId="77777777" w:rsidR="003B141D" w:rsidRDefault="003B141D" w:rsidP="003B141D">
      <w:pPr>
        <w:jc w:val="both"/>
        <w:rPr>
          <w:sz w:val="36"/>
          <w:szCs w:val="36"/>
          <w:vertAlign w:val="subscript"/>
        </w:rPr>
      </w:pPr>
      <w:r w:rsidRPr="003B141D">
        <w:rPr>
          <w:color w:val="002060"/>
          <w:sz w:val="36"/>
          <w:szCs w:val="36"/>
          <w:vertAlign w:val="subscript"/>
        </w:rPr>
        <w:t xml:space="preserve">Respect, Aspire, </w:t>
      </w:r>
      <w:proofErr w:type="gramStart"/>
      <w:r w:rsidRPr="003B141D">
        <w:rPr>
          <w:color w:val="002060"/>
          <w:sz w:val="36"/>
          <w:szCs w:val="36"/>
          <w:vertAlign w:val="subscript"/>
        </w:rPr>
        <w:t>Achieve</w:t>
      </w:r>
      <w:proofErr w:type="gramEnd"/>
      <w:r w:rsidRPr="003B141D">
        <w:rPr>
          <w:color w:val="002060"/>
          <w:sz w:val="36"/>
          <w:szCs w:val="36"/>
          <w:vertAlign w:val="subscript"/>
        </w:rPr>
        <w:t xml:space="preserve"> – Be the best you can be</w:t>
      </w:r>
      <w:r w:rsidRPr="003B141D">
        <w:rPr>
          <w:sz w:val="36"/>
          <w:szCs w:val="36"/>
          <w:vertAlign w:val="subscript"/>
        </w:rPr>
        <w:tab/>
      </w:r>
    </w:p>
    <w:p w14:paraId="1DD98C0B" w14:textId="77777777" w:rsidR="003B141D" w:rsidRDefault="003B141D" w:rsidP="003B141D">
      <w:pPr>
        <w:rPr>
          <w:sz w:val="20"/>
          <w:szCs w:val="20"/>
          <w:vertAlign w:val="subscript"/>
        </w:rPr>
      </w:pPr>
    </w:p>
    <w:p w14:paraId="3DDE4030" w14:textId="77777777" w:rsidR="003B141D" w:rsidRDefault="003454C7" w:rsidP="003B141D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pict w14:anchorId="52D6939C">
          <v:rect id="_x0000_i1025" style="width:0;height:1.5pt" o:hralign="center" o:hrstd="t" o:hr="t" fillcolor="gray" stroked="f"/>
        </w:pict>
      </w:r>
    </w:p>
    <w:p w14:paraId="12514223" w14:textId="154A23A9" w:rsidR="00D94CC2" w:rsidRPr="007D72CB" w:rsidRDefault="00D94CC2" w:rsidP="00D94CC2">
      <w:pPr>
        <w:rPr>
          <w:color w:val="000000" w:themeColor="text1"/>
        </w:rPr>
      </w:pPr>
      <w:r w:rsidRPr="007D72CB">
        <w:rPr>
          <w:color w:val="000000" w:themeColor="text1"/>
        </w:rPr>
        <w:t>In the academic year 20</w:t>
      </w:r>
      <w:r w:rsidR="00176187">
        <w:rPr>
          <w:color w:val="000000" w:themeColor="text1"/>
        </w:rPr>
        <w:t>2</w:t>
      </w:r>
      <w:r w:rsidR="00BC4061">
        <w:rPr>
          <w:color w:val="000000" w:themeColor="text1"/>
        </w:rPr>
        <w:t>3</w:t>
      </w:r>
      <w:r w:rsidRPr="007D72CB">
        <w:rPr>
          <w:color w:val="000000" w:themeColor="text1"/>
        </w:rPr>
        <w:t>-</w:t>
      </w:r>
      <w:r>
        <w:rPr>
          <w:color w:val="000000" w:themeColor="text1"/>
        </w:rPr>
        <w:t>2</w:t>
      </w:r>
      <w:r w:rsidR="00BC4061">
        <w:rPr>
          <w:color w:val="000000" w:themeColor="text1"/>
        </w:rPr>
        <w:t>4</w:t>
      </w:r>
      <w:r w:rsidRPr="007D72C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we </w:t>
      </w:r>
      <w:proofErr w:type="gramStart"/>
      <w:r>
        <w:rPr>
          <w:color w:val="000000" w:themeColor="text1"/>
        </w:rPr>
        <w:t xml:space="preserve">will </w:t>
      </w:r>
      <w:r w:rsidRPr="007D72CB">
        <w:rPr>
          <w:color w:val="000000" w:themeColor="text1"/>
        </w:rPr>
        <w:t>we</w:t>
      </w:r>
      <w:proofErr w:type="gramEnd"/>
      <w:r w:rsidRPr="007D72CB">
        <w:rPr>
          <w:color w:val="000000" w:themeColor="text1"/>
        </w:rPr>
        <w:t xml:space="preserve"> receive </w:t>
      </w:r>
      <w:r w:rsidRPr="00376EBD">
        <w:rPr>
          <w:b/>
          <w:color w:val="000000" w:themeColor="text1"/>
          <w:u w:val="single"/>
        </w:rPr>
        <w:t>£</w:t>
      </w:r>
      <w:r w:rsidR="0092640A">
        <w:rPr>
          <w:b/>
          <w:color w:val="000000" w:themeColor="text1"/>
          <w:u w:val="single"/>
        </w:rPr>
        <w:t>19</w:t>
      </w:r>
      <w:r w:rsidR="00240D81">
        <w:rPr>
          <w:b/>
          <w:color w:val="000000" w:themeColor="text1"/>
          <w:u w:val="single"/>
        </w:rPr>
        <w:t>430</w:t>
      </w:r>
      <w:r w:rsidRPr="007D72CB">
        <w:rPr>
          <w:color w:val="000000" w:themeColor="text1"/>
        </w:rPr>
        <w:t xml:space="preserve"> in sports premium funding. The budget w</w:t>
      </w:r>
      <w:r>
        <w:rPr>
          <w:color w:val="000000" w:themeColor="text1"/>
        </w:rPr>
        <w:t xml:space="preserve">ill be </w:t>
      </w:r>
      <w:r w:rsidRPr="007D72CB">
        <w:rPr>
          <w:color w:val="000000" w:themeColor="text1"/>
        </w:rPr>
        <w:t xml:space="preserve">directed to ensure that all five categories of the grant condition </w:t>
      </w:r>
      <w:r>
        <w:rPr>
          <w:color w:val="000000" w:themeColor="text1"/>
        </w:rPr>
        <w:t>are</w:t>
      </w:r>
      <w:r w:rsidRPr="007D72CB">
        <w:rPr>
          <w:color w:val="000000" w:themeColor="text1"/>
        </w:rPr>
        <w:t xml:space="preserve"> fulfilled</w:t>
      </w:r>
      <w:r>
        <w:rPr>
          <w:color w:val="000000" w:themeColor="text1"/>
        </w:rPr>
        <w:t xml:space="preserve">. Impacts &amp; sustainability information will be updated across the school year as the document is </w:t>
      </w:r>
      <w:proofErr w:type="gramStart"/>
      <w:r>
        <w:rPr>
          <w:color w:val="000000" w:themeColor="text1"/>
        </w:rPr>
        <w:t>live</w:t>
      </w:r>
      <w:r w:rsidRPr="007D72CB">
        <w:rPr>
          <w:color w:val="000000" w:themeColor="text1"/>
        </w:rPr>
        <w:t>:-</w:t>
      </w:r>
      <w:proofErr w:type="gramEnd"/>
    </w:p>
    <w:p w14:paraId="5263043E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7D72CB">
        <w:rPr>
          <w:color w:val="000000" w:themeColor="text1"/>
        </w:rPr>
        <w:t>The engagement of all pupils in regular physical activity</w:t>
      </w:r>
    </w:p>
    <w:p w14:paraId="3BA69BF6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7D72CB">
        <w:rPr>
          <w:color w:val="000000" w:themeColor="text1"/>
        </w:rPr>
        <w:t xml:space="preserve">The profile of sport and PE raised across the school as a tool for </w:t>
      </w:r>
      <w:proofErr w:type="gramStart"/>
      <w:r w:rsidRPr="007D72CB">
        <w:rPr>
          <w:color w:val="000000" w:themeColor="text1"/>
        </w:rPr>
        <w:t>whole</w:t>
      </w:r>
      <w:proofErr w:type="gramEnd"/>
      <w:r w:rsidRPr="007D72CB">
        <w:rPr>
          <w:color w:val="000000" w:themeColor="text1"/>
        </w:rPr>
        <w:t xml:space="preserve"> school improvement</w:t>
      </w:r>
    </w:p>
    <w:p w14:paraId="01B9F341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proofErr w:type="gramStart"/>
      <w:r w:rsidRPr="007D72CB">
        <w:rPr>
          <w:color w:val="000000" w:themeColor="text1"/>
        </w:rPr>
        <w:t>Increased</w:t>
      </w:r>
      <w:proofErr w:type="gramEnd"/>
      <w:r w:rsidRPr="007D72CB">
        <w:rPr>
          <w:color w:val="000000" w:themeColor="text1"/>
        </w:rPr>
        <w:t xml:space="preserve"> confidence, knowledge and skills of all staff in teaching PE and sport.</w:t>
      </w:r>
    </w:p>
    <w:p w14:paraId="55B5B1A5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7D72CB">
        <w:rPr>
          <w:color w:val="000000" w:themeColor="text1"/>
        </w:rPr>
        <w:t>Broader experience of a range of sports and activities offered to all pupils.</w:t>
      </w:r>
    </w:p>
    <w:p w14:paraId="366CE727" w14:textId="77777777" w:rsidR="00D94CC2" w:rsidRPr="007D72CB" w:rsidRDefault="00D94CC2" w:rsidP="00D94CC2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7D72CB">
        <w:rPr>
          <w:color w:val="000000" w:themeColor="text1"/>
        </w:rPr>
        <w:t>Increasing participation in competitive sport.</w:t>
      </w:r>
    </w:p>
    <w:p w14:paraId="0AEC9658" w14:textId="77777777" w:rsidR="00C2051F" w:rsidRDefault="002C6357" w:rsidP="00C2051F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E9A988" wp14:editId="7B19826C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6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D217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CAD5608" wp14:editId="40CA40DB">
                <wp:extent cx="8658225" cy="568960"/>
                <wp:effectExtent l="0" t="0" r="9525" b="2540"/>
                <wp:docPr id="6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568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B0B42" w14:textId="77777777" w:rsidR="00C2051F" w:rsidRDefault="00F20988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R</w:t>
                            </w:r>
                            <w:r w:rsidR="00C2051F">
                              <w:rPr>
                                <w:color w:val="FFFFFF"/>
                                <w:sz w:val="26"/>
                              </w:rPr>
                              <w:t xml:space="preserve">eview and reflection - considering the 5 key indicators from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 xml:space="preserve">the </w:t>
                            </w:r>
                            <w:r w:rsidR="00C2051F">
                              <w:rPr>
                                <w:color w:val="FFFFFF"/>
                                <w:sz w:val="26"/>
                              </w:rPr>
                              <w:t xml:space="preserve">DfE, what development needs are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p</w:t>
                            </w:r>
                            <w:r w:rsidR="00C2051F">
                              <w:rPr>
                                <w:color w:val="FFFFFF"/>
                                <w:sz w:val="26"/>
                              </w:rPr>
                              <w:t>riorit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ies</w:t>
                            </w:r>
                            <w:r w:rsidR="00C2051F">
                              <w:rPr>
                                <w:color w:val="FFFFFF"/>
                                <w:sz w:val="26"/>
                              </w:rPr>
                              <w:t xml:space="preserve"> for your s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chool?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D560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681.7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" fillcolor="#17365d [2415]" stroked="f">
                <v:textbox inset="0,0,0,0">
                  <w:txbxContent>
                    <w:p w14:paraId="33BB0B42" w14:textId="77777777" w:rsidR="00C2051F" w:rsidRDefault="00F20988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R</w:t>
                      </w:r>
                      <w:r w:rsidR="00C2051F">
                        <w:rPr>
                          <w:color w:val="FFFFFF"/>
                          <w:sz w:val="26"/>
                        </w:rPr>
                        <w:t xml:space="preserve">eview and reflection - considering the 5 key indicators from </w:t>
                      </w:r>
                      <w:r>
                        <w:rPr>
                          <w:color w:val="FFFFFF"/>
                          <w:sz w:val="26"/>
                        </w:rPr>
                        <w:t xml:space="preserve">the </w:t>
                      </w:r>
                      <w:r w:rsidR="00C2051F">
                        <w:rPr>
                          <w:color w:val="FFFFFF"/>
                          <w:sz w:val="26"/>
                        </w:rPr>
                        <w:t xml:space="preserve">DfE, what development needs are </w:t>
                      </w:r>
                      <w:r>
                        <w:rPr>
                          <w:color w:val="FFFFFF"/>
                          <w:sz w:val="26"/>
                        </w:rPr>
                        <w:t>p</w:t>
                      </w:r>
                      <w:r w:rsidR="00C2051F">
                        <w:rPr>
                          <w:color w:val="FFFFFF"/>
                          <w:sz w:val="26"/>
                        </w:rPr>
                        <w:t>riorit</w:t>
                      </w:r>
                      <w:r>
                        <w:rPr>
                          <w:color w:val="FFFFFF"/>
                          <w:sz w:val="26"/>
                        </w:rPr>
                        <w:t>ies</w:t>
                      </w:r>
                      <w:r w:rsidR="00C2051F">
                        <w:rPr>
                          <w:color w:val="FFFFFF"/>
                          <w:sz w:val="26"/>
                        </w:rPr>
                        <w:t xml:space="preserve"> for your s</w:t>
                      </w:r>
                      <w:r>
                        <w:rPr>
                          <w:color w:val="FFFFFF"/>
                          <w:sz w:val="26"/>
                        </w:rPr>
                        <w:t>chool?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052E9" w14:textId="77777777" w:rsidR="00C2051F" w:rsidRDefault="00C2051F" w:rsidP="00C2051F">
      <w:pPr>
        <w:pStyle w:val="BodyText"/>
        <w:rPr>
          <w:sz w:val="20"/>
        </w:rPr>
      </w:pPr>
    </w:p>
    <w:p w14:paraId="71897D2C" w14:textId="77777777" w:rsidR="00C2051F" w:rsidRDefault="00C2051F" w:rsidP="00C2051F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14:paraId="4B88650E" w14:textId="77777777" w:rsidTr="00D11688">
        <w:trPr>
          <w:trHeight w:val="480"/>
        </w:trPr>
        <w:tc>
          <w:tcPr>
            <w:tcW w:w="7700" w:type="dxa"/>
          </w:tcPr>
          <w:p w14:paraId="4293FA98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14:paraId="42016B91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14:paraId="3379E4AA" w14:textId="77777777" w:rsidTr="001F4450">
        <w:trPr>
          <w:trHeight w:val="2394"/>
        </w:trPr>
        <w:tc>
          <w:tcPr>
            <w:tcW w:w="7700" w:type="dxa"/>
          </w:tcPr>
          <w:p w14:paraId="4A999996" w14:textId="77777777" w:rsidR="00C2051F" w:rsidRDefault="0092640A" w:rsidP="003C5CF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</w:rPr>
            </w:pPr>
            <w:r w:rsidRPr="0092640A">
              <w:rPr>
                <w:rFonts w:asciiTheme="minorHAnsi" w:hAnsiTheme="minorHAnsi" w:cs="Arial"/>
                <w:sz w:val="24"/>
              </w:rPr>
              <w:t>Raising the p</w:t>
            </w:r>
            <w:r w:rsidR="003C5CF3" w:rsidRPr="0092640A">
              <w:rPr>
                <w:rFonts w:asciiTheme="minorHAnsi" w:hAnsiTheme="minorHAnsi" w:cs="Arial"/>
                <w:sz w:val="24"/>
              </w:rPr>
              <w:t>rofile of PE and Sport across the</w:t>
            </w:r>
            <w:r w:rsidRPr="0092640A">
              <w:rPr>
                <w:rFonts w:asciiTheme="minorHAnsi" w:hAnsiTheme="minorHAnsi" w:cs="Arial"/>
                <w:sz w:val="24"/>
              </w:rPr>
              <w:t xml:space="preserve"> whole</w:t>
            </w:r>
            <w:r w:rsidR="003C5CF3" w:rsidRPr="0092640A">
              <w:rPr>
                <w:rFonts w:asciiTheme="minorHAnsi" w:hAnsiTheme="minorHAnsi" w:cs="Arial"/>
                <w:sz w:val="24"/>
              </w:rPr>
              <w:t xml:space="preserve"> school.</w:t>
            </w:r>
          </w:p>
          <w:p w14:paraId="01A5DE9F" w14:textId="77777777" w:rsidR="008D499B" w:rsidRPr="0092640A" w:rsidRDefault="008D499B" w:rsidP="008D499B">
            <w:pPr>
              <w:pStyle w:val="TableParagraph"/>
              <w:ind w:left="720"/>
              <w:rPr>
                <w:rFonts w:asciiTheme="minorHAnsi" w:hAnsiTheme="minorHAnsi" w:cs="Arial"/>
                <w:sz w:val="24"/>
              </w:rPr>
            </w:pPr>
          </w:p>
          <w:p w14:paraId="535A260B" w14:textId="77777777" w:rsidR="00F664B1" w:rsidRDefault="0092640A" w:rsidP="003C5CF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</w:rPr>
            </w:pPr>
            <w:r w:rsidRPr="0092640A">
              <w:rPr>
                <w:rFonts w:asciiTheme="minorHAnsi" w:hAnsiTheme="minorHAnsi" w:cs="Arial"/>
                <w:sz w:val="24"/>
              </w:rPr>
              <w:t xml:space="preserve">Providing an </w:t>
            </w:r>
            <w:r w:rsidR="00F664B1" w:rsidRPr="0092640A">
              <w:rPr>
                <w:rFonts w:asciiTheme="minorHAnsi" w:hAnsiTheme="minorHAnsi" w:cs="Arial"/>
                <w:sz w:val="24"/>
              </w:rPr>
              <w:t xml:space="preserve">efficient CPD </w:t>
            </w:r>
            <w:proofErr w:type="spellStart"/>
            <w:r w:rsidR="00F664B1" w:rsidRPr="0092640A">
              <w:rPr>
                <w:rFonts w:asciiTheme="minorHAnsi" w:hAnsiTheme="minorHAnsi" w:cs="Arial"/>
                <w:sz w:val="24"/>
              </w:rPr>
              <w:t>programme</w:t>
            </w:r>
            <w:proofErr w:type="spellEnd"/>
            <w:r w:rsidR="00F664B1" w:rsidRPr="0092640A">
              <w:rPr>
                <w:rFonts w:asciiTheme="minorHAnsi" w:hAnsiTheme="minorHAnsi" w:cs="Arial"/>
                <w:sz w:val="24"/>
              </w:rPr>
              <w:t>, increas</w:t>
            </w:r>
            <w:r w:rsidRPr="0092640A">
              <w:rPr>
                <w:rFonts w:asciiTheme="minorHAnsi" w:hAnsiTheme="minorHAnsi" w:cs="Arial"/>
                <w:sz w:val="24"/>
              </w:rPr>
              <w:t>ing the</w:t>
            </w:r>
            <w:r w:rsidR="00F664B1" w:rsidRPr="0092640A">
              <w:rPr>
                <w:rFonts w:asciiTheme="minorHAnsi" w:hAnsiTheme="minorHAnsi" w:cs="Arial"/>
                <w:sz w:val="24"/>
              </w:rPr>
              <w:t xml:space="preserve"> confidence, knowledge and skills of </w:t>
            </w:r>
            <w:r w:rsidRPr="0092640A">
              <w:rPr>
                <w:rFonts w:asciiTheme="minorHAnsi" w:hAnsiTheme="minorHAnsi" w:cs="Arial"/>
                <w:sz w:val="24"/>
              </w:rPr>
              <w:t xml:space="preserve">all </w:t>
            </w:r>
            <w:r w:rsidR="00F664B1" w:rsidRPr="0092640A">
              <w:rPr>
                <w:rFonts w:asciiTheme="minorHAnsi" w:hAnsiTheme="minorHAnsi" w:cs="Arial"/>
                <w:sz w:val="24"/>
              </w:rPr>
              <w:t>staff.</w:t>
            </w:r>
          </w:p>
          <w:p w14:paraId="2BC581CE" w14:textId="77777777" w:rsidR="00860B4F" w:rsidRPr="00860B4F" w:rsidRDefault="00860B4F" w:rsidP="00860B4F">
            <w:pPr>
              <w:rPr>
                <w:rFonts w:asciiTheme="minorHAnsi" w:hAnsiTheme="minorHAnsi" w:cs="Arial"/>
                <w:sz w:val="24"/>
              </w:rPr>
            </w:pPr>
          </w:p>
          <w:p w14:paraId="3DBA3664" w14:textId="0E666686" w:rsidR="00860B4F" w:rsidRPr="0092640A" w:rsidRDefault="00860B4F" w:rsidP="003C5CF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Increased participation in competitions and after school clubs</w:t>
            </w:r>
          </w:p>
          <w:p w14:paraId="54A87E8A" w14:textId="77777777" w:rsidR="00F664B1" w:rsidRPr="003C5CF3" w:rsidRDefault="00F664B1" w:rsidP="0092640A">
            <w:pPr>
              <w:pStyle w:val="TableParagraph"/>
              <w:ind w:left="720"/>
              <w:rPr>
                <w:rFonts w:ascii="Comic Sans MS" w:hAnsi="Comic Sans MS"/>
                <w:sz w:val="24"/>
              </w:rPr>
            </w:pPr>
          </w:p>
        </w:tc>
        <w:tc>
          <w:tcPr>
            <w:tcW w:w="7678" w:type="dxa"/>
          </w:tcPr>
          <w:p w14:paraId="5F0B4E6B" w14:textId="77777777" w:rsidR="00533992" w:rsidRPr="0092640A" w:rsidRDefault="0092640A" w:rsidP="00533992">
            <w:pPr>
              <w:widowControl/>
              <w:numPr>
                <w:ilvl w:val="0"/>
                <w:numId w:val="4"/>
              </w:numPr>
              <w:autoSpaceDE/>
              <w:autoSpaceDN/>
              <w:spacing w:after="75" w:line="375" w:lineRule="atLeast"/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val="en-GB" w:eastAsia="en-GB"/>
              </w:rPr>
            </w:pPr>
            <w:proofErr w:type="gramStart"/>
            <w:r w:rsidRPr="0092640A">
              <w:rPr>
                <w:rFonts w:asciiTheme="minorHAnsi" w:hAnsiTheme="minorHAnsi" w:cs="Arial"/>
                <w:sz w:val="24"/>
              </w:rPr>
              <w:t>Continue</w:t>
            </w:r>
            <w:proofErr w:type="gramEnd"/>
            <w:r w:rsidRPr="0092640A">
              <w:rPr>
                <w:rFonts w:asciiTheme="minorHAnsi" w:hAnsiTheme="minorHAnsi" w:cs="Arial"/>
                <w:sz w:val="24"/>
              </w:rPr>
              <w:t xml:space="preserve"> to provide opportunities for staff to i</w:t>
            </w:r>
            <w:r w:rsidR="003C5CF3" w:rsidRPr="0092640A">
              <w:rPr>
                <w:rFonts w:asciiTheme="minorHAnsi" w:hAnsiTheme="minorHAnsi" w:cs="Arial"/>
                <w:sz w:val="24"/>
              </w:rPr>
              <w:t>ncrease the</w:t>
            </w:r>
            <w:r w:rsidRPr="0092640A">
              <w:rPr>
                <w:rFonts w:asciiTheme="minorHAnsi" w:hAnsiTheme="minorHAnsi" w:cs="Arial"/>
                <w:sz w:val="24"/>
              </w:rPr>
              <w:t>ir</w:t>
            </w:r>
            <w:r w:rsidR="003C5CF3" w:rsidRPr="0092640A">
              <w:rPr>
                <w:rFonts w:asciiTheme="minorHAnsi" w:hAnsiTheme="minorHAnsi" w:cs="Arial"/>
                <w:sz w:val="24"/>
              </w:rPr>
              <w:t xml:space="preserve"> confidenc</w:t>
            </w:r>
            <w:r w:rsidRPr="0092640A">
              <w:rPr>
                <w:rFonts w:asciiTheme="minorHAnsi" w:hAnsiTheme="minorHAnsi" w:cs="Arial"/>
                <w:sz w:val="24"/>
              </w:rPr>
              <w:t>e, knowledge and skills</w:t>
            </w:r>
            <w:r w:rsidR="003C5CF3" w:rsidRPr="0092640A">
              <w:rPr>
                <w:rFonts w:asciiTheme="minorHAnsi" w:hAnsiTheme="minorHAnsi" w:cs="Arial"/>
                <w:sz w:val="24"/>
              </w:rPr>
              <w:t>.</w:t>
            </w:r>
            <w:r w:rsidR="00533992"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val="en-GB" w:eastAsia="en-GB"/>
              </w:rPr>
              <w:t xml:space="preserve"> </w:t>
            </w:r>
          </w:p>
          <w:p w14:paraId="4FCC5A5A" w14:textId="26A8A44C" w:rsidR="00533992" w:rsidRPr="0092640A" w:rsidRDefault="0092640A" w:rsidP="00533992">
            <w:pPr>
              <w:widowControl/>
              <w:numPr>
                <w:ilvl w:val="0"/>
                <w:numId w:val="4"/>
              </w:numPr>
              <w:autoSpaceDE/>
              <w:autoSpaceDN/>
              <w:spacing w:after="75" w:line="375" w:lineRule="atLeast"/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val="en-GB" w:eastAsia="en-GB"/>
              </w:rPr>
            </w:pPr>
            <w:r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val="en-GB" w:eastAsia="en-GB"/>
              </w:rPr>
              <w:t xml:space="preserve">To </w:t>
            </w:r>
            <w:r w:rsidR="00860B4F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val="en-GB" w:eastAsia="en-GB"/>
              </w:rPr>
              <w:t>provide opportunities for</w:t>
            </w:r>
            <w:r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val="en-GB" w:eastAsia="en-GB"/>
              </w:rPr>
              <w:t xml:space="preserve"> all pupils to </w:t>
            </w:r>
            <w:r w:rsidR="00533992"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val="en-GB" w:eastAsia="en-GB"/>
              </w:rPr>
              <w:t>experience</w:t>
            </w:r>
            <w:r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val="en-GB" w:eastAsia="en-GB"/>
              </w:rPr>
              <w:t xml:space="preserve"> a broad r</w:t>
            </w:r>
            <w:r w:rsidR="00533992" w:rsidRPr="0092640A">
              <w:rPr>
                <w:rFonts w:asciiTheme="minorHAnsi" w:eastAsia="Times New Roman" w:hAnsiTheme="minorHAnsi" w:cs="Arial"/>
                <w:color w:val="0B0C0C"/>
                <w:sz w:val="24"/>
                <w:szCs w:val="24"/>
                <w:lang w:val="en-GB" w:eastAsia="en-GB"/>
              </w:rPr>
              <w:t>ange of sports and activities.</w:t>
            </w:r>
          </w:p>
          <w:p w14:paraId="6DB315B8" w14:textId="2EB3C709" w:rsidR="008D499B" w:rsidRDefault="0092640A" w:rsidP="008D499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</w:rPr>
            </w:pPr>
            <w:r w:rsidRPr="0092640A">
              <w:rPr>
                <w:rFonts w:asciiTheme="minorHAnsi" w:hAnsiTheme="minorHAnsi" w:cs="Arial"/>
                <w:sz w:val="24"/>
              </w:rPr>
              <w:t xml:space="preserve">To increase the </w:t>
            </w:r>
            <w:r w:rsidR="00533992" w:rsidRPr="0092640A">
              <w:rPr>
                <w:rFonts w:asciiTheme="minorHAnsi" w:hAnsiTheme="minorHAnsi" w:cs="Arial"/>
                <w:sz w:val="24"/>
              </w:rPr>
              <w:t>number of children attending sports clubs</w:t>
            </w:r>
            <w:r w:rsidRPr="0092640A">
              <w:rPr>
                <w:rFonts w:asciiTheme="minorHAnsi" w:hAnsiTheme="minorHAnsi" w:cs="Arial"/>
                <w:sz w:val="24"/>
              </w:rPr>
              <w:t>.</w:t>
            </w:r>
          </w:p>
          <w:p w14:paraId="41E76C6D" w14:textId="77777777" w:rsidR="00860B4F" w:rsidRPr="008D499B" w:rsidRDefault="00860B4F" w:rsidP="00860B4F">
            <w:pPr>
              <w:pStyle w:val="TableParagraph"/>
              <w:ind w:left="720"/>
              <w:rPr>
                <w:rFonts w:asciiTheme="minorHAnsi" w:hAnsiTheme="minorHAnsi" w:cs="Arial"/>
                <w:sz w:val="24"/>
              </w:rPr>
            </w:pPr>
          </w:p>
          <w:p w14:paraId="12BF51B5" w14:textId="77777777" w:rsidR="00686869" w:rsidRDefault="00686869" w:rsidP="00860B4F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50AE4A45" w14:textId="77777777" w:rsidR="0092640A" w:rsidRDefault="0092640A" w:rsidP="0092640A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  <w:p w14:paraId="49642625" w14:textId="77777777" w:rsidR="0092640A" w:rsidRDefault="0092640A" w:rsidP="0092640A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  <w:p w14:paraId="221826C5" w14:textId="77777777" w:rsidR="0092640A" w:rsidRDefault="0092640A" w:rsidP="0092640A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  <w:p w14:paraId="1394186E" w14:textId="77777777" w:rsidR="0092640A" w:rsidRPr="003C5CF3" w:rsidRDefault="0092640A" w:rsidP="0092640A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</w:tc>
      </w:tr>
    </w:tbl>
    <w:p w14:paraId="66462A24" w14:textId="77777777" w:rsidR="00C2051F" w:rsidRDefault="00C2051F" w:rsidP="00C2051F">
      <w:pPr>
        <w:pStyle w:val="BodyText"/>
        <w:rPr>
          <w:sz w:val="20"/>
        </w:rPr>
      </w:pPr>
    </w:p>
    <w:p w14:paraId="2CCBA5DC" w14:textId="77777777"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14:paraId="5285CC27" w14:textId="77777777" w:rsidTr="00D11688">
        <w:trPr>
          <w:trHeight w:val="400"/>
        </w:trPr>
        <w:tc>
          <w:tcPr>
            <w:tcW w:w="11634" w:type="dxa"/>
          </w:tcPr>
          <w:p w14:paraId="1BA6A94A" w14:textId="77777777"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63B9307B" w14:textId="77777777"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</w:t>
            </w:r>
            <w:r w:rsidR="00F12C80">
              <w:rPr>
                <w:color w:val="231F20"/>
                <w:sz w:val="26"/>
              </w:rPr>
              <w:t>ercentage</w:t>
            </w:r>
          </w:p>
        </w:tc>
      </w:tr>
      <w:tr w:rsidR="00C2051F" w14:paraId="297E9B6B" w14:textId="77777777" w:rsidTr="00D11688">
        <w:trPr>
          <w:trHeight w:val="1100"/>
        </w:trPr>
        <w:tc>
          <w:tcPr>
            <w:tcW w:w="11634" w:type="dxa"/>
          </w:tcPr>
          <w:p w14:paraId="71F5DC77" w14:textId="77777777" w:rsidR="00C2051F" w:rsidRDefault="00C2051F" w:rsidP="00750D9E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>?</w:t>
            </w:r>
          </w:p>
        </w:tc>
        <w:tc>
          <w:tcPr>
            <w:tcW w:w="3754" w:type="dxa"/>
          </w:tcPr>
          <w:p w14:paraId="0017BB71" w14:textId="76CA824A" w:rsidR="00C2051F" w:rsidRPr="00DE60A5" w:rsidRDefault="00BC4061" w:rsidP="00865F26">
            <w:pPr>
              <w:pStyle w:val="TableParagraph"/>
              <w:spacing w:before="17"/>
              <w:ind w:left="70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84</w:t>
            </w:r>
            <w:r w:rsidR="00B76503">
              <w:rPr>
                <w:rFonts w:asciiTheme="minorHAnsi" w:hAnsiTheme="minorHAnsi"/>
                <w:sz w:val="26"/>
                <w:szCs w:val="26"/>
              </w:rPr>
              <w:t>%</w:t>
            </w:r>
          </w:p>
        </w:tc>
      </w:tr>
      <w:tr w:rsidR="00C2051F" w14:paraId="03010E8B" w14:textId="77777777" w:rsidTr="00D11688">
        <w:trPr>
          <w:trHeight w:val="1280"/>
        </w:trPr>
        <w:tc>
          <w:tcPr>
            <w:tcW w:w="11634" w:type="dxa"/>
          </w:tcPr>
          <w:p w14:paraId="791D28A4" w14:textId="77777777" w:rsidR="00C2051F" w:rsidRDefault="00C2051F" w:rsidP="00750D9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</w:t>
            </w:r>
            <w:proofErr w:type="gramStart"/>
            <w:r>
              <w:rPr>
                <w:color w:val="231F20"/>
                <w:sz w:val="26"/>
              </w:rPr>
              <w:t>use</w:t>
            </w:r>
            <w:proofErr w:type="gramEnd"/>
            <w:r>
              <w:rPr>
                <w:color w:val="231F20"/>
                <w:sz w:val="26"/>
              </w:rPr>
              <w:t xml:space="preserve">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14:paraId="6EAD2212" w14:textId="64B6C20C" w:rsidR="00C2051F" w:rsidRPr="00DE60A5" w:rsidRDefault="00BC4061" w:rsidP="00865F26">
            <w:pPr>
              <w:pStyle w:val="TableParagraph"/>
              <w:spacing w:before="17"/>
              <w:ind w:left="70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78</w:t>
            </w:r>
            <w:r w:rsidR="00B76503">
              <w:rPr>
                <w:rFonts w:asciiTheme="minorHAnsi" w:hAnsiTheme="minorHAnsi"/>
                <w:sz w:val="26"/>
                <w:szCs w:val="26"/>
              </w:rPr>
              <w:t>%</w:t>
            </w:r>
          </w:p>
        </w:tc>
      </w:tr>
      <w:tr w:rsidR="00C2051F" w14:paraId="5D2EF112" w14:textId="77777777" w:rsidTr="00D11688">
        <w:trPr>
          <w:trHeight w:val="1200"/>
        </w:trPr>
        <w:tc>
          <w:tcPr>
            <w:tcW w:w="11634" w:type="dxa"/>
          </w:tcPr>
          <w:p w14:paraId="5A97A3AA" w14:textId="77777777" w:rsidR="00C2051F" w:rsidRDefault="00C2051F" w:rsidP="00750D9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14:paraId="066EA14E" w14:textId="5B4E8E91" w:rsidR="00C2051F" w:rsidRPr="00DE60A5" w:rsidRDefault="00BC4061" w:rsidP="00865F26">
            <w:pPr>
              <w:pStyle w:val="TableParagraph"/>
              <w:spacing w:before="17"/>
              <w:ind w:left="70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48</w:t>
            </w:r>
            <w:r w:rsidR="00B76503">
              <w:rPr>
                <w:rFonts w:asciiTheme="minorHAnsi" w:hAnsiTheme="minorHAnsi"/>
                <w:sz w:val="26"/>
                <w:szCs w:val="26"/>
              </w:rPr>
              <w:t>%</w:t>
            </w:r>
          </w:p>
        </w:tc>
      </w:tr>
      <w:tr w:rsidR="00C2051F" w14:paraId="3069D753" w14:textId="77777777" w:rsidTr="00D11688">
        <w:trPr>
          <w:trHeight w:val="1220"/>
        </w:trPr>
        <w:tc>
          <w:tcPr>
            <w:tcW w:w="11634" w:type="dxa"/>
          </w:tcPr>
          <w:p w14:paraId="6CE3212B" w14:textId="77777777" w:rsidR="00C2051F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proofErr w:type="gramStart"/>
            <w:r>
              <w:rPr>
                <w:color w:val="231F20"/>
                <w:sz w:val="26"/>
              </w:rPr>
              <w:t>swimming</w:t>
            </w:r>
            <w:proofErr w:type="gramEnd"/>
            <w:r>
              <w:rPr>
                <w:color w:val="231F20"/>
                <w:sz w:val="26"/>
              </w:rPr>
              <w:t xml:space="preserve">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proofErr w:type="gramStart"/>
            <w:r>
              <w:rPr>
                <w:b/>
                <w:color w:val="231F20"/>
                <w:sz w:val="26"/>
              </w:rPr>
              <w:t>over</w:t>
            </w:r>
            <w:proofErr w:type="gramEnd"/>
            <w:r>
              <w:rPr>
                <w:b/>
                <w:color w:val="231F20"/>
                <w:sz w:val="26"/>
              </w:rPr>
              <w:t xml:space="preserve">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14:paraId="1EDA1BD1" w14:textId="4ADC7F51" w:rsidR="00D55606" w:rsidRDefault="00B76503" w:rsidP="00860B4F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</w:tr>
      <w:tr w:rsidR="00C2051F" w14:paraId="434F7E7B" w14:textId="77777777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6776600B" w14:textId="77777777" w:rsidR="00C2051F" w:rsidRDefault="00C2051F" w:rsidP="00D1168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5BB41185" w14:textId="77777777" w:rsidR="001F4450" w:rsidRDefault="001F4450" w:rsidP="001F4450">
      <w:pPr>
        <w:rPr>
          <w:rFonts w:ascii="Times New Roman"/>
          <w:sz w:val="6"/>
        </w:rPr>
      </w:pPr>
    </w:p>
    <w:p w14:paraId="2610F72E" w14:textId="77777777" w:rsidR="00C2051F" w:rsidRPr="001F4450" w:rsidRDefault="00C2051F" w:rsidP="001F4450">
      <w:pPr>
        <w:rPr>
          <w:rFonts w:ascii="Times New Roman"/>
          <w:sz w:val="6"/>
        </w:rPr>
        <w:sectPr w:rsidR="00C2051F" w:rsidRPr="001F4450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73E76DB5" w14:textId="77777777" w:rsidR="00C2051F" w:rsidRDefault="00F20988" w:rsidP="00C2051F">
      <w:pPr>
        <w:pStyle w:val="BodyText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6E422" wp14:editId="310AA646">
                <wp:simplePos x="0" y="0"/>
                <wp:positionH relativeFrom="margin">
                  <wp:posOffset>437515</wp:posOffset>
                </wp:positionH>
                <wp:positionV relativeFrom="margin">
                  <wp:posOffset>0</wp:posOffset>
                </wp:positionV>
                <wp:extent cx="8886825" cy="777240"/>
                <wp:effectExtent l="0" t="0" r="9525" b="3810"/>
                <wp:wrapSquare wrapText="bothSides"/>
                <wp:docPr id="6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6825" cy="777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43B1ED" w14:textId="77777777" w:rsidR="00C2051F" w:rsidRDefault="00C2051F" w:rsidP="00F20988">
                            <w:pPr>
                              <w:spacing w:before="74" w:line="315" w:lineRule="exact"/>
                              <w:ind w:left="14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0C0DA7F1" w14:textId="77777777" w:rsidR="00C2051F" w:rsidRDefault="00C2051F" w:rsidP="00F20988">
                            <w:pPr>
                              <w:spacing w:before="3" w:line="235" w:lineRule="auto"/>
                              <w:ind w:left="142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Capture your intended annual spend against the 5 key indicators. Clarify the success criteria and evidence of impact that you intend to measure to evaluate for students today and </w:t>
                            </w:r>
                            <w:r w:rsidR="00F20988">
                              <w:rPr>
                                <w:color w:val="FFFFFF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 xml:space="preserve">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6E422" id="Text Box 29" o:spid="_x0000_s1027" type="#_x0000_t202" style="position:absolute;margin-left:34.45pt;margin-top:0;width:699.75pt;height:61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" fillcolor="#17365d [2415]" stroked="f">
                <v:textbox inset="0,0,0,0">
                  <w:txbxContent>
                    <w:p w14:paraId="3C43B1ED" w14:textId="77777777" w:rsidR="00C2051F" w:rsidRDefault="00C2051F" w:rsidP="00F20988">
                      <w:pPr>
                        <w:spacing w:before="74" w:line="315" w:lineRule="exact"/>
                        <w:ind w:left="14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0C0DA7F1" w14:textId="77777777" w:rsidR="00C2051F" w:rsidRDefault="00C2051F" w:rsidP="00F20988">
                      <w:pPr>
                        <w:spacing w:before="3" w:line="235" w:lineRule="auto"/>
                        <w:ind w:left="142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Capture your intended annual spend against the 5 key indicators. Clarify the success criteria and evidence of impact that you intend to measure to evaluate for students today and </w:t>
                      </w:r>
                      <w:r w:rsidR="00F20988">
                        <w:rPr>
                          <w:color w:val="FFFFFF"/>
                          <w:sz w:val="26"/>
                        </w:rPr>
                        <w:t>in</w:t>
                      </w:r>
                      <w:r>
                        <w:rPr>
                          <w:color w:val="FFFFFF"/>
                          <w:sz w:val="26"/>
                        </w:rPr>
                        <w:t xml:space="preserve"> the future.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C63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998E92" wp14:editId="1DFF20ED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6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9BF5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</w:p>
    <w:p w14:paraId="1068BC55" w14:textId="77777777" w:rsidR="00C2051F" w:rsidRDefault="00C2051F" w:rsidP="00C2051F">
      <w:pPr>
        <w:pStyle w:val="BodyText"/>
        <w:rPr>
          <w:sz w:val="20"/>
        </w:rPr>
      </w:pPr>
    </w:p>
    <w:p w14:paraId="1D0DBADC" w14:textId="77777777"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2051F" w14:paraId="5242EF1F" w14:textId="77777777" w:rsidTr="00D11688">
        <w:trPr>
          <w:trHeight w:val="380"/>
        </w:trPr>
        <w:tc>
          <w:tcPr>
            <w:tcW w:w="3720" w:type="dxa"/>
          </w:tcPr>
          <w:p w14:paraId="32C64351" w14:textId="2C0629FD" w:rsidR="00C2051F" w:rsidRDefault="00C2051F" w:rsidP="0092640A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686869">
              <w:rPr>
                <w:color w:val="231F20"/>
                <w:sz w:val="24"/>
              </w:rPr>
              <w:t>20</w:t>
            </w:r>
            <w:r w:rsidR="0092640A">
              <w:rPr>
                <w:color w:val="231F20"/>
                <w:sz w:val="24"/>
              </w:rPr>
              <w:t>2</w:t>
            </w:r>
            <w:r w:rsidR="00BC4061">
              <w:rPr>
                <w:color w:val="231F20"/>
                <w:sz w:val="24"/>
              </w:rPr>
              <w:t>3</w:t>
            </w:r>
            <w:r w:rsidR="00686869">
              <w:rPr>
                <w:color w:val="231F20"/>
                <w:sz w:val="24"/>
              </w:rPr>
              <w:t>/</w:t>
            </w:r>
            <w:r w:rsidR="0092640A">
              <w:rPr>
                <w:color w:val="231F20"/>
                <w:sz w:val="24"/>
              </w:rPr>
              <w:t>202</w:t>
            </w:r>
            <w:r w:rsidR="00BC4061">
              <w:rPr>
                <w:color w:val="231F20"/>
                <w:sz w:val="24"/>
              </w:rPr>
              <w:t>4</w:t>
            </w:r>
            <w:r w:rsidR="00C95B1A"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3600" w:type="dxa"/>
          </w:tcPr>
          <w:p w14:paraId="7B115982" w14:textId="77777777" w:rsidR="00C2051F" w:rsidRDefault="00C2051F" w:rsidP="0092640A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</w:p>
        </w:tc>
        <w:tc>
          <w:tcPr>
            <w:tcW w:w="4923" w:type="dxa"/>
            <w:gridSpan w:val="2"/>
          </w:tcPr>
          <w:p w14:paraId="63A3BD52" w14:textId="2B48D64F" w:rsidR="00C2051F" w:rsidRDefault="00C2051F" w:rsidP="00D11688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1BA2DE9D" w14:textId="77777777" w:rsidR="00C2051F" w:rsidRDefault="00C2051F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51F" w14:paraId="63FC0DB2" w14:textId="77777777" w:rsidTr="00D11688">
        <w:trPr>
          <w:trHeight w:val="320"/>
        </w:trPr>
        <w:tc>
          <w:tcPr>
            <w:tcW w:w="12243" w:type="dxa"/>
            <w:gridSpan w:val="4"/>
            <w:vMerge w:val="restart"/>
          </w:tcPr>
          <w:p w14:paraId="6CDC5A0A" w14:textId="77777777" w:rsidR="00C2051F" w:rsidRDefault="00C2051F" w:rsidP="00D11688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14:paraId="5C773368" w14:textId="77777777" w:rsidR="00C2051F" w:rsidRDefault="00C2051F" w:rsidP="00D11688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53A2C328" w14:textId="77777777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7A65B9A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414F90A" w14:textId="77777777" w:rsidR="00C2051F" w:rsidRDefault="00C2051F" w:rsidP="00D11688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</w:p>
        </w:tc>
      </w:tr>
      <w:tr w:rsidR="00C2051F" w14:paraId="361B2ABD" w14:textId="77777777" w:rsidTr="00D11688">
        <w:trPr>
          <w:trHeight w:val="640"/>
        </w:trPr>
        <w:tc>
          <w:tcPr>
            <w:tcW w:w="3720" w:type="dxa"/>
          </w:tcPr>
          <w:p w14:paraId="2625BD29" w14:textId="77777777" w:rsidR="00C2051F" w:rsidRDefault="00C2051F" w:rsidP="00D11688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10D68964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11617D59" w14:textId="77777777"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641285C3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35A28027" w14:textId="77777777"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14:paraId="0AD6A7E7" w14:textId="77777777" w:rsidTr="00D11688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B4374F1" w14:textId="77777777" w:rsidR="00C2051F" w:rsidRPr="00646B0F" w:rsidRDefault="00646B0F" w:rsidP="00DC25A1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increase the number of</w:t>
            </w:r>
            <w:r w:rsidR="00681875" w:rsidRPr="00646B0F">
              <w:rPr>
                <w:rFonts w:asciiTheme="minorHAnsi" w:hAnsiTheme="minorHAnsi"/>
                <w:sz w:val="24"/>
              </w:rPr>
              <w:t xml:space="preserve"> </w:t>
            </w:r>
            <w:r w:rsidR="00DC25A1" w:rsidRPr="00646B0F">
              <w:rPr>
                <w:rFonts w:asciiTheme="minorHAnsi" w:hAnsiTheme="minorHAnsi"/>
                <w:sz w:val="24"/>
              </w:rPr>
              <w:t xml:space="preserve">children </w:t>
            </w:r>
            <w:r>
              <w:rPr>
                <w:rFonts w:asciiTheme="minorHAnsi" w:hAnsiTheme="minorHAnsi"/>
                <w:sz w:val="24"/>
              </w:rPr>
              <w:t>who</w:t>
            </w:r>
            <w:r w:rsidR="00DC25A1" w:rsidRPr="00646B0F">
              <w:rPr>
                <w:rFonts w:asciiTheme="minorHAnsi" w:hAnsiTheme="minorHAnsi"/>
                <w:sz w:val="24"/>
              </w:rPr>
              <w:t xml:space="preserve"> take part in active play activities at lunchtime and playtimes.</w:t>
            </w:r>
          </w:p>
          <w:p w14:paraId="75EA2B0C" w14:textId="77777777" w:rsidR="00DE60A5" w:rsidRPr="00DC25A1" w:rsidRDefault="000E236F" w:rsidP="00646B0F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 w:rsidRPr="000E236F">
              <w:rPr>
                <w:rFonts w:asciiTheme="minorHAnsi" w:hAnsiTheme="minorHAnsi"/>
                <w:sz w:val="24"/>
                <w:szCs w:val="24"/>
              </w:rPr>
              <w:t>Increased amount of active time during PE lessons.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BF5559D" w14:textId="3FFF0B21" w:rsidR="003964FC" w:rsidRPr="00B83B89" w:rsidRDefault="00646B0F" w:rsidP="00DC25A1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 w:rsidRPr="00B83B89">
              <w:rPr>
                <w:rFonts w:asciiTheme="minorHAnsi" w:hAnsiTheme="minorHAnsi"/>
                <w:sz w:val="24"/>
              </w:rPr>
              <w:t>Investment in new equipment.</w:t>
            </w:r>
          </w:p>
          <w:p w14:paraId="7DE23ECC" w14:textId="77777777" w:rsidR="000E236F" w:rsidRDefault="000E236F" w:rsidP="000E236F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On the day children have PE, they will continue to be allowed to attend school in their PE kit.</w:t>
            </w:r>
          </w:p>
          <w:p w14:paraId="6B902559" w14:textId="77777777" w:rsidR="000E236F" w:rsidRDefault="000E236F" w:rsidP="000E236F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Continue to monitor the quality of break time and lunch time equipment.</w:t>
            </w:r>
          </w:p>
          <w:p w14:paraId="13F5B04F" w14:textId="33B5DD4C" w:rsidR="000E236F" w:rsidRPr="00646B0F" w:rsidRDefault="000E236F" w:rsidP="000E236F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Make sure </w:t>
            </w:r>
            <w:r w:rsidR="00C95B1A">
              <w:rPr>
                <w:rFonts w:asciiTheme="minorHAnsi" w:hAnsiTheme="minorHAnsi"/>
                <w:sz w:val="24"/>
              </w:rPr>
              <w:t>the equipment</w:t>
            </w:r>
            <w:r>
              <w:rPr>
                <w:rFonts w:asciiTheme="minorHAnsi" w:hAnsiTheme="minorHAnsi"/>
                <w:sz w:val="24"/>
              </w:rPr>
              <w:t xml:space="preserve"> is well org</w:t>
            </w:r>
            <w:r w:rsidR="00C95B1A">
              <w:rPr>
                <w:rFonts w:asciiTheme="minorHAnsi" w:hAnsiTheme="minorHAnsi"/>
                <w:sz w:val="24"/>
              </w:rPr>
              <w:t>a</w:t>
            </w:r>
            <w:r>
              <w:rPr>
                <w:rFonts w:asciiTheme="minorHAnsi" w:hAnsiTheme="minorHAnsi"/>
                <w:sz w:val="24"/>
              </w:rPr>
              <w:t>nised and accessible.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96BD86F" w14:textId="2FFE0E27" w:rsidR="008C78E8" w:rsidRDefault="00A56967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Equipment - £</w:t>
            </w:r>
            <w:r w:rsidR="00240D81">
              <w:rPr>
                <w:rFonts w:asciiTheme="minorHAnsi" w:hAnsiTheme="minorHAnsi"/>
                <w:sz w:val="24"/>
              </w:rPr>
              <w:t>6,960.62</w:t>
            </w:r>
          </w:p>
          <w:p w14:paraId="4E765258" w14:textId="2C41D65B" w:rsidR="002D2D18" w:rsidRDefault="002D2D18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4C93979" w14:textId="779B2833" w:rsidR="002D2D18" w:rsidRPr="008C78E8" w:rsidRDefault="002D2D18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Real PE-</w:t>
            </w:r>
            <w:r w:rsidR="00C95B1A">
              <w:rPr>
                <w:rFonts w:asciiTheme="minorHAnsi" w:hAnsiTheme="minorHAnsi"/>
                <w:sz w:val="24"/>
              </w:rPr>
              <w:t>£</w:t>
            </w:r>
            <w:r w:rsidR="00240D81">
              <w:rPr>
                <w:rFonts w:asciiTheme="minorHAnsi" w:hAnsiTheme="minorHAnsi"/>
                <w:sz w:val="24"/>
              </w:rPr>
              <w:t>1390</w:t>
            </w:r>
          </w:p>
          <w:p w14:paraId="52ABD18A" w14:textId="6218510D" w:rsidR="008C78E8" w:rsidRPr="00DC25A1" w:rsidRDefault="008C78E8" w:rsidP="00D11688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7E12604" w14:textId="0BC2E310" w:rsidR="00E1027C" w:rsidRDefault="00E1027C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 increased number of children were active during </w:t>
            </w:r>
            <w:r w:rsidR="00C95B1A">
              <w:rPr>
                <w:rFonts w:asciiTheme="minorHAnsi" w:hAnsiTheme="minorHAnsi"/>
                <w:sz w:val="24"/>
              </w:rPr>
              <w:t>lunchtimes</w:t>
            </w:r>
            <w:r>
              <w:rPr>
                <w:rFonts w:asciiTheme="minorHAnsi" w:hAnsiTheme="minorHAnsi"/>
                <w:sz w:val="24"/>
              </w:rPr>
              <w:t xml:space="preserve"> and breaks using the equipment provided.</w:t>
            </w:r>
          </w:p>
          <w:p w14:paraId="158A9640" w14:textId="77777777" w:rsidR="00E1027C" w:rsidRDefault="00E1027C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054A4E1" w14:textId="573E3CBC" w:rsidR="00E1027C" w:rsidRDefault="00E1027C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Active time during PE was </w:t>
            </w:r>
            <w:proofErr w:type="spellStart"/>
            <w:r>
              <w:rPr>
                <w:rFonts w:asciiTheme="minorHAnsi" w:hAnsiTheme="minorHAnsi"/>
                <w:sz w:val="24"/>
              </w:rPr>
              <w:t>maximised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by implementing our Real PE based lessons and having high quality equipment available.</w:t>
            </w:r>
          </w:p>
          <w:p w14:paraId="29CDC2CC" w14:textId="77777777" w:rsidR="001E43A7" w:rsidRDefault="001E43A7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6033DFE7" w14:textId="6E448128" w:rsidR="001E43A7" w:rsidRDefault="001E43A7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High quality PE equipment was purchased to support high quality PE lessons including long lasting football goals x2.</w:t>
            </w:r>
          </w:p>
          <w:p w14:paraId="24927CD7" w14:textId="437C6063" w:rsidR="00C2051F" w:rsidRPr="00DC25A1" w:rsidRDefault="00E1027C" w:rsidP="00D11688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2A4F82C5" w14:textId="77777777" w:rsidR="00C477C6" w:rsidRDefault="00E1027C" w:rsidP="0092640A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Equipment to be maintained and replenished when necessary.</w:t>
            </w:r>
          </w:p>
          <w:p w14:paraId="1726A234" w14:textId="3755270A" w:rsidR="00E1027C" w:rsidRDefault="00E1027C" w:rsidP="0092640A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2BA90BF9" w14:textId="77777777" w:rsidR="00E1027C" w:rsidRDefault="00E1027C" w:rsidP="0092640A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22CC188D" w14:textId="1AABAC68" w:rsidR="00E1027C" w:rsidRPr="00DC25A1" w:rsidRDefault="00E1027C" w:rsidP="0092640A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</w:tr>
      <w:tr w:rsidR="00C2051F" w14:paraId="33088CB4" w14:textId="77777777" w:rsidTr="00D11688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67F3F1C0" w14:textId="77777777" w:rsidR="00C2051F" w:rsidRDefault="00C2051F" w:rsidP="00D11688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148E52BB" w14:textId="77777777" w:rsidR="00C2051F" w:rsidRDefault="00C2051F" w:rsidP="00D11688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5083ADCB" w14:textId="77777777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A0A94C7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2FA89C2" w14:textId="77777777" w:rsidR="00C2051F" w:rsidRPr="00DC25A1" w:rsidRDefault="00C2051F" w:rsidP="00D11688">
            <w:pPr>
              <w:pStyle w:val="TableParagraph"/>
              <w:spacing w:before="21" w:line="279" w:lineRule="exact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2051F" w14:paraId="1B06E1E6" w14:textId="77777777" w:rsidTr="00D11688">
        <w:trPr>
          <w:trHeight w:val="600"/>
        </w:trPr>
        <w:tc>
          <w:tcPr>
            <w:tcW w:w="3720" w:type="dxa"/>
          </w:tcPr>
          <w:p w14:paraId="66AF282D" w14:textId="77777777" w:rsidR="00C2051F" w:rsidRDefault="00C2051F" w:rsidP="00D11688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68A5219C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220740A8" w14:textId="77777777"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0B481E7D" w14:textId="77777777"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68C65063" w14:textId="77777777"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14:paraId="20813ABF" w14:textId="77777777" w:rsidTr="0062544C">
        <w:trPr>
          <w:trHeight w:val="60"/>
        </w:trPr>
        <w:tc>
          <w:tcPr>
            <w:tcW w:w="3720" w:type="dxa"/>
          </w:tcPr>
          <w:p w14:paraId="7214F8A9" w14:textId="392609C4" w:rsidR="00C2051F" w:rsidRPr="00646B0F" w:rsidRDefault="00646B0F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increase</w:t>
            </w:r>
            <w:r w:rsidR="0062544C" w:rsidRPr="00646B0F">
              <w:rPr>
                <w:rFonts w:asciiTheme="minorHAnsi" w:hAnsiTheme="minorHAnsi"/>
                <w:sz w:val="24"/>
              </w:rPr>
              <w:t xml:space="preserve"> the</w:t>
            </w:r>
            <w:r w:rsidR="003E33D3" w:rsidRPr="00646B0F">
              <w:rPr>
                <w:rFonts w:asciiTheme="minorHAnsi" w:hAnsiTheme="minorHAnsi"/>
                <w:sz w:val="24"/>
              </w:rPr>
              <w:t xml:space="preserve"> number of children attending </w:t>
            </w:r>
            <w:r w:rsidR="00C95B1A" w:rsidRPr="00646B0F">
              <w:rPr>
                <w:rFonts w:asciiTheme="minorHAnsi" w:hAnsiTheme="minorHAnsi"/>
                <w:sz w:val="24"/>
              </w:rPr>
              <w:t>after-school</w:t>
            </w:r>
            <w:r w:rsidR="003E33D3" w:rsidRPr="00646B0F">
              <w:rPr>
                <w:rFonts w:asciiTheme="minorHAnsi" w:hAnsiTheme="minorHAnsi"/>
                <w:sz w:val="24"/>
              </w:rPr>
              <w:t xml:space="preserve"> clubs</w:t>
            </w:r>
            <w:r w:rsidR="0062544C" w:rsidRPr="00646B0F">
              <w:rPr>
                <w:rFonts w:asciiTheme="minorHAnsi" w:hAnsiTheme="minorHAnsi"/>
                <w:sz w:val="24"/>
              </w:rPr>
              <w:t>.</w:t>
            </w:r>
          </w:p>
          <w:p w14:paraId="29946FDF" w14:textId="672F6B3F" w:rsidR="008B78C4" w:rsidRDefault="00646B0F" w:rsidP="008B78C4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All</w:t>
            </w:r>
            <w:r w:rsidR="0062544C" w:rsidRPr="00646B0F">
              <w:rPr>
                <w:rFonts w:asciiTheme="minorHAnsi" w:hAnsiTheme="minorHAnsi"/>
                <w:sz w:val="24"/>
              </w:rPr>
              <w:t xml:space="preserve"> children </w:t>
            </w:r>
            <w:r w:rsidR="00C95B1A" w:rsidRPr="00646B0F">
              <w:rPr>
                <w:rFonts w:asciiTheme="minorHAnsi" w:hAnsiTheme="minorHAnsi"/>
                <w:sz w:val="24"/>
              </w:rPr>
              <w:t>have</w:t>
            </w:r>
            <w:r w:rsidR="0062544C" w:rsidRPr="00646B0F">
              <w:rPr>
                <w:rFonts w:asciiTheme="minorHAnsi" w:hAnsiTheme="minorHAnsi"/>
                <w:sz w:val="24"/>
              </w:rPr>
              <w:t xml:space="preserve"> further opportunities to participate in</w:t>
            </w:r>
            <w:r>
              <w:rPr>
                <w:rFonts w:asciiTheme="minorHAnsi" w:hAnsiTheme="minorHAnsi"/>
                <w:sz w:val="24"/>
              </w:rPr>
              <w:t xml:space="preserve"> level 1 and </w:t>
            </w:r>
            <w:r w:rsidR="0062544C" w:rsidRPr="00646B0F">
              <w:rPr>
                <w:rFonts w:asciiTheme="minorHAnsi" w:hAnsiTheme="minorHAnsi"/>
                <w:sz w:val="24"/>
              </w:rPr>
              <w:t>level 2 competitions.</w:t>
            </w:r>
          </w:p>
          <w:p w14:paraId="3E9476E2" w14:textId="77777777" w:rsidR="008B78C4" w:rsidRPr="008B78C4" w:rsidRDefault="008B78C4" w:rsidP="008B78C4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Raise the profile of sport by linking to career opportunities and the world of work.</w:t>
            </w:r>
          </w:p>
        </w:tc>
        <w:tc>
          <w:tcPr>
            <w:tcW w:w="3600" w:type="dxa"/>
          </w:tcPr>
          <w:p w14:paraId="60A190C5" w14:textId="77777777" w:rsidR="00C2051F" w:rsidRPr="00646B0F" w:rsidRDefault="00834B18" w:rsidP="00834B18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Increasing the </w:t>
            </w:r>
            <w:r w:rsidR="003E33D3" w:rsidRPr="00646B0F">
              <w:rPr>
                <w:rFonts w:asciiTheme="minorHAnsi" w:hAnsiTheme="minorHAnsi"/>
                <w:sz w:val="24"/>
              </w:rPr>
              <w:t>number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8B78C4">
              <w:rPr>
                <w:rFonts w:asciiTheme="minorHAnsi" w:hAnsiTheme="minorHAnsi"/>
                <w:sz w:val="24"/>
              </w:rPr>
              <w:t xml:space="preserve">of </w:t>
            </w:r>
            <w:r>
              <w:rPr>
                <w:rFonts w:asciiTheme="minorHAnsi" w:hAnsiTheme="minorHAnsi"/>
                <w:sz w:val="24"/>
              </w:rPr>
              <w:t>c</w:t>
            </w:r>
            <w:r w:rsidR="003E33D3" w:rsidRPr="00646B0F">
              <w:rPr>
                <w:rFonts w:asciiTheme="minorHAnsi" w:hAnsiTheme="minorHAnsi"/>
                <w:sz w:val="24"/>
              </w:rPr>
              <w:t>hildren</w:t>
            </w:r>
            <w:r w:rsidR="0062544C" w:rsidRPr="00646B0F">
              <w:rPr>
                <w:rFonts w:asciiTheme="minorHAnsi" w:hAnsiTheme="minorHAnsi"/>
                <w:sz w:val="24"/>
              </w:rPr>
              <w:t xml:space="preserve"> participating in</w:t>
            </w:r>
            <w:r>
              <w:rPr>
                <w:rFonts w:asciiTheme="minorHAnsi" w:hAnsiTheme="minorHAnsi"/>
                <w:sz w:val="24"/>
              </w:rPr>
              <w:t xml:space="preserve"> both in school and </w:t>
            </w:r>
            <w:r w:rsidR="0062544C" w:rsidRPr="00646B0F">
              <w:rPr>
                <w:rFonts w:asciiTheme="minorHAnsi" w:hAnsiTheme="minorHAnsi"/>
                <w:sz w:val="24"/>
              </w:rPr>
              <w:t>inter school competitions</w:t>
            </w:r>
            <w:r w:rsidR="003E33D3" w:rsidRPr="00646B0F">
              <w:rPr>
                <w:rFonts w:asciiTheme="minorHAnsi" w:hAnsiTheme="minorHAnsi"/>
                <w:sz w:val="24"/>
              </w:rPr>
              <w:t>.</w:t>
            </w:r>
          </w:p>
          <w:p w14:paraId="313BB926" w14:textId="52E88391" w:rsidR="003E33D3" w:rsidRPr="00834B18" w:rsidRDefault="00834B18" w:rsidP="00834B18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The introduction of a Year </w:t>
            </w:r>
            <w:r w:rsidR="00860B4F">
              <w:rPr>
                <w:rFonts w:asciiTheme="minorHAnsi" w:hAnsiTheme="minorHAnsi"/>
                <w:sz w:val="24"/>
              </w:rPr>
              <w:t>5/</w:t>
            </w:r>
            <w:r>
              <w:rPr>
                <w:rFonts w:asciiTheme="minorHAnsi" w:hAnsiTheme="minorHAnsi"/>
                <w:sz w:val="24"/>
              </w:rPr>
              <w:t xml:space="preserve">6 football team, </w:t>
            </w:r>
            <w:r w:rsidR="008A27DE">
              <w:rPr>
                <w:rFonts w:asciiTheme="minorHAnsi" w:hAnsiTheme="minorHAnsi"/>
                <w:sz w:val="24"/>
              </w:rPr>
              <w:t>y</w:t>
            </w:r>
            <w:r>
              <w:rPr>
                <w:rFonts w:asciiTheme="minorHAnsi" w:hAnsiTheme="minorHAnsi"/>
                <w:sz w:val="24"/>
              </w:rPr>
              <w:t xml:space="preserve">ear 5/6 girls football team (to </w:t>
            </w:r>
            <w:r w:rsidR="008B78C4">
              <w:rPr>
                <w:rFonts w:asciiTheme="minorHAnsi" w:hAnsiTheme="minorHAnsi"/>
                <w:sz w:val="24"/>
              </w:rPr>
              <w:t>enter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lastRenderedPageBreak/>
              <w:t>the Jill Scott cup)</w:t>
            </w:r>
            <w:r w:rsidR="008A27DE">
              <w:rPr>
                <w:rFonts w:asciiTheme="minorHAnsi" w:hAnsiTheme="minorHAnsi"/>
                <w:sz w:val="24"/>
              </w:rPr>
              <w:t xml:space="preserve"> and a year 4 team (to </w:t>
            </w:r>
            <w:r w:rsidR="008B78C4">
              <w:rPr>
                <w:rFonts w:asciiTheme="minorHAnsi" w:hAnsiTheme="minorHAnsi"/>
                <w:sz w:val="24"/>
              </w:rPr>
              <w:t>enter</w:t>
            </w:r>
            <w:r w:rsidR="008A27DE">
              <w:rPr>
                <w:rFonts w:asciiTheme="minorHAnsi" w:hAnsiTheme="minorHAnsi"/>
                <w:sz w:val="24"/>
              </w:rPr>
              <w:t xml:space="preserve"> the county cup).</w:t>
            </w:r>
          </w:p>
          <w:p w14:paraId="5B3AA9A4" w14:textId="77777777" w:rsidR="00834B18" w:rsidRDefault="00834B18" w:rsidP="00B83B8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color w:val="000000" w:themeColor="text1"/>
                <w:sz w:val="24"/>
                <w:szCs w:val="20"/>
              </w:rPr>
            </w:pPr>
            <w:r w:rsidRPr="00834B18">
              <w:rPr>
                <w:color w:val="000000" w:themeColor="text1"/>
                <w:sz w:val="24"/>
                <w:szCs w:val="20"/>
              </w:rPr>
              <w:t>Entry</w:t>
            </w:r>
            <w:r w:rsidR="00B83B89">
              <w:rPr>
                <w:color w:val="000000" w:themeColor="text1"/>
                <w:sz w:val="24"/>
                <w:szCs w:val="20"/>
              </w:rPr>
              <w:t xml:space="preserve"> into the Sunderland Schools Sports Partnership’s</w:t>
            </w:r>
            <w:r w:rsidRPr="00834B18">
              <w:rPr>
                <w:color w:val="000000" w:themeColor="text1"/>
                <w:sz w:val="24"/>
                <w:szCs w:val="20"/>
              </w:rPr>
              <w:t xml:space="preserve"> 6 flagship competitions featuring swimming gala, trampoline festival, health &amp; wellbeing launch event, Olympic Sports day, Infant agility challenge and Gymnastics celebration</w:t>
            </w:r>
          </w:p>
          <w:p w14:paraId="4F851958" w14:textId="1E4AEA35" w:rsidR="008C78E8" w:rsidRPr="00860B4F" w:rsidRDefault="00B83B89" w:rsidP="00F7378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color w:val="000000" w:themeColor="text1"/>
                <w:sz w:val="24"/>
                <w:szCs w:val="20"/>
              </w:rPr>
            </w:pPr>
            <w:r w:rsidRPr="00860B4F">
              <w:rPr>
                <w:color w:val="000000" w:themeColor="text1"/>
                <w:sz w:val="24"/>
                <w:szCs w:val="20"/>
              </w:rPr>
              <w:t xml:space="preserve">Providing a </w:t>
            </w:r>
            <w:r w:rsidR="001214DF" w:rsidRPr="00860B4F">
              <w:rPr>
                <w:color w:val="000000" w:themeColor="text1"/>
                <w:sz w:val="24"/>
                <w:szCs w:val="20"/>
              </w:rPr>
              <w:t>range of school clubs including</w:t>
            </w:r>
            <w:r w:rsidRPr="00860B4F">
              <w:rPr>
                <w:color w:val="000000" w:themeColor="text1"/>
                <w:sz w:val="24"/>
                <w:szCs w:val="20"/>
              </w:rPr>
              <w:t xml:space="preserve"> gymn</w:t>
            </w:r>
            <w:r w:rsidR="001214DF" w:rsidRPr="00860B4F">
              <w:rPr>
                <w:color w:val="000000" w:themeColor="text1"/>
                <w:sz w:val="24"/>
                <w:szCs w:val="20"/>
              </w:rPr>
              <w:t xml:space="preserve">astics, </w:t>
            </w:r>
            <w:r w:rsidR="00860B4F" w:rsidRPr="00860B4F">
              <w:rPr>
                <w:color w:val="000000" w:themeColor="text1"/>
                <w:sz w:val="24"/>
                <w:szCs w:val="20"/>
              </w:rPr>
              <w:t>dancing, football</w:t>
            </w:r>
            <w:r w:rsidR="001214DF" w:rsidRPr="00860B4F">
              <w:rPr>
                <w:color w:val="000000" w:themeColor="text1"/>
                <w:sz w:val="24"/>
                <w:szCs w:val="20"/>
              </w:rPr>
              <w:t xml:space="preserve"> and netball</w:t>
            </w:r>
            <w:r w:rsidR="00860B4F" w:rsidRPr="00860B4F">
              <w:rPr>
                <w:color w:val="000000" w:themeColor="text1"/>
                <w:sz w:val="24"/>
                <w:szCs w:val="20"/>
              </w:rPr>
              <w:t>.</w:t>
            </w:r>
          </w:p>
          <w:p w14:paraId="402A3549" w14:textId="77777777" w:rsidR="008B78C4" w:rsidRPr="00834B18" w:rsidRDefault="008B78C4" w:rsidP="001214D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color w:val="000000" w:themeColor="text1"/>
                <w:sz w:val="24"/>
                <w:szCs w:val="20"/>
              </w:rPr>
              <w:t>Organise</w:t>
            </w:r>
            <w:proofErr w:type="spellEnd"/>
            <w:r>
              <w:rPr>
                <w:color w:val="000000" w:themeColor="text1"/>
                <w:sz w:val="24"/>
                <w:szCs w:val="20"/>
              </w:rPr>
              <w:t xml:space="preserve"> a careers event linked to sport.</w:t>
            </w:r>
          </w:p>
        </w:tc>
        <w:tc>
          <w:tcPr>
            <w:tcW w:w="1616" w:type="dxa"/>
          </w:tcPr>
          <w:p w14:paraId="75AB09FB" w14:textId="77777777" w:rsidR="001E43A7" w:rsidRDefault="001E43A7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60627A36" w14:textId="342C9457" w:rsidR="001E43A7" w:rsidRDefault="001E43A7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Foundation of Light </w:t>
            </w:r>
            <w:proofErr w:type="gramStart"/>
            <w:r>
              <w:rPr>
                <w:rFonts w:asciiTheme="minorHAnsi" w:hAnsiTheme="minorHAnsi"/>
                <w:sz w:val="24"/>
              </w:rPr>
              <w:t>-  Whole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school visit- £</w:t>
            </w:r>
            <w:r w:rsidR="00240D81">
              <w:rPr>
                <w:rFonts w:asciiTheme="minorHAnsi" w:hAnsiTheme="minorHAnsi"/>
                <w:sz w:val="24"/>
              </w:rPr>
              <w:t>1500</w:t>
            </w:r>
            <w:r>
              <w:rPr>
                <w:rFonts w:asciiTheme="minorHAnsi" w:hAnsiTheme="minorHAnsi"/>
                <w:sz w:val="24"/>
              </w:rPr>
              <w:t>.</w:t>
            </w:r>
            <w:r w:rsidR="00240D81">
              <w:rPr>
                <w:rFonts w:asciiTheme="minorHAnsi" w:hAnsiTheme="minorHAnsi"/>
                <w:sz w:val="24"/>
              </w:rPr>
              <w:t>00</w:t>
            </w:r>
          </w:p>
          <w:p w14:paraId="33B9D144" w14:textId="04823ACD" w:rsidR="008A1A5A" w:rsidRDefault="008A1A5A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621D351E" w14:textId="586E1AF7" w:rsidR="00E1027C" w:rsidRDefault="008A1A5A" w:rsidP="00C95B1A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Beacon of L</w:t>
            </w:r>
            <w:r w:rsidR="00A56967">
              <w:rPr>
                <w:rFonts w:asciiTheme="minorHAnsi" w:hAnsiTheme="minorHAnsi"/>
                <w:sz w:val="24"/>
              </w:rPr>
              <w:t xml:space="preserve">ight </w:t>
            </w:r>
            <w:r>
              <w:rPr>
                <w:rFonts w:asciiTheme="minorHAnsi" w:hAnsiTheme="minorHAnsi"/>
                <w:sz w:val="24"/>
              </w:rPr>
              <w:lastRenderedPageBreak/>
              <w:t xml:space="preserve">court rental – </w:t>
            </w:r>
            <w:r w:rsidR="001E43A7">
              <w:rPr>
                <w:rFonts w:asciiTheme="minorHAnsi" w:hAnsiTheme="minorHAnsi"/>
                <w:sz w:val="24"/>
              </w:rPr>
              <w:t>£2,686.88</w:t>
            </w:r>
          </w:p>
          <w:p w14:paraId="1DAF7F59" w14:textId="0A6718DD" w:rsidR="00E1027C" w:rsidRDefault="00E1027C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97B989E" w14:textId="54F312D9" w:rsidR="00E1027C" w:rsidRDefault="00E1027C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Community Centre Rental- </w:t>
            </w:r>
            <w:r w:rsidR="001E43A7">
              <w:rPr>
                <w:rFonts w:asciiTheme="minorHAnsi" w:hAnsiTheme="minorHAnsi"/>
                <w:sz w:val="24"/>
              </w:rPr>
              <w:t>£240.50</w:t>
            </w:r>
          </w:p>
          <w:p w14:paraId="119AA79A" w14:textId="78056DE8" w:rsidR="008C78E8" w:rsidRDefault="008C78E8" w:rsidP="00D11688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751C8A78" w14:textId="0B63A59D" w:rsidR="008C78E8" w:rsidRDefault="00A56967" w:rsidP="00D11688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Competition entry fees - £</w:t>
            </w:r>
            <w:r w:rsidR="001E43A7">
              <w:rPr>
                <w:rFonts w:asciiTheme="minorHAnsi" w:hAnsiTheme="minorHAnsi"/>
                <w:sz w:val="24"/>
              </w:rPr>
              <w:t>420</w:t>
            </w:r>
          </w:p>
          <w:p w14:paraId="62F92164" w14:textId="77777777" w:rsidR="008C78E8" w:rsidRDefault="008C78E8" w:rsidP="00D11688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4A6779D2" w14:textId="2FD765C5" w:rsidR="008C78E8" w:rsidRPr="008C78E8" w:rsidRDefault="008C78E8" w:rsidP="00860B4F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  <w:tc>
          <w:tcPr>
            <w:tcW w:w="3307" w:type="dxa"/>
          </w:tcPr>
          <w:p w14:paraId="46B4266B" w14:textId="1163AC78" w:rsidR="00E1027C" w:rsidRDefault="00E1027C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More children were able to access </w:t>
            </w:r>
            <w:r w:rsidR="005D0FB0">
              <w:rPr>
                <w:rFonts w:asciiTheme="minorHAnsi" w:hAnsiTheme="minorHAnsi"/>
                <w:sz w:val="24"/>
              </w:rPr>
              <w:t>after-school</w:t>
            </w:r>
            <w:r>
              <w:rPr>
                <w:rFonts w:asciiTheme="minorHAnsi" w:hAnsiTheme="minorHAnsi"/>
                <w:sz w:val="24"/>
              </w:rPr>
              <w:t xml:space="preserve"> clubs because of facilities</w:t>
            </w:r>
            <w:r w:rsidR="004A01BC">
              <w:rPr>
                <w:rFonts w:asciiTheme="minorHAnsi" w:hAnsiTheme="minorHAnsi"/>
                <w:sz w:val="24"/>
              </w:rPr>
              <w:t xml:space="preserve"> and professional coaches being hired</w:t>
            </w:r>
            <w:r w:rsidR="00C95B1A">
              <w:rPr>
                <w:rFonts w:asciiTheme="minorHAnsi" w:hAnsiTheme="minorHAnsi"/>
                <w:sz w:val="24"/>
              </w:rPr>
              <w:t>. This was during a period when part of the school was inaccessible.</w:t>
            </w:r>
          </w:p>
          <w:p w14:paraId="7A4F7DB7" w14:textId="77777777" w:rsidR="00C95B1A" w:rsidRDefault="00C95B1A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1CF11970" w14:textId="0F6C07F0" w:rsidR="00E1027C" w:rsidRDefault="00E1027C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Over </w:t>
            </w:r>
            <w:r w:rsidR="00C95B1A">
              <w:rPr>
                <w:rFonts w:asciiTheme="minorHAnsi" w:hAnsiTheme="minorHAnsi"/>
                <w:sz w:val="24"/>
              </w:rPr>
              <w:t>85</w:t>
            </w:r>
            <w:r>
              <w:rPr>
                <w:rFonts w:asciiTheme="minorHAnsi" w:hAnsiTheme="minorHAnsi"/>
                <w:sz w:val="24"/>
              </w:rPr>
              <w:t xml:space="preserve"> children represented the school in a range of competitive sports including football, netball, </w:t>
            </w:r>
            <w:r w:rsidR="004A01BC">
              <w:rPr>
                <w:rFonts w:asciiTheme="minorHAnsi" w:hAnsiTheme="minorHAnsi"/>
                <w:sz w:val="24"/>
              </w:rPr>
              <w:t>cricket, basketball, swimming, and athletics.</w:t>
            </w:r>
            <w:r w:rsidR="005D0FB0">
              <w:rPr>
                <w:rFonts w:asciiTheme="minorHAnsi" w:hAnsiTheme="minorHAnsi"/>
                <w:sz w:val="24"/>
              </w:rPr>
              <w:t xml:space="preserve"> As a </w:t>
            </w:r>
            <w:r w:rsidR="00C95B1A">
              <w:rPr>
                <w:rFonts w:asciiTheme="minorHAnsi" w:hAnsiTheme="minorHAnsi"/>
                <w:sz w:val="24"/>
              </w:rPr>
              <w:t>result,</w:t>
            </w:r>
            <w:r w:rsidR="005D0FB0">
              <w:rPr>
                <w:rFonts w:asciiTheme="minorHAnsi" w:hAnsiTheme="minorHAnsi"/>
                <w:sz w:val="24"/>
              </w:rPr>
              <w:t xml:space="preserve"> children began playing sports outside of school that they hadn’t before.</w:t>
            </w:r>
            <w:r w:rsidR="00C95B1A">
              <w:rPr>
                <w:rFonts w:asciiTheme="minorHAnsi" w:hAnsiTheme="minorHAnsi"/>
                <w:sz w:val="24"/>
              </w:rPr>
              <w:t xml:space="preserve"> This was further supported by all children attending an event at the nearby Beacon of Light to highlight sports that are available locally.</w:t>
            </w:r>
          </w:p>
          <w:p w14:paraId="5F576D28" w14:textId="77777777" w:rsidR="00E1027C" w:rsidRDefault="00E1027C" w:rsidP="00646B0F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EB93D9C" w14:textId="47166E16" w:rsidR="00E1027C" w:rsidRPr="00DC25A1" w:rsidRDefault="00E1027C" w:rsidP="00646B0F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3135" w:type="dxa"/>
          </w:tcPr>
          <w:p w14:paraId="237D7F16" w14:textId="64D88335" w:rsidR="00C2051F" w:rsidRPr="00DC25A1" w:rsidRDefault="005D0FB0" w:rsidP="00646B0F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To continue to offer and seek new opportunities for children to access a wide range of activities and enter competitions</w:t>
            </w:r>
          </w:p>
        </w:tc>
      </w:tr>
    </w:tbl>
    <w:p w14:paraId="18B77D5E" w14:textId="77777777"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2051F" w14:paraId="4D304E38" w14:textId="77777777" w:rsidTr="00D11688">
        <w:trPr>
          <w:trHeight w:val="380"/>
        </w:trPr>
        <w:tc>
          <w:tcPr>
            <w:tcW w:w="12302" w:type="dxa"/>
            <w:gridSpan w:val="4"/>
            <w:vMerge w:val="restart"/>
          </w:tcPr>
          <w:p w14:paraId="525139AB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111E29A5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5201E456" w14:textId="77777777" w:rsidTr="00D11688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135ABC9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30C1803" w14:textId="77777777" w:rsidR="00C2051F" w:rsidRPr="006C68D0" w:rsidRDefault="00C2051F" w:rsidP="00D11688">
            <w:pPr>
              <w:pStyle w:val="TableParagraph"/>
              <w:spacing w:line="257" w:lineRule="exact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2051F" w14:paraId="64459A15" w14:textId="77777777" w:rsidTr="00D11688">
        <w:trPr>
          <w:trHeight w:val="580"/>
        </w:trPr>
        <w:tc>
          <w:tcPr>
            <w:tcW w:w="3758" w:type="dxa"/>
          </w:tcPr>
          <w:p w14:paraId="2DA18864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</w:t>
            </w:r>
            <w:proofErr w:type="gramStart"/>
            <w:r>
              <w:rPr>
                <w:color w:val="231F20"/>
                <w:sz w:val="24"/>
              </w:rPr>
              <w:t>focus</w:t>
            </w:r>
            <w:proofErr w:type="gramEnd"/>
            <w:r>
              <w:rPr>
                <w:color w:val="231F20"/>
                <w:sz w:val="24"/>
              </w:rPr>
              <w:t xml:space="preserve"> with clarity on intended</w:t>
            </w:r>
          </w:p>
          <w:p w14:paraId="28FA334E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218EFC0C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0568217E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06D99D0B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656A604C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3CFD3161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585C340C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160F8D0D" w14:textId="77777777" w:rsidTr="00D11688">
        <w:trPr>
          <w:trHeight w:val="2040"/>
        </w:trPr>
        <w:tc>
          <w:tcPr>
            <w:tcW w:w="3758" w:type="dxa"/>
          </w:tcPr>
          <w:p w14:paraId="5D34FCC8" w14:textId="77777777" w:rsidR="00C2051F" w:rsidRDefault="003E33D3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 w:rsidRPr="00B83B89">
              <w:rPr>
                <w:rFonts w:asciiTheme="minorHAnsi" w:hAnsiTheme="minorHAnsi"/>
                <w:sz w:val="24"/>
              </w:rPr>
              <w:t xml:space="preserve">All teachers </w:t>
            </w:r>
            <w:proofErr w:type="gramStart"/>
            <w:r w:rsidRPr="00B83B89">
              <w:rPr>
                <w:rFonts w:asciiTheme="minorHAnsi" w:hAnsiTheme="minorHAnsi"/>
                <w:sz w:val="24"/>
              </w:rPr>
              <w:t>to have</w:t>
            </w:r>
            <w:proofErr w:type="gramEnd"/>
            <w:r w:rsidRPr="00B83B89">
              <w:rPr>
                <w:rFonts w:asciiTheme="minorHAnsi" w:hAnsiTheme="minorHAnsi"/>
                <w:sz w:val="24"/>
              </w:rPr>
              <w:t xml:space="preserve"> increased confidence, knowledge and skills in PE and Sport.</w:t>
            </w:r>
          </w:p>
          <w:p w14:paraId="54D266BD" w14:textId="44345430" w:rsidR="008F177A" w:rsidRPr="00B83B89" w:rsidRDefault="003C76CB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Specialist coaches to be used to upskill staff</w:t>
            </w:r>
          </w:p>
        </w:tc>
        <w:tc>
          <w:tcPr>
            <w:tcW w:w="3458" w:type="dxa"/>
          </w:tcPr>
          <w:p w14:paraId="1993C263" w14:textId="3FD65E1D" w:rsidR="00135E76" w:rsidRPr="008A1A5A" w:rsidRDefault="008F177A" w:rsidP="008A1A5A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PE </w:t>
            </w:r>
            <w:proofErr w:type="gramStart"/>
            <w:r>
              <w:rPr>
                <w:rFonts w:asciiTheme="minorHAnsi" w:hAnsiTheme="minorHAnsi"/>
                <w:sz w:val="24"/>
              </w:rPr>
              <w:t>lead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to support staff when planning and sequencing lessons.</w:t>
            </w:r>
          </w:p>
          <w:p w14:paraId="549517F8" w14:textId="77777777" w:rsidR="00135E76" w:rsidRDefault="00135E76" w:rsidP="00135E76">
            <w:pPr>
              <w:pStyle w:val="TableParagraph"/>
              <w:ind w:left="720"/>
              <w:rPr>
                <w:rFonts w:asciiTheme="minorHAnsi" w:hAnsiTheme="minorHAnsi"/>
                <w:sz w:val="24"/>
              </w:rPr>
            </w:pPr>
          </w:p>
          <w:p w14:paraId="11976C71" w14:textId="77777777" w:rsidR="00135E76" w:rsidRDefault="00135E76" w:rsidP="008A1A5A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7927F7ED" w14:textId="37505447" w:rsidR="00154ADC" w:rsidRPr="00B83B89" w:rsidRDefault="00154ADC" w:rsidP="008F177A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Specialist coaches have been arranged for swimming</w:t>
            </w:r>
            <w:r w:rsidR="008A1A5A">
              <w:rPr>
                <w:rFonts w:asciiTheme="minorHAnsi" w:hAnsiTheme="minorHAnsi"/>
                <w:sz w:val="24"/>
              </w:rPr>
              <w:t>, dancing,</w:t>
            </w:r>
            <w:r>
              <w:rPr>
                <w:rFonts w:asciiTheme="minorHAnsi" w:hAnsiTheme="minorHAnsi"/>
                <w:sz w:val="24"/>
              </w:rPr>
              <w:t xml:space="preserve"> and gymnastics.</w:t>
            </w:r>
          </w:p>
        </w:tc>
        <w:tc>
          <w:tcPr>
            <w:tcW w:w="1663" w:type="dxa"/>
          </w:tcPr>
          <w:p w14:paraId="7AAA53BB" w14:textId="77777777" w:rsidR="001E43A7" w:rsidRDefault="001E43A7" w:rsidP="001E43A7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Foundation of Light coaching - £1,347.50</w:t>
            </w:r>
          </w:p>
          <w:p w14:paraId="0BF0A8B0" w14:textId="77777777" w:rsidR="001E43A7" w:rsidRDefault="001E43A7" w:rsidP="001E43A7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3B33FD26" w14:textId="25D865C9" w:rsidR="00A56967" w:rsidRPr="008C78E8" w:rsidRDefault="001E43A7" w:rsidP="00D11688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</w:t>
            </w:r>
            <w:r w:rsidR="008A1A5A">
              <w:rPr>
                <w:rFonts w:asciiTheme="minorHAnsi" w:hAnsiTheme="minorHAnsi"/>
                <w:sz w:val="24"/>
              </w:rPr>
              <w:t>pecialist coach</w:t>
            </w:r>
            <w:r>
              <w:rPr>
                <w:rFonts w:asciiTheme="minorHAnsi" w:hAnsiTheme="minorHAnsi"/>
                <w:sz w:val="24"/>
              </w:rPr>
              <w:t>es</w:t>
            </w:r>
            <w:r w:rsidR="008A1A5A">
              <w:rPr>
                <w:rFonts w:asciiTheme="minorHAnsi" w:hAnsiTheme="minorHAnsi"/>
                <w:sz w:val="24"/>
              </w:rPr>
              <w:t>- £</w:t>
            </w:r>
            <w:r w:rsidR="00240D81">
              <w:rPr>
                <w:rFonts w:asciiTheme="minorHAnsi" w:hAnsiTheme="minorHAnsi"/>
                <w:sz w:val="24"/>
              </w:rPr>
              <w:t>2</w:t>
            </w:r>
            <w:r>
              <w:rPr>
                <w:rFonts w:asciiTheme="minorHAnsi" w:hAnsiTheme="minorHAnsi"/>
                <w:sz w:val="24"/>
              </w:rPr>
              <w:t>6</w:t>
            </w:r>
            <w:r w:rsidR="00240D81">
              <w:rPr>
                <w:rFonts w:asciiTheme="minorHAnsi" w:hAnsiTheme="minorHAnsi"/>
                <w:sz w:val="24"/>
              </w:rPr>
              <w:t>12.50</w:t>
            </w:r>
          </w:p>
        </w:tc>
        <w:tc>
          <w:tcPr>
            <w:tcW w:w="3423" w:type="dxa"/>
          </w:tcPr>
          <w:p w14:paraId="54836E0D" w14:textId="691029F7" w:rsidR="00C2051F" w:rsidRPr="006C68D0" w:rsidRDefault="005D0FB0" w:rsidP="00D11688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Children accessed specialist coaches in swimming, </w:t>
            </w:r>
            <w:r w:rsidR="001E43A7">
              <w:rPr>
                <w:rFonts w:asciiTheme="minorHAnsi" w:hAnsiTheme="minorHAnsi"/>
                <w:sz w:val="24"/>
              </w:rPr>
              <w:t>dancing</w:t>
            </w:r>
            <w:r>
              <w:rPr>
                <w:rFonts w:asciiTheme="minorHAnsi" w:hAnsiTheme="minorHAnsi"/>
                <w:sz w:val="24"/>
              </w:rPr>
              <w:t>, and multi-skil</w:t>
            </w:r>
            <w:r w:rsidR="00896392">
              <w:rPr>
                <w:rFonts w:asciiTheme="minorHAnsi" w:hAnsiTheme="minorHAnsi"/>
                <w:sz w:val="24"/>
              </w:rPr>
              <w:t xml:space="preserve">ls. Staff used this opportunity to </w:t>
            </w:r>
            <w:r w:rsidR="001E43A7">
              <w:rPr>
                <w:rFonts w:asciiTheme="minorHAnsi" w:hAnsiTheme="minorHAnsi"/>
                <w:sz w:val="24"/>
              </w:rPr>
              <w:t>improve</w:t>
            </w:r>
            <w:r w:rsidR="00896392">
              <w:rPr>
                <w:rFonts w:asciiTheme="minorHAnsi" w:hAnsiTheme="minorHAnsi"/>
                <w:sz w:val="24"/>
              </w:rPr>
              <w:t xml:space="preserve"> their knowledge and become more confident.</w:t>
            </w:r>
            <w:r w:rsidR="001E43A7">
              <w:rPr>
                <w:rFonts w:asciiTheme="minorHAnsi" w:hAnsiTheme="minorHAnsi"/>
                <w:sz w:val="24"/>
              </w:rPr>
              <w:t xml:space="preserve"> Decreased from the previous year due to reduced space available.</w:t>
            </w:r>
          </w:p>
        </w:tc>
        <w:tc>
          <w:tcPr>
            <w:tcW w:w="3076" w:type="dxa"/>
          </w:tcPr>
          <w:p w14:paraId="5121BAFE" w14:textId="379AA9FE" w:rsidR="00C2051F" w:rsidRPr="006C68D0" w:rsidRDefault="00896392" w:rsidP="00B83B89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continue to learn from specialist coaches to upskill members of staff who teach PE.</w:t>
            </w:r>
          </w:p>
        </w:tc>
      </w:tr>
      <w:tr w:rsidR="00C2051F" w14:paraId="6EB71E10" w14:textId="77777777" w:rsidTr="00D11688">
        <w:trPr>
          <w:trHeight w:val="300"/>
        </w:trPr>
        <w:tc>
          <w:tcPr>
            <w:tcW w:w="12302" w:type="dxa"/>
            <w:gridSpan w:val="4"/>
            <w:vMerge w:val="restart"/>
          </w:tcPr>
          <w:p w14:paraId="6DA2D8FA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1B6AE3F0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2AE269EF" w14:textId="77777777" w:rsidTr="00D11688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2094EA4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A1AA2C0" w14:textId="77777777" w:rsidR="00C2051F" w:rsidRPr="00DC25A1" w:rsidRDefault="00C2051F" w:rsidP="00D11688">
            <w:pPr>
              <w:pStyle w:val="TableParagraph"/>
              <w:spacing w:line="257" w:lineRule="exact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2051F" w14:paraId="1B8527A1" w14:textId="77777777" w:rsidTr="00D11688">
        <w:trPr>
          <w:trHeight w:val="580"/>
        </w:trPr>
        <w:tc>
          <w:tcPr>
            <w:tcW w:w="3758" w:type="dxa"/>
          </w:tcPr>
          <w:p w14:paraId="4B06B98F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</w:t>
            </w:r>
            <w:proofErr w:type="gramStart"/>
            <w:r>
              <w:rPr>
                <w:color w:val="231F20"/>
                <w:sz w:val="24"/>
              </w:rPr>
              <w:t>focus</w:t>
            </w:r>
            <w:proofErr w:type="gramEnd"/>
            <w:r>
              <w:rPr>
                <w:color w:val="231F20"/>
                <w:sz w:val="24"/>
              </w:rPr>
              <w:t xml:space="preserve"> with clarity on intended</w:t>
            </w:r>
          </w:p>
          <w:p w14:paraId="5C098494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7430159A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73B9AE1A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355910B6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34E2D3EF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7CE94C0A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1D172222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56842E92" w14:textId="77777777" w:rsidTr="00D11688">
        <w:trPr>
          <w:trHeight w:val="2160"/>
        </w:trPr>
        <w:tc>
          <w:tcPr>
            <w:tcW w:w="3758" w:type="dxa"/>
          </w:tcPr>
          <w:p w14:paraId="5E4E0495" w14:textId="77777777" w:rsidR="00C2051F" w:rsidRPr="008F177A" w:rsidRDefault="003E33D3" w:rsidP="003E33D3">
            <w:pPr>
              <w:pStyle w:val="TableParagraph"/>
              <w:numPr>
                <w:ilvl w:val="0"/>
                <w:numId w:val="4"/>
              </w:numPr>
              <w:spacing w:line="257" w:lineRule="exact"/>
              <w:rPr>
                <w:rFonts w:asciiTheme="minorHAnsi" w:hAnsiTheme="minorHAnsi"/>
                <w:sz w:val="24"/>
              </w:rPr>
            </w:pPr>
            <w:r w:rsidRPr="008F177A">
              <w:rPr>
                <w:rFonts w:asciiTheme="minorHAnsi" w:hAnsiTheme="minorHAnsi"/>
                <w:color w:val="231F20"/>
                <w:sz w:val="24"/>
              </w:rPr>
              <w:t>Pupils are given the opportunity to participate in wide range of sports and activities in both curriculum PE and school clubs.</w:t>
            </w:r>
          </w:p>
        </w:tc>
        <w:tc>
          <w:tcPr>
            <w:tcW w:w="3458" w:type="dxa"/>
          </w:tcPr>
          <w:p w14:paraId="7212B1B3" w14:textId="12A182DA" w:rsidR="00C2051F" w:rsidRDefault="003E33D3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 w:rsidRPr="008F177A">
              <w:rPr>
                <w:rFonts w:asciiTheme="minorHAnsi" w:hAnsiTheme="minorHAnsi"/>
                <w:sz w:val="24"/>
              </w:rPr>
              <w:t>Continue to develop our</w:t>
            </w:r>
            <w:r w:rsidR="00154ADC">
              <w:rPr>
                <w:rFonts w:asciiTheme="minorHAnsi" w:hAnsiTheme="minorHAnsi"/>
                <w:sz w:val="24"/>
              </w:rPr>
              <w:t xml:space="preserve"> </w:t>
            </w:r>
            <w:r w:rsidRPr="008F177A">
              <w:rPr>
                <w:rFonts w:asciiTheme="minorHAnsi" w:hAnsiTheme="minorHAnsi"/>
                <w:sz w:val="24"/>
              </w:rPr>
              <w:t>scho</w:t>
            </w:r>
            <w:r w:rsidR="00154ADC">
              <w:rPr>
                <w:rFonts w:asciiTheme="minorHAnsi" w:hAnsiTheme="minorHAnsi"/>
                <w:sz w:val="24"/>
              </w:rPr>
              <w:t>ol</w:t>
            </w:r>
            <w:r w:rsidRPr="008F177A">
              <w:rPr>
                <w:rFonts w:asciiTheme="minorHAnsi" w:hAnsiTheme="minorHAnsi"/>
                <w:sz w:val="24"/>
              </w:rPr>
              <w:t xml:space="preserve"> club timetable</w:t>
            </w:r>
            <w:r w:rsidR="008F177A">
              <w:rPr>
                <w:rFonts w:asciiTheme="minorHAnsi" w:hAnsiTheme="minorHAnsi"/>
                <w:sz w:val="24"/>
              </w:rPr>
              <w:t xml:space="preserve"> to include a broader range of activities</w:t>
            </w:r>
            <w:r w:rsidR="003C76CB">
              <w:rPr>
                <w:rFonts w:asciiTheme="minorHAnsi" w:hAnsiTheme="minorHAnsi"/>
                <w:sz w:val="24"/>
              </w:rPr>
              <w:t xml:space="preserve"> such as dance, </w:t>
            </w:r>
            <w:r w:rsidR="008F177A">
              <w:rPr>
                <w:rFonts w:asciiTheme="minorHAnsi" w:hAnsiTheme="minorHAnsi"/>
                <w:sz w:val="24"/>
              </w:rPr>
              <w:t>gymnastics, football</w:t>
            </w:r>
            <w:r w:rsidR="003C76CB">
              <w:rPr>
                <w:rFonts w:asciiTheme="minorHAnsi" w:hAnsiTheme="minorHAnsi"/>
                <w:sz w:val="24"/>
              </w:rPr>
              <w:t xml:space="preserve"> and</w:t>
            </w:r>
            <w:r w:rsidR="008F177A">
              <w:rPr>
                <w:rFonts w:asciiTheme="minorHAnsi" w:hAnsiTheme="minorHAnsi"/>
                <w:sz w:val="24"/>
              </w:rPr>
              <w:t xml:space="preserve"> swimming</w:t>
            </w:r>
            <w:r w:rsidR="003C76CB">
              <w:rPr>
                <w:rFonts w:asciiTheme="minorHAnsi" w:hAnsiTheme="minorHAnsi"/>
                <w:sz w:val="24"/>
              </w:rPr>
              <w:t>.</w:t>
            </w:r>
          </w:p>
          <w:p w14:paraId="5925A75B" w14:textId="574CBB0F" w:rsidR="003C76CB" w:rsidRPr="008F177A" w:rsidRDefault="003C76CB" w:rsidP="003E33D3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Use specialist coaches to allow all pupils the opportunity to experience a wider range of sports.</w:t>
            </w:r>
          </w:p>
          <w:p w14:paraId="52381D9B" w14:textId="77777777" w:rsidR="008F177A" w:rsidRPr="00154ADC" w:rsidRDefault="003E33D3" w:rsidP="008F177A">
            <w:pPr>
              <w:pStyle w:val="Table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 w:rsidRPr="008F177A">
              <w:rPr>
                <w:rFonts w:asciiTheme="minorHAnsi" w:hAnsiTheme="minorHAnsi"/>
                <w:sz w:val="24"/>
              </w:rPr>
              <w:t>Monitor attendance at each club</w:t>
            </w:r>
            <w:r w:rsidR="008F177A">
              <w:rPr>
                <w:rFonts w:asciiTheme="minorHAnsi" w:hAnsiTheme="minorHAnsi"/>
                <w:sz w:val="24"/>
              </w:rPr>
              <w:t xml:space="preserve"> and timetable clubs to allow all children the opportunity to take part in a club during the academic year.</w:t>
            </w:r>
          </w:p>
          <w:p w14:paraId="4DD4ADA2" w14:textId="77777777" w:rsidR="00154ADC" w:rsidRDefault="00154ADC" w:rsidP="00154ADC">
            <w:pPr>
              <w:pStyle w:val="TableParagraph"/>
              <w:ind w:left="360"/>
              <w:rPr>
                <w:rFonts w:ascii="Comic Sans MS" w:hAnsi="Comic Sans MS"/>
                <w:sz w:val="24"/>
              </w:rPr>
            </w:pPr>
          </w:p>
          <w:p w14:paraId="7315F006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2BA5FDA8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1A00EA07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301ED9C6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2A95427E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3B24B324" w14:textId="77777777" w:rsid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  <w:p w14:paraId="09F93DFA" w14:textId="77777777" w:rsidR="008F177A" w:rsidRPr="008F177A" w:rsidRDefault="008F177A" w:rsidP="008F177A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1663" w:type="dxa"/>
          </w:tcPr>
          <w:p w14:paraId="407CF588" w14:textId="35BE186E" w:rsidR="00A56967" w:rsidRDefault="00A56967" w:rsidP="00D1168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56967">
              <w:rPr>
                <w:rFonts w:asciiTheme="minorHAnsi" w:hAnsiTheme="minorHAnsi" w:cstheme="minorHAnsi"/>
                <w:sz w:val="24"/>
              </w:rPr>
              <w:lastRenderedPageBreak/>
              <w:t>Swimming-£1,</w:t>
            </w:r>
            <w:r w:rsidR="001E43A7">
              <w:rPr>
                <w:rFonts w:asciiTheme="minorHAnsi" w:hAnsiTheme="minorHAnsi" w:cstheme="minorHAnsi"/>
                <w:sz w:val="24"/>
              </w:rPr>
              <w:t>266</w:t>
            </w:r>
          </w:p>
          <w:p w14:paraId="3F819921" w14:textId="77777777" w:rsidR="001E43A7" w:rsidRDefault="001E43A7" w:rsidP="00D1168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7EB6622" w14:textId="77777777" w:rsidR="001E43A7" w:rsidRPr="00A56967" w:rsidRDefault="001E43A7" w:rsidP="00D1168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BF8D4D6" w14:textId="70C0E6E6" w:rsidR="00A56967" w:rsidRPr="006C68D0" w:rsidRDefault="00A56967" w:rsidP="00D11688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3423" w:type="dxa"/>
          </w:tcPr>
          <w:p w14:paraId="72D9976B" w14:textId="77777777" w:rsidR="00C2051F" w:rsidRDefault="00896392" w:rsidP="000168ED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Children accessed specialist coaches in swimmin</w:t>
            </w:r>
            <w:r w:rsidR="001E43A7">
              <w:rPr>
                <w:rFonts w:asciiTheme="minorHAnsi" w:hAnsiTheme="minorHAnsi"/>
                <w:sz w:val="24"/>
              </w:rPr>
              <w:t>g</w:t>
            </w:r>
            <w:r>
              <w:rPr>
                <w:rFonts w:asciiTheme="minorHAnsi" w:hAnsiTheme="minorHAnsi"/>
                <w:sz w:val="24"/>
              </w:rPr>
              <w:t xml:space="preserve"> and multi-skills. Pupil and parent voice expressed their enjoyment and appreciation of access to these professional coaches.</w:t>
            </w:r>
          </w:p>
          <w:p w14:paraId="3DA385E4" w14:textId="77777777" w:rsidR="001E43A7" w:rsidRDefault="001E43A7" w:rsidP="000168ED">
            <w:pPr>
              <w:pStyle w:val="TableParagraph"/>
              <w:rPr>
                <w:rFonts w:asciiTheme="minorHAnsi" w:hAnsiTheme="minorHAnsi"/>
                <w:sz w:val="24"/>
              </w:rPr>
            </w:pPr>
          </w:p>
          <w:p w14:paraId="45545CC9" w14:textId="36015AC0" w:rsidR="001E43A7" w:rsidRDefault="001E43A7" w:rsidP="001E43A7">
            <w:pPr>
              <w:pStyle w:val="TableParagrap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  <w:r>
              <w:rPr>
                <w:rFonts w:asciiTheme="minorHAnsi" w:hAnsiTheme="minorHAnsi"/>
                <w:sz w:val="24"/>
              </w:rPr>
              <w:t>ll children attending an event at the nearby Beacon of Light to highlight sports that are available locally.</w:t>
            </w:r>
          </w:p>
          <w:p w14:paraId="3409DEA6" w14:textId="2A21FB68" w:rsidR="001E43A7" w:rsidRPr="006C68D0" w:rsidRDefault="001E43A7" w:rsidP="000168ED">
            <w:pPr>
              <w:pStyle w:val="Table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3076" w:type="dxa"/>
          </w:tcPr>
          <w:p w14:paraId="79AF5606" w14:textId="4565A738" w:rsidR="00C2051F" w:rsidRPr="006C68D0" w:rsidRDefault="00896392" w:rsidP="000168ED">
            <w:pPr>
              <w:pStyle w:val="TableParagraph"/>
              <w:rPr>
                <w:rFonts w:ascii="Comic Sans MS" w:hAnsi="Comic Sans MS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continue to offer the chance for children to be taught by professional coaches.</w:t>
            </w:r>
          </w:p>
        </w:tc>
      </w:tr>
      <w:tr w:rsidR="00C2051F" w14:paraId="06C586FC" w14:textId="77777777" w:rsidTr="00D11688">
        <w:trPr>
          <w:trHeight w:val="340"/>
        </w:trPr>
        <w:tc>
          <w:tcPr>
            <w:tcW w:w="12302" w:type="dxa"/>
            <w:gridSpan w:val="4"/>
            <w:vMerge w:val="restart"/>
          </w:tcPr>
          <w:p w14:paraId="27FB83C3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76FA98D1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14E6F79F" w14:textId="77777777" w:rsidTr="00D11688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2D82B2A" w14:textId="77777777"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9FCDE40" w14:textId="77777777" w:rsidR="00C2051F" w:rsidRPr="00DC25A1" w:rsidRDefault="00C2051F" w:rsidP="00D11688">
            <w:pPr>
              <w:pStyle w:val="TableParagraph"/>
              <w:spacing w:line="257" w:lineRule="exact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C2051F" w14:paraId="2D608B64" w14:textId="77777777" w:rsidTr="00D11688">
        <w:trPr>
          <w:trHeight w:val="600"/>
        </w:trPr>
        <w:tc>
          <w:tcPr>
            <w:tcW w:w="3758" w:type="dxa"/>
          </w:tcPr>
          <w:p w14:paraId="7BB65557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</w:t>
            </w:r>
            <w:proofErr w:type="gramStart"/>
            <w:r>
              <w:rPr>
                <w:color w:val="231F20"/>
                <w:sz w:val="24"/>
              </w:rPr>
              <w:t>focus</w:t>
            </w:r>
            <w:proofErr w:type="gramEnd"/>
            <w:r>
              <w:rPr>
                <w:color w:val="231F20"/>
                <w:sz w:val="24"/>
              </w:rPr>
              <w:t xml:space="preserve"> with clarity on intended</w:t>
            </w:r>
          </w:p>
          <w:p w14:paraId="1CF4EEDB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7B7C11F6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61C9F25E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1B63DE7C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615B08D2" w14:textId="77777777"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7C6E4EF4" w14:textId="77777777"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2ED7F1B5" w14:textId="77777777"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5D0BCDE6" w14:textId="77777777" w:rsidTr="00D11688">
        <w:trPr>
          <w:trHeight w:val="2120"/>
        </w:trPr>
        <w:tc>
          <w:tcPr>
            <w:tcW w:w="3758" w:type="dxa"/>
          </w:tcPr>
          <w:p w14:paraId="6BD03E9D" w14:textId="1A28787E" w:rsidR="00C2051F" w:rsidRPr="008F177A" w:rsidRDefault="008F177A" w:rsidP="0058248D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implement a </w:t>
            </w:r>
            <w:r>
              <w:rPr>
                <w:rFonts w:asciiTheme="minorHAnsi" w:hAnsiTheme="minorHAnsi"/>
                <w:sz w:val="24"/>
                <w:szCs w:val="24"/>
              </w:rPr>
              <w:t>rebuild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ing </w:t>
            </w:r>
            <w:proofErr w:type="spellStart"/>
            <w:r w:rsidR="0058248D">
              <w:rPr>
                <w:rFonts w:asciiTheme="minorHAnsi" w:hAnsiTheme="minorHAnsi"/>
                <w:sz w:val="24"/>
                <w:szCs w:val="24"/>
              </w:rPr>
              <w:t>programme</w:t>
            </w:r>
            <w:proofErr w:type="spellEnd"/>
            <w:r w:rsidR="005824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="0058248D">
              <w:rPr>
                <w:rFonts w:asciiTheme="minorHAnsi" w:hAnsiTheme="minorHAnsi"/>
                <w:sz w:val="24"/>
                <w:szCs w:val="24"/>
              </w:rPr>
              <w:t xml:space="preserve">in order </w:t>
            </w:r>
            <w:r>
              <w:rPr>
                <w:rFonts w:asciiTheme="minorHAnsi" w:hAnsiTheme="minorHAnsi"/>
                <w:sz w:val="24"/>
                <w:szCs w:val="24"/>
              </w:rPr>
              <w:t>to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8248D">
              <w:rPr>
                <w:rFonts w:asciiTheme="minorHAnsi" w:hAnsiTheme="minorHAnsi"/>
                <w:sz w:val="24"/>
                <w:szCs w:val="24"/>
              </w:rPr>
              <w:t>allow p</w:t>
            </w:r>
            <w:r w:rsidR="003E33D3" w:rsidRPr="008F177A">
              <w:rPr>
                <w:rFonts w:asciiTheme="minorHAnsi" w:hAnsiTheme="minorHAnsi"/>
                <w:sz w:val="24"/>
                <w:szCs w:val="24"/>
              </w:rPr>
              <w:t xml:space="preserve">upils to have </w:t>
            </w:r>
            <w:r w:rsidR="0058248D" w:rsidRPr="008F177A">
              <w:rPr>
                <w:rFonts w:asciiTheme="minorHAnsi" w:hAnsiTheme="minorHAnsi"/>
                <w:sz w:val="24"/>
                <w:szCs w:val="24"/>
              </w:rPr>
              <w:t>opportunit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ies </w:t>
            </w:r>
            <w:r w:rsidR="003E33D3" w:rsidRPr="008F177A">
              <w:rPr>
                <w:rFonts w:asciiTheme="minorHAnsi" w:hAnsiTheme="minorHAnsi"/>
                <w:sz w:val="24"/>
                <w:szCs w:val="24"/>
              </w:rPr>
              <w:t>to be involve</w:t>
            </w:r>
            <w:r w:rsidR="0058248D">
              <w:rPr>
                <w:rFonts w:asciiTheme="minorHAnsi" w:hAnsiTheme="minorHAnsi"/>
                <w:sz w:val="24"/>
                <w:szCs w:val="24"/>
              </w:rPr>
              <w:t>d in level 2 matches/competitions, with the potential to lead on level</w:t>
            </w:r>
          </w:p>
        </w:tc>
        <w:tc>
          <w:tcPr>
            <w:tcW w:w="3458" w:type="dxa"/>
          </w:tcPr>
          <w:p w14:paraId="2EFEEB39" w14:textId="77777777" w:rsidR="00C2051F" w:rsidRPr="008F177A" w:rsidRDefault="003E33D3" w:rsidP="003E33D3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 </w:t>
            </w:r>
            <w:r w:rsidR="0058248D">
              <w:rPr>
                <w:rFonts w:asciiTheme="minorHAnsi" w:hAnsiTheme="minorHAnsi"/>
                <w:sz w:val="24"/>
                <w:szCs w:val="24"/>
              </w:rPr>
              <w:t>To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 xml:space="preserve"> work closely with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 SLA schools.</w:t>
            </w:r>
          </w:p>
          <w:p w14:paraId="0492A9A0" w14:textId="77777777" w:rsidR="0058248D" w:rsidRDefault="003E33D3" w:rsidP="0058248D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  <w:r w:rsidRPr="008F177A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58248D">
              <w:rPr>
                <w:rFonts w:asciiTheme="minorHAnsi" w:hAnsiTheme="minorHAnsi"/>
                <w:sz w:val="24"/>
                <w:szCs w:val="24"/>
              </w:rPr>
              <w:t>To arrange t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>ransport to competitions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proofErr w:type="spellStart"/>
            <w:r w:rsidR="0058248D">
              <w:rPr>
                <w:rFonts w:asciiTheme="minorHAnsi" w:hAnsiTheme="minorHAnsi"/>
                <w:sz w:val="24"/>
                <w:szCs w:val="24"/>
              </w:rPr>
              <w:t>organise</w:t>
            </w:r>
            <w:proofErr w:type="spellEnd"/>
            <w:r w:rsidR="0058248D">
              <w:rPr>
                <w:rFonts w:asciiTheme="minorHAnsi" w:hAnsiTheme="minorHAnsi"/>
                <w:sz w:val="24"/>
                <w:szCs w:val="24"/>
              </w:rPr>
              <w:t xml:space="preserve"> pitches, referees etc.</w:t>
            </w:r>
          </w:p>
          <w:p w14:paraId="09821048" w14:textId="77777777" w:rsidR="00D20477" w:rsidRDefault="00D20477" w:rsidP="003E33D3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5DB753A0" w14:textId="77777777" w:rsidR="000A2A84" w:rsidRPr="008F177A" w:rsidRDefault="000A2A84" w:rsidP="003E33D3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  <w:r w:rsidRPr="008F177A">
              <w:rPr>
                <w:rFonts w:asciiTheme="minorHAnsi" w:hAnsiTheme="minorHAnsi"/>
                <w:sz w:val="24"/>
                <w:szCs w:val="24"/>
              </w:rPr>
              <w:t>- Reforming of our cluster competitions</w:t>
            </w:r>
          </w:p>
          <w:p w14:paraId="5D10072D" w14:textId="03F9000A" w:rsidR="000A2A84" w:rsidRPr="008F177A" w:rsidRDefault="000A2A84" w:rsidP="003E33D3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  <w:r w:rsidRPr="008F177A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58248D">
              <w:rPr>
                <w:rFonts w:asciiTheme="minorHAnsi" w:hAnsiTheme="minorHAnsi"/>
                <w:sz w:val="24"/>
                <w:szCs w:val="24"/>
              </w:rPr>
              <w:t>To f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>orm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>further links with a range of sports (</w:t>
            </w:r>
            <w:r w:rsidR="003C76CB">
              <w:rPr>
                <w:rFonts w:asciiTheme="minorHAnsi" w:hAnsiTheme="minorHAnsi"/>
                <w:sz w:val="24"/>
                <w:szCs w:val="24"/>
              </w:rPr>
              <w:t>dodgeball, basketball etc.)</w:t>
            </w:r>
          </w:p>
          <w:p w14:paraId="4AF03252" w14:textId="77777777" w:rsidR="000A2A84" w:rsidRDefault="000A2A84" w:rsidP="003E33D3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8F177A">
              <w:rPr>
                <w:rFonts w:asciiTheme="minorHAnsi" w:hAnsiTheme="minorHAnsi"/>
                <w:sz w:val="24"/>
                <w:szCs w:val="24"/>
              </w:rPr>
              <w:t>- Increased entry into competitions that</w:t>
            </w:r>
            <w:r w:rsidR="0058248D">
              <w:rPr>
                <w:rFonts w:asciiTheme="minorHAnsi" w:hAnsiTheme="minorHAnsi"/>
                <w:sz w:val="24"/>
                <w:szCs w:val="24"/>
              </w:rPr>
              <w:t xml:space="preserve"> have the potential to</w:t>
            </w:r>
            <w:r w:rsidRPr="008F177A">
              <w:rPr>
                <w:rFonts w:asciiTheme="minorHAnsi" w:hAnsiTheme="minorHAnsi"/>
                <w:sz w:val="24"/>
                <w:szCs w:val="24"/>
              </w:rPr>
              <w:t xml:space="preserve"> lead to level 3 opportunities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BC75FFB" w14:textId="77777777" w:rsidR="0058248D" w:rsidRDefault="0058248D" w:rsidP="003E33D3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</w:rPr>
            </w:pPr>
          </w:p>
          <w:p w14:paraId="2ABA2B7A" w14:textId="77777777" w:rsidR="000A2A84" w:rsidRPr="00DC25A1" w:rsidRDefault="000A2A84" w:rsidP="003E33D3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366EBAF" w14:textId="77777777" w:rsidR="00A56967" w:rsidRPr="00A56967" w:rsidRDefault="00A56967" w:rsidP="00A5696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56967">
              <w:rPr>
                <w:rFonts w:asciiTheme="minorHAnsi" w:hAnsiTheme="minorHAnsi" w:cstheme="minorHAnsi"/>
                <w:sz w:val="24"/>
              </w:rPr>
              <w:t>Transport-</w:t>
            </w:r>
          </w:p>
          <w:p w14:paraId="237E2A2E" w14:textId="1786FB2A" w:rsidR="00D20477" w:rsidRDefault="00A56967" w:rsidP="00A56967">
            <w:pPr>
              <w:pStyle w:val="TableParagrap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A56967">
              <w:rPr>
                <w:rFonts w:asciiTheme="minorHAnsi" w:hAnsiTheme="minorHAnsi" w:cstheme="minorHAnsi"/>
                <w:sz w:val="24"/>
              </w:rPr>
              <w:t>£</w:t>
            </w:r>
            <w:r w:rsidR="001E43A7">
              <w:rPr>
                <w:rFonts w:asciiTheme="minorHAnsi" w:hAnsiTheme="minorHAnsi" w:cstheme="minorHAnsi"/>
                <w:sz w:val="24"/>
              </w:rPr>
              <w:t>1</w:t>
            </w:r>
            <w:r w:rsidRPr="00A56967">
              <w:rPr>
                <w:rFonts w:asciiTheme="minorHAnsi" w:hAnsiTheme="minorHAnsi" w:cstheme="minorHAnsi"/>
                <w:sz w:val="24"/>
              </w:rPr>
              <w:t>,</w:t>
            </w:r>
            <w:r w:rsidR="001E43A7">
              <w:rPr>
                <w:rFonts w:asciiTheme="minorHAnsi" w:hAnsiTheme="minorHAnsi" w:cstheme="minorHAnsi"/>
                <w:sz w:val="24"/>
              </w:rPr>
              <w:t>006</w:t>
            </w:r>
          </w:p>
          <w:p w14:paraId="3A24FBAE" w14:textId="77777777" w:rsidR="00D20477" w:rsidRDefault="00D20477" w:rsidP="00D11688">
            <w:pPr>
              <w:pStyle w:val="TableParagrap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37D81B4D" w14:textId="77777777" w:rsidR="00D20477" w:rsidRPr="00DC25A1" w:rsidRDefault="00D20477" w:rsidP="00D11688">
            <w:pPr>
              <w:pStyle w:val="Table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23" w:type="dxa"/>
          </w:tcPr>
          <w:p w14:paraId="789C31AF" w14:textId="1AE6C1FD" w:rsidR="00C2051F" w:rsidRPr="00DC25A1" w:rsidRDefault="00896392" w:rsidP="008474AC">
            <w:pPr>
              <w:pStyle w:val="Table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Children entered an increased number of competitions and transport was organised to support this.</w:t>
            </w:r>
          </w:p>
        </w:tc>
        <w:tc>
          <w:tcPr>
            <w:tcW w:w="3076" w:type="dxa"/>
          </w:tcPr>
          <w:p w14:paraId="1B2B092D" w14:textId="0C18B4D6" w:rsidR="00C2051F" w:rsidRPr="00896392" w:rsidRDefault="00896392" w:rsidP="00D1168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96392">
              <w:rPr>
                <w:rFonts w:asciiTheme="minorHAnsi" w:hAnsiTheme="minorHAnsi" w:cstheme="minorHAnsi"/>
                <w:sz w:val="24"/>
                <w:szCs w:val="24"/>
              </w:rPr>
              <w:t>To continue to seek opportunities for children to compete competitively in a wide variety of sports.</w:t>
            </w:r>
          </w:p>
        </w:tc>
      </w:tr>
    </w:tbl>
    <w:p w14:paraId="28E6E67E" w14:textId="77777777" w:rsidR="00C66DF9" w:rsidRDefault="00C66DF9"/>
    <w:sectPr w:rsidR="00C66DF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1941" w14:textId="77777777" w:rsidR="006053AD" w:rsidRDefault="006053AD">
      <w:r>
        <w:separator/>
      </w:r>
    </w:p>
  </w:endnote>
  <w:endnote w:type="continuationSeparator" w:id="0">
    <w:p w14:paraId="58C879E6" w14:textId="77777777" w:rsidR="006053AD" w:rsidRDefault="0060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CA0E" w14:textId="77777777" w:rsidR="003E7E98" w:rsidRDefault="003E7E98" w:rsidP="003E7E98">
    <w:pPr>
      <w:pStyle w:val="BodyText"/>
      <w:spacing w:line="14" w:lineRule="auto"/>
      <w:rPr>
        <w:sz w:val="20"/>
      </w:rPr>
    </w:pPr>
  </w:p>
  <w:p w14:paraId="6196269E" w14:textId="77777777" w:rsidR="00C2051F" w:rsidRPr="003E7E98" w:rsidRDefault="00C2051F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9EFE" w14:textId="77777777" w:rsidR="00C2051F" w:rsidRDefault="00C2051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EC2E" w14:textId="77777777" w:rsidR="006053AD" w:rsidRDefault="006053AD">
      <w:r>
        <w:separator/>
      </w:r>
    </w:p>
  </w:footnote>
  <w:footnote w:type="continuationSeparator" w:id="0">
    <w:p w14:paraId="5BBD5269" w14:textId="77777777" w:rsidR="006053AD" w:rsidRDefault="0060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16CA"/>
    <w:multiLevelType w:val="hybridMultilevel"/>
    <w:tmpl w:val="CAEA2688"/>
    <w:lvl w:ilvl="0" w:tplc="2D7A0890">
      <w:start w:val="201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D824AF"/>
    <w:multiLevelType w:val="hybridMultilevel"/>
    <w:tmpl w:val="7EFAA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57790"/>
    <w:multiLevelType w:val="hybridMultilevel"/>
    <w:tmpl w:val="E7F409CE"/>
    <w:lvl w:ilvl="0" w:tplc="2D7A089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4874"/>
    <w:multiLevelType w:val="hybridMultilevel"/>
    <w:tmpl w:val="21809640"/>
    <w:lvl w:ilvl="0" w:tplc="5B7AD2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E0751"/>
    <w:multiLevelType w:val="multilevel"/>
    <w:tmpl w:val="CFDC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 w16cid:durableId="104540498">
    <w:abstractNumId w:val="6"/>
  </w:num>
  <w:num w:numId="2" w16cid:durableId="606424160">
    <w:abstractNumId w:val="0"/>
  </w:num>
  <w:num w:numId="3" w16cid:durableId="1203976395">
    <w:abstractNumId w:val="5"/>
  </w:num>
  <w:num w:numId="4" w16cid:durableId="1437284097">
    <w:abstractNumId w:val="4"/>
  </w:num>
  <w:num w:numId="5" w16cid:durableId="432289055">
    <w:abstractNumId w:val="2"/>
  </w:num>
  <w:num w:numId="6" w16cid:durableId="1197352357">
    <w:abstractNumId w:val="3"/>
  </w:num>
  <w:num w:numId="7" w16cid:durableId="85708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0A"/>
    <w:rsid w:val="000168ED"/>
    <w:rsid w:val="00057695"/>
    <w:rsid w:val="0007228B"/>
    <w:rsid w:val="000A2A84"/>
    <w:rsid w:val="000E236F"/>
    <w:rsid w:val="001214DF"/>
    <w:rsid w:val="00135E76"/>
    <w:rsid w:val="00154ADC"/>
    <w:rsid w:val="00176187"/>
    <w:rsid w:val="00183DFD"/>
    <w:rsid w:val="001E43A7"/>
    <w:rsid w:val="001F4450"/>
    <w:rsid w:val="001F4717"/>
    <w:rsid w:val="002006C4"/>
    <w:rsid w:val="00213832"/>
    <w:rsid w:val="002143D2"/>
    <w:rsid w:val="00240D81"/>
    <w:rsid w:val="002C6357"/>
    <w:rsid w:val="002D2D18"/>
    <w:rsid w:val="003074D1"/>
    <w:rsid w:val="003964FC"/>
    <w:rsid w:val="003B141D"/>
    <w:rsid w:val="003C1E00"/>
    <w:rsid w:val="003C5CF3"/>
    <w:rsid w:val="003C76CB"/>
    <w:rsid w:val="003E33D3"/>
    <w:rsid w:val="003E7E98"/>
    <w:rsid w:val="00434D0D"/>
    <w:rsid w:val="004A01BC"/>
    <w:rsid w:val="004A7ABF"/>
    <w:rsid w:val="004D57A3"/>
    <w:rsid w:val="004E1F50"/>
    <w:rsid w:val="005252DD"/>
    <w:rsid w:val="00533992"/>
    <w:rsid w:val="0058248D"/>
    <w:rsid w:val="005A7D50"/>
    <w:rsid w:val="005B0367"/>
    <w:rsid w:val="005B47B5"/>
    <w:rsid w:val="005D0FB0"/>
    <w:rsid w:val="005F53E5"/>
    <w:rsid w:val="006053AD"/>
    <w:rsid w:val="0062544C"/>
    <w:rsid w:val="00634C1B"/>
    <w:rsid w:val="00646B0F"/>
    <w:rsid w:val="00651A90"/>
    <w:rsid w:val="006623BE"/>
    <w:rsid w:val="00672F01"/>
    <w:rsid w:val="00681875"/>
    <w:rsid w:val="00686869"/>
    <w:rsid w:val="00695FA7"/>
    <w:rsid w:val="006B631A"/>
    <w:rsid w:val="006C2DBB"/>
    <w:rsid w:val="006C68D0"/>
    <w:rsid w:val="00712160"/>
    <w:rsid w:val="00743579"/>
    <w:rsid w:val="00750D9E"/>
    <w:rsid w:val="00834B18"/>
    <w:rsid w:val="008474AC"/>
    <w:rsid w:val="00860B4F"/>
    <w:rsid w:val="00865F26"/>
    <w:rsid w:val="00896392"/>
    <w:rsid w:val="008A1A5A"/>
    <w:rsid w:val="008A27DE"/>
    <w:rsid w:val="008B78C4"/>
    <w:rsid w:val="008C78E8"/>
    <w:rsid w:val="008D499B"/>
    <w:rsid w:val="008F177A"/>
    <w:rsid w:val="00911617"/>
    <w:rsid w:val="0092640A"/>
    <w:rsid w:val="009E7957"/>
    <w:rsid w:val="00A32B25"/>
    <w:rsid w:val="00A56967"/>
    <w:rsid w:val="00AD167B"/>
    <w:rsid w:val="00AF0DC9"/>
    <w:rsid w:val="00AF35FC"/>
    <w:rsid w:val="00B76503"/>
    <w:rsid w:val="00B83B89"/>
    <w:rsid w:val="00BC4061"/>
    <w:rsid w:val="00C2051F"/>
    <w:rsid w:val="00C245C9"/>
    <w:rsid w:val="00C477C6"/>
    <w:rsid w:val="00C66DF9"/>
    <w:rsid w:val="00C7240A"/>
    <w:rsid w:val="00C95B1A"/>
    <w:rsid w:val="00D13739"/>
    <w:rsid w:val="00D20477"/>
    <w:rsid w:val="00D55606"/>
    <w:rsid w:val="00D94CC2"/>
    <w:rsid w:val="00DA30EE"/>
    <w:rsid w:val="00DC25A1"/>
    <w:rsid w:val="00DE60A5"/>
    <w:rsid w:val="00E1027C"/>
    <w:rsid w:val="00E753CC"/>
    <w:rsid w:val="00EE3AF1"/>
    <w:rsid w:val="00F12C80"/>
    <w:rsid w:val="00F20988"/>
    <w:rsid w:val="00F27A0A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21DCE1"/>
  <w15:docId w15:val="{8C567E7C-0715-428F-B3A9-6792FD7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9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79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3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Remmer</dc:creator>
  <cp:lastModifiedBy>Craig Remmer</cp:lastModifiedBy>
  <cp:revision>2</cp:revision>
  <cp:lastPrinted>2021-09-10T12:47:00Z</cp:lastPrinted>
  <dcterms:created xsi:type="dcterms:W3CDTF">2025-02-14T14:13:00Z</dcterms:created>
  <dcterms:modified xsi:type="dcterms:W3CDTF">2025-02-14T14:13:00Z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