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5BD5" w14:textId="14AA7807" w:rsidR="0067362C" w:rsidRDefault="0067362C" w:rsidP="0067362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D68369" wp14:editId="5DCF3B7E">
            <wp:simplePos x="0" y="0"/>
            <wp:positionH relativeFrom="column">
              <wp:posOffset>8591550</wp:posOffset>
            </wp:positionH>
            <wp:positionV relativeFrom="paragraph">
              <wp:posOffset>-971550</wp:posOffset>
            </wp:positionV>
            <wp:extent cx="899160" cy="903387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931" cy="906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278">
        <w:rPr>
          <w:rFonts w:ascii="Arial" w:hAnsi="Arial" w:cs="Arial"/>
        </w:rPr>
        <w:t xml:space="preserve">Year </w:t>
      </w:r>
      <w:r w:rsidR="00D108FA">
        <w:rPr>
          <w:rFonts w:ascii="Arial" w:hAnsi="Arial" w:cs="Arial"/>
        </w:rPr>
        <w:t>5</w:t>
      </w:r>
    </w:p>
    <w:p w14:paraId="5DEEB293" w14:textId="73125A6F" w:rsidR="0067362C" w:rsidRDefault="0067362C" w:rsidP="0067362C">
      <w:pPr>
        <w:rPr>
          <w:rFonts w:ascii="Arial" w:hAnsi="Arial" w:cs="Arial"/>
        </w:rPr>
      </w:pPr>
      <w:r>
        <w:rPr>
          <w:rFonts w:ascii="Arial" w:hAnsi="Arial" w:cs="Arial"/>
        </w:rPr>
        <w:t>Long Term Curriculum Coverage</w:t>
      </w:r>
      <w:r w:rsidR="004F0AB9">
        <w:rPr>
          <w:rFonts w:ascii="Arial" w:hAnsi="Arial" w:cs="Arial"/>
        </w:rPr>
        <w:t xml:space="preserve">- Learning aims and objectives for each unit are found in the progression and planning document. </w:t>
      </w:r>
    </w:p>
    <w:p w14:paraId="29459416" w14:textId="7248FC9C" w:rsidR="0067362C" w:rsidRDefault="0067362C" w:rsidP="0067362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TableGrid"/>
        <w:tblW w:w="14787" w:type="dxa"/>
        <w:tblLook w:val="04A0" w:firstRow="1" w:lastRow="0" w:firstColumn="1" w:lastColumn="0" w:noHBand="0" w:noVBand="1"/>
      </w:tblPr>
      <w:tblGrid>
        <w:gridCol w:w="1495"/>
        <w:gridCol w:w="1619"/>
        <w:gridCol w:w="4536"/>
        <w:gridCol w:w="1984"/>
        <w:gridCol w:w="5153"/>
      </w:tblGrid>
      <w:tr w:rsidR="001A62CE" w14:paraId="31671660" w14:textId="77777777" w:rsidTr="004F0AB9">
        <w:trPr>
          <w:trHeight w:val="546"/>
        </w:trPr>
        <w:tc>
          <w:tcPr>
            <w:tcW w:w="1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727108" w14:textId="53A4E6CF" w:rsidR="001A62CE" w:rsidRDefault="001A62CE" w:rsidP="00DF6A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key learning that children should be secure with from Year </w:t>
            </w:r>
            <w:r w:rsidR="002963F0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- must be checked and revisited in English lessons, </w:t>
            </w:r>
            <w:r w:rsidR="009A656F">
              <w:rPr>
                <w:rFonts w:ascii="Arial" w:hAnsi="Arial" w:cs="Arial"/>
              </w:rPr>
              <w:t>Golden Goals</w:t>
            </w:r>
            <w:r>
              <w:rPr>
                <w:rFonts w:ascii="Arial" w:hAnsi="Arial" w:cs="Arial"/>
              </w:rPr>
              <w:t xml:space="preserve"> sessions or though interventions to allow children to progress without gaps.</w:t>
            </w:r>
          </w:p>
        </w:tc>
      </w:tr>
      <w:tr w:rsidR="001A62CE" w14:paraId="79FC0596" w14:textId="77777777" w:rsidTr="003F290F">
        <w:trPr>
          <w:trHeight w:val="379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FC56E3B" w14:textId="3571BA51" w:rsidR="001A62CE" w:rsidRDefault="001A62CE" w:rsidP="001A6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Non-Fiction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40DA1A" w14:textId="5F1CB09A" w:rsidR="001A62CE" w:rsidRDefault="001A62CE" w:rsidP="001A62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Narrative</w:t>
            </w:r>
          </w:p>
        </w:tc>
      </w:tr>
      <w:tr w:rsidR="002963F0" w14:paraId="7CB3BDFC" w14:textId="77777777" w:rsidTr="004F0AB9">
        <w:trPr>
          <w:trHeight w:val="546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FE8AB" w14:textId="77777777" w:rsidR="002963F0" w:rsidRDefault="002963F0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fronted adverbials including correct use of commas</w:t>
            </w:r>
          </w:p>
          <w:p w14:paraId="307D9275" w14:textId="77777777" w:rsidR="002963F0" w:rsidRDefault="002963F0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Securely uses of paragraphs to organise ideas and information</w:t>
            </w:r>
          </w:p>
          <w:p w14:paraId="5C685E08" w14:textId="77777777" w:rsidR="002963F0" w:rsidRDefault="002963F0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Extends sentences including more than one clause by using when, if, because, although</w:t>
            </w:r>
          </w:p>
          <w:p w14:paraId="2AEC3658" w14:textId="77777777" w:rsidR="002963F0" w:rsidRDefault="002963F0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a range of organisational devices such as subheadings, bullet points, text layout.</w:t>
            </w:r>
          </w:p>
          <w:p w14:paraId="42ED94DA" w14:textId="77777777" w:rsidR="002963F0" w:rsidRDefault="002963F0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Chooses nouns and pronouns appropriately for clarity and cohesion to avoid repetition.</w:t>
            </w:r>
          </w:p>
          <w:p w14:paraId="6CDE96C0" w14:textId="2F744298" w:rsidR="002963F0" w:rsidRPr="00CE1B71" w:rsidRDefault="002963F0" w:rsidP="002963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E1B71">
              <w:rPr>
                <w:rFonts w:ascii="Arial" w:hAnsi="Arial" w:cs="Arial"/>
                <w:sz w:val="20"/>
                <w:szCs w:val="20"/>
              </w:rPr>
              <w:t>All non-fiction units to include the teaching of subject specific, technical vocabulary.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30C03" w14:textId="77777777" w:rsidR="002963F0" w:rsidRDefault="002963F0" w:rsidP="002963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fronted adverbials including correct use of commas.</w:t>
            </w:r>
          </w:p>
          <w:p w14:paraId="32F0C2DB" w14:textId="77777777" w:rsidR="002963F0" w:rsidRDefault="002963F0" w:rsidP="002963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Securely uses of direct speech punctuation</w:t>
            </w:r>
          </w:p>
          <w:p w14:paraId="59701776" w14:textId="77777777" w:rsidR="002963F0" w:rsidRDefault="002963F0" w:rsidP="002963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consistent with use of 1</w:t>
            </w:r>
            <w:r w:rsidRPr="00CC72DA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3</w:t>
            </w:r>
            <w:r w:rsidRPr="00CC72DA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person.</w:t>
            </w:r>
          </w:p>
          <w:p w14:paraId="3C40E3C8" w14:textId="77777777" w:rsidR="002963F0" w:rsidRDefault="002963F0" w:rsidP="002963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developing use of relative clauses.</w:t>
            </w:r>
          </w:p>
          <w:p w14:paraId="206F484C" w14:textId="77777777" w:rsidR="002963F0" w:rsidRDefault="002963F0" w:rsidP="002963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describe characters and settings effectively thought he use of appropriate vocabulary and some figurative language.</w:t>
            </w:r>
          </w:p>
          <w:p w14:paraId="7C8B07B6" w14:textId="683560E0" w:rsidR="002963F0" w:rsidRPr="00336B9B" w:rsidRDefault="002963F0" w:rsidP="002963F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Uses paragraphs to organise ideas.</w:t>
            </w:r>
          </w:p>
        </w:tc>
      </w:tr>
      <w:tr w:rsidR="002963F0" w14:paraId="3735B2D6" w14:textId="77777777" w:rsidTr="00CE1B71">
        <w:trPr>
          <w:trHeight w:val="255"/>
        </w:trPr>
        <w:tc>
          <w:tcPr>
            <w:tcW w:w="1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64945" w14:textId="77777777" w:rsidR="002963F0" w:rsidRDefault="002963F0" w:rsidP="002963F0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891B6A" w14:paraId="6F28E9DA" w14:textId="18E3F5B1" w:rsidTr="00FF19FD">
        <w:trPr>
          <w:trHeight w:val="54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509C55" w14:textId="77777777" w:rsidR="002963F0" w:rsidRDefault="002963F0" w:rsidP="002963F0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DBB04F" w14:textId="171B9DDD" w:rsidR="002963F0" w:rsidRPr="004F0AB9" w:rsidRDefault="002963F0" w:rsidP="002963F0">
            <w:pPr>
              <w:rPr>
                <w:rFonts w:ascii="Arial" w:hAnsi="Arial" w:cs="Arial"/>
                <w:b/>
                <w:bCs/>
              </w:rPr>
            </w:pPr>
            <w:r w:rsidRPr="004F0AB9">
              <w:rPr>
                <w:rFonts w:ascii="Arial" w:hAnsi="Arial" w:cs="Arial"/>
                <w:b/>
                <w:bCs/>
              </w:rPr>
              <w:t xml:space="preserve">Non-Fiction Teaching Focus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F078771" w14:textId="115F46ED" w:rsidR="002963F0" w:rsidRPr="004F0AB9" w:rsidRDefault="002963F0" w:rsidP="002963F0">
            <w:pPr>
              <w:rPr>
                <w:rFonts w:ascii="Arial" w:hAnsi="Arial" w:cs="Arial"/>
                <w:b/>
                <w:bCs/>
              </w:rPr>
            </w:pPr>
            <w:r w:rsidRPr="004F0AB9">
              <w:rPr>
                <w:rFonts w:ascii="Arial" w:hAnsi="Arial" w:cs="Arial"/>
                <w:b/>
                <w:bCs/>
              </w:rPr>
              <w:t xml:space="preserve">Final Written Outcome </w:t>
            </w:r>
            <w:r>
              <w:rPr>
                <w:rFonts w:ascii="Arial" w:hAnsi="Arial" w:cs="Arial"/>
                <w:b/>
                <w:bCs/>
              </w:rPr>
              <w:t>for assessment (purple book.)</w:t>
            </w:r>
            <w:r w:rsidRPr="004F0AB9">
              <w:rPr>
                <w:rFonts w:ascii="Arial" w:hAnsi="Arial" w:cs="Arial"/>
                <w:b/>
                <w:bCs/>
              </w:rPr>
              <w:t xml:space="preserve">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E3AB21" w14:textId="5ED48769" w:rsidR="002963F0" w:rsidRPr="004F0AB9" w:rsidRDefault="002963F0" w:rsidP="002963F0">
            <w:pPr>
              <w:rPr>
                <w:rFonts w:ascii="Arial" w:hAnsi="Arial" w:cs="Arial"/>
                <w:b/>
                <w:bCs/>
              </w:rPr>
            </w:pPr>
            <w:r w:rsidRPr="004F0AB9">
              <w:rPr>
                <w:rFonts w:ascii="Arial" w:hAnsi="Arial" w:cs="Arial"/>
                <w:b/>
                <w:bCs/>
              </w:rPr>
              <w:t xml:space="preserve">Narrative teaching Focus                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554C4E" w14:textId="446AA639" w:rsidR="002963F0" w:rsidRPr="004F0AB9" w:rsidRDefault="002963F0" w:rsidP="002963F0">
            <w:pPr>
              <w:rPr>
                <w:rFonts w:ascii="Arial" w:hAnsi="Arial" w:cs="Arial"/>
                <w:b/>
                <w:bCs/>
              </w:rPr>
            </w:pPr>
            <w:r w:rsidRPr="004F0AB9">
              <w:rPr>
                <w:rFonts w:ascii="Arial" w:hAnsi="Arial" w:cs="Arial"/>
                <w:b/>
                <w:bCs/>
              </w:rPr>
              <w:t>Final Story Outcome</w:t>
            </w:r>
            <w:r>
              <w:rPr>
                <w:rFonts w:ascii="Arial" w:hAnsi="Arial" w:cs="Arial"/>
                <w:b/>
                <w:bCs/>
              </w:rPr>
              <w:t xml:space="preserve"> for assessment (purple book.)</w:t>
            </w:r>
          </w:p>
        </w:tc>
      </w:tr>
      <w:tr w:rsidR="00E16A8C" w:rsidRPr="001C568A" w14:paraId="36455C07" w14:textId="6F5D57B3" w:rsidTr="00FF19FD">
        <w:trPr>
          <w:trHeight w:val="1399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BEF" w14:textId="77777777" w:rsidR="00E16A8C" w:rsidRPr="004F0AB9" w:rsidRDefault="00E16A8C" w:rsidP="00E16A8C">
            <w:pPr>
              <w:rPr>
                <w:rFonts w:ascii="Arial" w:hAnsi="Arial" w:cs="Arial"/>
                <w:sz w:val="20"/>
                <w:szCs w:val="20"/>
              </w:rPr>
            </w:pPr>
            <w:r w:rsidRPr="004F0AB9">
              <w:rPr>
                <w:rFonts w:ascii="Arial" w:hAnsi="Arial" w:cs="Arial"/>
                <w:sz w:val="20"/>
                <w:szCs w:val="20"/>
              </w:rPr>
              <w:t>Autumn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4C62" w14:textId="5F8AA706" w:rsidR="003D2BC9" w:rsidRDefault="003D2BC9" w:rsidP="00E16A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F35C4">
              <w:rPr>
                <w:rFonts w:ascii="Arial" w:hAnsi="Arial" w:cs="Arial"/>
                <w:color w:val="FF0000"/>
                <w:sz w:val="20"/>
                <w:szCs w:val="20"/>
              </w:rPr>
              <w:t>Persuasive letter about closure of workhouses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9E05EDE" w14:textId="77777777" w:rsidR="009F35C4" w:rsidRDefault="009F35C4" w:rsidP="00E16A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40699420" w14:textId="0FA45400" w:rsidR="003D2BC9" w:rsidRPr="009F35C4" w:rsidRDefault="009F35C4" w:rsidP="00E16A8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9F35C4">
              <w:rPr>
                <w:rFonts w:ascii="Arial" w:hAnsi="Arial" w:cs="Arial"/>
                <w:b/>
                <w:bCs/>
                <w:color w:val="FF0000"/>
              </w:rPr>
              <w:t>Persuade:</w:t>
            </w:r>
          </w:p>
          <w:p w14:paraId="320713BB" w14:textId="37F49E81" w:rsidR="003D2BC9" w:rsidRPr="00A34D9E" w:rsidRDefault="009F35C4" w:rsidP="00E16A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Write a letter to Charles Dickens to visit the workhouse and campaign for their closure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(as a historical letter)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2ACB" w14:textId="77777777" w:rsidR="00A2050E" w:rsidRPr="009F35C4" w:rsidRDefault="00A2050E" w:rsidP="00E16A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35C4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Write a recount on the same subject, for two contrasting audiences, shifting levels of formality:</w:t>
            </w:r>
          </w:p>
          <w:p w14:paraId="7CA788EA" w14:textId="77777777" w:rsidR="00A2050E" w:rsidRPr="009F35C4" w:rsidRDefault="00A2050E" w:rsidP="00E16A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35C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recount of the first trip or workshop in Year 5- first in a </w:t>
            </w:r>
            <w:r w:rsidR="008B5CF0" w:rsidRPr="009F35C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formal </w:t>
            </w:r>
            <w:r w:rsidRPr="009F35C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letter of thanks to the </w:t>
            </w:r>
            <w:r w:rsidR="008B5CF0" w:rsidRPr="009F35C4">
              <w:rPr>
                <w:rFonts w:ascii="Arial" w:hAnsi="Arial" w:cs="Arial"/>
                <w:sz w:val="20"/>
                <w:szCs w:val="20"/>
                <w:highlight w:val="yellow"/>
              </w:rPr>
              <w:t>organiser of the trip or visit, explaining what you did and why you enjoyed it.</w:t>
            </w:r>
          </w:p>
          <w:p w14:paraId="3E8DD81E" w14:textId="77777777" w:rsidR="008B5CF0" w:rsidRDefault="008B5CF0" w:rsidP="00E16A8C">
            <w:pPr>
              <w:rPr>
                <w:rFonts w:ascii="Arial" w:hAnsi="Arial" w:cs="Arial"/>
                <w:sz w:val="20"/>
                <w:szCs w:val="20"/>
              </w:rPr>
            </w:pPr>
            <w:r w:rsidRPr="009F35C4">
              <w:rPr>
                <w:rFonts w:ascii="Arial" w:hAnsi="Arial" w:cs="Arial"/>
                <w:sz w:val="20"/>
                <w:szCs w:val="20"/>
                <w:highlight w:val="yellow"/>
              </w:rPr>
              <w:t>Then, in the style of an interview for the school newsletter- a peer asks questions about the trip and the child answer, both parts of the conversation are written down.</w:t>
            </w:r>
          </w:p>
          <w:p w14:paraId="019631C0" w14:textId="77777777" w:rsidR="008B5CF0" w:rsidRDefault="008B5CF0" w:rsidP="00E16A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5DA5D3" w14:textId="2B983416" w:rsidR="009F35C4" w:rsidRDefault="009F35C4" w:rsidP="00E16A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Write a letter from the POV of a Victorian child to Charles Dickens, asking him to visit the workhouse to see the awful conditions inside.</w:t>
            </w:r>
          </w:p>
          <w:p w14:paraId="3BFA3C33" w14:textId="77777777" w:rsidR="009F35C4" w:rsidRDefault="009F35C4" w:rsidP="00E16A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AB218" w14:textId="77777777" w:rsidR="009F35C4" w:rsidRDefault="009F35C4" w:rsidP="00E16A8C">
            <w:pPr>
              <w:rPr>
                <w:rFonts w:ascii="Arial" w:hAnsi="Arial" w:cs="Arial"/>
                <w:color w:val="70AD47" w:themeColor="accent6"/>
                <w:sz w:val="20"/>
                <w:szCs w:val="20"/>
                <w:highlight w:val="yellow"/>
              </w:rPr>
            </w:pPr>
          </w:p>
          <w:p w14:paraId="52608B6F" w14:textId="77AE02B4" w:rsidR="008B5CF0" w:rsidRPr="009F35C4" w:rsidRDefault="008B5CF0" w:rsidP="00E16A8C">
            <w:pPr>
              <w:rPr>
                <w:rFonts w:ascii="Arial" w:hAnsi="Arial" w:cs="Arial"/>
                <w:color w:val="70AD47" w:themeColor="accent6"/>
                <w:sz w:val="20"/>
                <w:szCs w:val="20"/>
                <w:highlight w:val="yellow"/>
              </w:rPr>
            </w:pPr>
            <w:r w:rsidRPr="009F35C4">
              <w:rPr>
                <w:rFonts w:ascii="Arial" w:hAnsi="Arial" w:cs="Arial"/>
                <w:color w:val="70AD47" w:themeColor="accent6"/>
                <w:sz w:val="20"/>
                <w:szCs w:val="20"/>
                <w:highlight w:val="yellow"/>
              </w:rPr>
              <w:t>GD transform- write a comparative recount where they compare this trip to others that they have been on and explain why it may have been better.</w:t>
            </w:r>
          </w:p>
          <w:p w14:paraId="04EE85BA" w14:textId="77777777" w:rsidR="008B5CF0" w:rsidRDefault="008B5CF0" w:rsidP="00E16A8C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9F35C4">
              <w:rPr>
                <w:rFonts w:ascii="Arial" w:hAnsi="Arial" w:cs="Arial"/>
                <w:color w:val="70AD47" w:themeColor="accent6"/>
                <w:sz w:val="20"/>
                <w:szCs w:val="20"/>
                <w:highlight w:val="yellow"/>
              </w:rPr>
              <w:t>Other opportunities this term- short diary extracts in English lessons from the point of view of a Street Child character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.</w:t>
            </w:r>
          </w:p>
          <w:p w14:paraId="72984F38" w14:textId="3513C45A" w:rsidR="009F35C4" w:rsidRPr="008B5CF0" w:rsidRDefault="009F35C4" w:rsidP="00E16A8C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D41" w14:textId="69AA5322" w:rsidR="00E16A8C" w:rsidRPr="004F0AB9" w:rsidRDefault="00E16A8C" w:rsidP="00E16A8C">
            <w:pPr>
              <w:rPr>
                <w:rFonts w:ascii="Arial" w:hAnsi="Arial" w:cs="Arial"/>
                <w:sz w:val="20"/>
                <w:szCs w:val="20"/>
              </w:rPr>
            </w:pPr>
            <w:r w:rsidRPr="00F31468">
              <w:rPr>
                <w:rFonts w:ascii="Arial" w:hAnsi="Arial" w:cs="Arial"/>
                <w:color w:val="FF0000"/>
              </w:rPr>
              <w:lastRenderedPageBreak/>
              <w:t>Street Child</w:t>
            </w:r>
            <w:r w:rsidR="009C51F3">
              <w:rPr>
                <w:rFonts w:ascii="Arial" w:hAnsi="Arial" w:cs="Arial"/>
                <w:color w:val="FF0000"/>
              </w:rPr>
              <w:t>- Berlie Doherty</w:t>
            </w:r>
            <w:r>
              <w:rPr>
                <w:rFonts w:ascii="Arial" w:hAnsi="Arial" w:cs="Arial"/>
                <w:color w:val="FF0000"/>
              </w:rPr>
              <w:t xml:space="preserve"> paired with </w:t>
            </w:r>
            <w:r w:rsidR="009C51F3">
              <w:rPr>
                <w:rFonts w:ascii="Arial" w:hAnsi="Arial" w:cs="Arial"/>
                <w:color w:val="FF0000"/>
              </w:rPr>
              <w:t>Way Home</w:t>
            </w:r>
            <w:r w:rsidR="00FB18C1">
              <w:rPr>
                <w:rFonts w:ascii="Arial" w:hAnsi="Arial" w:cs="Arial"/>
                <w:color w:val="FF0000"/>
              </w:rPr>
              <w:t xml:space="preserve">- Libby Hathorn 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989C" w14:textId="77777777" w:rsidR="00E16A8C" w:rsidRDefault="00916C44" w:rsidP="00E16A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and tell a story using language to evoke mood and atmosphere- focus on character and setting description.</w:t>
            </w:r>
          </w:p>
          <w:p w14:paraId="14949D02" w14:textId="77777777" w:rsidR="00EC33F8" w:rsidRDefault="00EC33F8" w:rsidP="00E16A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A6888" w14:textId="6A243A98" w:rsidR="00EC33F8" w:rsidRPr="004F0AB9" w:rsidRDefault="005C4BF9" w:rsidP="00E16A8C">
            <w:pPr>
              <w:rPr>
                <w:rFonts w:ascii="Arial" w:hAnsi="Arial" w:cs="Arial"/>
                <w:sz w:val="20"/>
                <w:szCs w:val="20"/>
              </w:rPr>
            </w:pPr>
            <w:r w:rsidRPr="009F35C4">
              <w:rPr>
                <w:rFonts w:ascii="Arial" w:hAnsi="Arial" w:cs="Arial"/>
                <w:sz w:val="20"/>
                <w:szCs w:val="20"/>
                <w:highlight w:val="yellow"/>
              </w:rPr>
              <w:t>Children continue the story of ‘Way Home’ from the main dilemma onwards, including their own ending to the story.</w:t>
            </w:r>
          </w:p>
        </w:tc>
      </w:tr>
      <w:tr w:rsidR="00E16A8C" w:rsidRPr="001C568A" w14:paraId="170CCC91" w14:textId="23892903" w:rsidTr="00FF19FD">
        <w:trPr>
          <w:trHeight w:val="1399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4439" w14:textId="77777777" w:rsidR="00E16A8C" w:rsidRPr="004F0AB9" w:rsidRDefault="00E16A8C" w:rsidP="00E16A8C">
            <w:pPr>
              <w:rPr>
                <w:rFonts w:ascii="Arial" w:hAnsi="Arial" w:cs="Arial"/>
                <w:sz w:val="20"/>
                <w:szCs w:val="20"/>
              </w:rPr>
            </w:pPr>
            <w:r w:rsidRPr="004F0AB9">
              <w:rPr>
                <w:rFonts w:ascii="Arial" w:hAnsi="Arial" w:cs="Arial"/>
                <w:sz w:val="20"/>
                <w:szCs w:val="20"/>
              </w:rPr>
              <w:t>Autumn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81C8" w14:textId="25EC6946" w:rsidR="00E16A8C" w:rsidRPr="00A34D9E" w:rsidRDefault="00E16A8C" w:rsidP="00E16A8C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14:paraId="7B823130" w14:textId="72A52BC0" w:rsidR="00E16A8C" w:rsidRPr="00A34D9E" w:rsidRDefault="00E16A8C" w:rsidP="00E16A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9FF8" w14:textId="0F464443" w:rsidR="008B5CF0" w:rsidRPr="008B5CF0" w:rsidRDefault="008B5CF0" w:rsidP="00E16A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493FCCC" w14:textId="4BFFCA3A" w:rsidR="008B5CF0" w:rsidRDefault="00646944" w:rsidP="00E16A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Dialogue focus</w:t>
            </w:r>
            <w:r w:rsidR="004E1F9E">
              <w:rPr>
                <w:rFonts w:ascii="Arial" w:hAnsi="Arial" w:cs="Arial"/>
                <w:sz w:val="20"/>
                <w:szCs w:val="20"/>
              </w:rPr>
              <w:t xml:space="preserve"> linked to Beowulf.</w:t>
            </w:r>
          </w:p>
          <w:p w14:paraId="7A2418FD" w14:textId="5D7BE1D8" w:rsidR="008B5CF0" w:rsidRPr="004F0AB9" w:rsidRDefault="008B5CF0" w:rsidP="00E16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E83" w14:textId="77777777" w:rsidR="009F35C4" w:rsidRDefault="009F35C4" w:rsidP="009F35C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Beowulf- Robert Nye version</w:t>
            </w:r>
          </w:p>
          <w:p w14:paraId="4CA5FDF7" w14:textId="2C1EB816" w:rsidR="00FB18C1" w:rsidRPr="004F0AB9" w:rsidRDefault="009F35C4" w:rsidP="009F35C4">
            <w:pPr>
              <w:rPr>
                <w:rFonts w:ascii="Arial" w:hAnsi="Arial" w:cs="Arial"/>
                <w:sz w:val="20"/>
                <w:szCs w:val="20"/>
              </w:rPr>
            </w:pPr>
            <w:r w:rsidRPr="00FB18C1">
              <w:rPr>
                <w:rFonts w:ascii="Arial" w:hAnsi="Arial" w:cs="Arial"/>
                <w:color w:val="FF0000"/>
              </w:rPr>
              <w:t>Paired with extracts from</w:t>
            </w:r>
            <w:r>
              <w:rPr>
                <w:rFonts w:ascii="Arial" w:hAnsi="Arial" w:cs="Arial"/>
                <w:color w:val="FF0000"/>
              </w:rPr>
              <w:t xml:space="preserve"> Seamus Heany</w:t>
            </w:r>
            <w:r w:rsidRPr="00EC33F8">
              <w:rPr>
                <w:rFonts w:ascii="Arial" w:hAnsi="Arial" w:cs="Arial"/>
                <w:color w:val="FF0000"/>
              </w:rPr>
              <w:t xml:space="preserve"> </w:t>
            </w:r>
            <w:r w:rsidR="00EC33F8" w:rsidRPr="00EC33F8">
              <w:rPr>
                <w:rFonts w:ascii="Arial" w:hAnsi="Arial" w:cs="Arial"/>
                <w:color w:val="FF0000"/>
              </w:rPr>
              <w:t>Dragon Rider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B6C" w14:textId="77777777" w:rsidR="009F35C4" w:rsidRDefault="009F35C4" w:rsidP="009F35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and tell extracts of a story, exploring narrative viewpoints. Plan and write a non-linear story e.g. flashbacks and parallel narratives.</w:t>
            </w:r>
          </w:p>
          <w:p w14:paraId="287D715F" w14:textId="77777777" w:rsidR="009F35C4" w:rsidRDefault="009F35C4" w:rsidP="009F35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319C2" w14:textId="77777777" w:rsidR="009F35C4" w:rsidRDefault="009F35C4" w:rsidP="009F35C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16C44">
              <w:rPr>
                <w:rFonts w:ascii="Arial" w:hAnsi="Arial" w:cs="Arial"/>
                <w:sz w:val="20"/>
                <w:szCs w:val="20"/>
              </w:rPr>
              <w:t xml:space="preserve">The battle of Beowulf and Grendel told from the point of Beowulf (first person) </w:t>
            </w:r>
          </w:p>
          <w:p w14:paraId="5FF71874" w14:textId="1D10A8FA" w:rsidR="00916C44" w:rsidRPr="00916C44" w:rsidRDefault="00916C44" w:rsidP="00927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3E0" w:rsidRPr="001C568A" w14:paraId="45BF1903" w14:textId="2571F51B" w:rsidTr="009278B2">
        <w:trPr>
          <w:trHeight w:val="2235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965D" w14:textId="77777777" w:rsidR="000133E0" w:rsidRPr="004F0AB9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 w:rsidRPr="004F0AB9">
              <w:rPr>
                <w:rFonts w:ascii="Arial" w:hAnsi="Arial" w:cs="Arial"/>
                <w:sz w:val="20"/>
                <w:szCs w:val="20"/>
              </w:rPr>
              <w:t>Spring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769" w14:textId="1D3D239E" w:rsidR="000133E0" w:rsidRPr="00A34D9E" w:rsidRDefault="000133E0" w:rsidP="000133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Discussion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D31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Who is to blame for the death of Bess in the Highwayman.</w:t>
            </w:r>
          </w:p>
          <w:p w14:paraId="49B62207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88BD31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355F6" w14:textId="1BDF9DCD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 w:rsidRPr="000133E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Greater Depth Group to work with Monkwearmouth- </w:t>
            </w:r>
            <w:proofErr w:type="spellStart"/>
            <w:r w:rsidRPr="000133E0">
              <w:rPr>
                <w:rFonts w:ascii="Arial" w:hAnsi="Arial" w:cs="Arial"/>
                <w:sz w:val="20"/>
                <w:szCs w:val="20"/>
                <w:highlight w:val="yellow"/>
              </w:rPr>
              <w:t>Soliloquays</w:t>
            </w:r>
            <w:proofErr w:type="spellEnd"/>
            <w:r w:rsidRPr="000133E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and a playscript based on the Highwayman.</w:t>
            </w:r>
          </w:p>
          <w:p w14:paraId="3C1EF64A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CC61C" w14:textId="6437CA06" w:rsidR="000133E0" w:rsidRP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B03B" w14:textId="77777777" w:rsidR="000133E0" w:rsidRDefault="000133E0" w:rsidP="000133E0">
            <w:pPr>
              <w:rPr>
                <w:rFonts w:ascii="Arial" w:hAnsi="Arial" w:cs="Arial"/>
                <w:color w:val="FF0000"/>
              </w:rPr>
            </w:pPr>
            <w:r w:rsidRPr="00F31468">
              <w:rPr>
                <w:rFonts w:ascii="Arial" w:hAnsi="Arial" w:cs="Arial"/>
                <w:color w:val="FF0000"/>
              </w:rPr>
              <w:t>The Highwayman</w:t>
            </w:r>
            <w:r>
              <w:rPr>
                <w:rFonts w:ascii="Arial" w:hAnsi="Arial" w:cs="Arial"/>
                <w:color w:val="FF0000"/>
              </w:rPr>
              <w:t>-Alfred Noyes</w:t>
            </w:r>
          </w:p>
          <w:p w14:paraId="6EA290B6" w14:textId="77777777" w:rsidR="000133E0" w:rsidRDefault="000133E0" w:rsidP="000133E0">
            <w:pPr>
              <w:rPr>
                <w:rFonts w:ascii="Arial" w:hAnsi="Arial" w:cs="Arial"/>
                <w:color w:val="FF0000"/>
              </w:rPr>
            </w:pPr>
          </w:p>
          <w:p w14:paraId="3F33EAAF" w14:textId="0ADB45E2" w:rsidR="000133E0" w:rsidRPr="004F0AB9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7113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and tell a story using language to evoke mood and atmosphere- focus on character and setting description.</w:t>
            </w:r>
          </w:p>
          <w:p w14:paraId="692CB519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C800F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Write the sequence of events of the night The Highwayman says goodbye to Bess (mid-point in poem)</w:t>
            </w:r>
          </w:p>
          <w:p w14:paraId="0D39A295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1EED97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and write an ending of their choice (choosing from three options).</w:t>
            </w:r>
          </w:p>
          <w:p w14:paraId="788DB449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4A4D3A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Opportunity for mixed text type – persuasive letter could be included within the story. </w:t>
            </w:r>
          </w:p>
          <w:p w14:paraId="10819BE4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4D3EB" w14:textId="57462A02" w:rsidR="000133E0" w:rsidRPr="00A35464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GDS opportunity – to write an extract (series of extracts) written from Tim’s point of view (recount of events – parallel story.</w:t>
            </w:r>
          </w:p>
        </w:tc>
      </w:tr>
      <w:tr w:rsidR="000133E0" w:rsidRPr="001C568A" w14:paraId="68D84702" w14:textId="42D2A04F" w:rsidTr="00FF19FD">
        <w:trPr>
          <w:trHeight w:val="1657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4EF9" w14:textId="77777777" w:rsidR="000133E0" w:rsidRPr="004F0AB9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 w:rsidRPr="004F0AB9">
              <w:rPr>
                <w:rFonts w:ascii="Arial" w:hAnsi="Arial" w:cs="Arial"/>
                <w:sz w:val="20"/>
                <w:szCs w:val="20"/>
              </w:rPr>
              <w:lastRenderedPageBreak/>
              <w:t>Spring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F26" w14:textId="77777777" w:rsidR="000133E0" w:rsidRDefault="000133E0" w:rsidP="000133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Non-Chronological report</w:t>
            </w:r>
          </w:p>
          <w:p w14:paraId="035AD1F4" w14:textId="73B2A2BC" w:rsidR="000133E0" w:rsidRPr="00A34D9E" w:rsidRDefault="000133E0" w:rsidP="000133E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C95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Dragonologists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Guide to Dragons-</w:t>
            </w:r>
          </w:p>
          <w:p w14:paraId="12B5F990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collection of dragon profiles (in the style of a manual- see Harry Potter text as an example) including comparisons between the dragons</w:t>
            </w:r>
          </w:p>
          <w:p w14:paraId="6A33BD16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use the language of non-chronological report, to profile and compare multiple dragons.</w:t>
            </w:r>
          </w:p>
          <w:p w14:paraId="5DE9E289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Audience: Dragon hunters/spotters, children should sound like experts, focus on subject specific vocabulary.</w:t>
            </w:r>
          </w:p>
          <w:p w14:paraId="70A49109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81D2D" w14:textId="745CFC5B" w:rsidR="000133E0" w:rsidRPr="00B172AD" w:rsidRDefault="000133E0" w:rsidP="000133E0">
            <w:pPr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EB5281">
              <w:rPr>
                <w:rFonts w:ascii="Arial" w:hAnsi="Arial" w:cs="Arial"/>
                <w:color w:val="FFFF00"/>
                <w:sz w:val="20"/>
                <w:szCs w:val="20"/>
                <w:highlight w:val="black"/>
              </w:rPr>
              <w:t>Opportunities in Geography- A report about an Alpine mountainous resort compared with a UK Mountainous region.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BE51" w14:textId="77777777" w:rsidR="000133E0" w:rsidRPr="004F0AB9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 w:rsidRPr="00EC33F8">
              <w:rPr>
                <w:rFonts w:ascii="Arial" w:hAnsi="Arial" w:cs="Arial"/>
                <w:color w:val="FF0000"/>
              </w:rPr>
              <w:t>Dragon Rider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  <w:p w14:paraId="4E352BA5" w14:textId="45F3C38F" w:rsidR="000133E0" w:rsidRPr="00A21749" w:rsidRDefault="000133E0" w:rsidP="000133E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3086" w14:textId="77777777" w:rsidR="000133E0" w:rsidRDefault="000133E0" w:rsidP="000133E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19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novel is long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worth reading as early as possible – writing is based on events in Chapter 8 ‘The flight’. </w:t>
            </w:r>
          </w:p>
          <w:p w14:paraId="52454B56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80718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 w:rsidRPr="00A35464">
              <w:rPr>
                <w:rFonts w:ascii="Arial" w:hAnsi="Arial" w:cs="Arial"/>
                <w:sz w:val="20"/>
                <w:szCs w:val="20"/>
              </w:rPr>
              <w:t xml:space="preserve">Plan and write a story with a clear narrative voice.  Use dialogue to build character and move the action forward.  </w:t>
            </w:r>
          </w:p>
          <w:p w14:paraId="7CE51049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AEC849" w14:textId="77777777" w:rsidR="000133E0" w:rsidRDefault="000133E0" w:rsidP="00013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have their own main character, sidekick character (like Sorrel) and dragon- their story begins with action similar to Chapter 8- the characters take a flight, they then land in their own imagined land where dragons will be safe- what do they see?  Much of the description can be revealed to the reader through dialogue.</w:t>
            </w:r>
          </w:p>
          <w:p w14:paraId="255CCA8C" w14:textId="58D6DD47" w:rsidR="000133E0" w:rsidRPr="00A35464" w:rsidRDefault="000133E0" w:rsidP="000133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A8C" w:rsidRPr="001C568A" w14:paraId="2400075A" w14:textId="73D31A26" w:rsidTr="00FF19FD">
        <w:trPr>
          <w:trHeight w:val="167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1169" w14:textId="77777777" w:rsidR="00E16A8C" w:rsidRPr="004F0AB9" w:rsidRDefault="00E16A8C" w:rsidP="00E16A8C">
            <w:pPr>
              <w:rPr>
                <w:rFonts w:ascii="Arial" w:hAnsi="Arial" w:cs="Arial"/>
                <w:sz w:val="20"/>
                <w:szCs w:val="20"/>
              </w:rPr>
            </w:pPr>
            <w:r w:rsidRPr="004F0AB9">
              <w:rPr>
                <w:rFonts w:ascii="Arial" w:hAnsi="Arial" w:cs="Arial"/>
                <w:sz w:val="20"/>
                <w:szCs w:val="20"/>
              </w:rPr>
              <w:t>Summer 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0E4E" w14:textId="77777777" w:rsidR="00916C44" w:rsidRPr="00891B6A" w:rsidRDefault="00916C44" w:rsidP="00916C44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  <w:r w:rsidRPr="00891B6A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Persuasion</w:t>
            </w:r>
          </w:p>
          <w:p w14:paraId="0CF3F5CB" w14:textId="77777777" w:rsidR="00891B6A" w:rsidRPr="00891B6A" w:rsidRDefault="00891B6A" w:rsidP="00916C44">
            <w:pPr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</w:pPr>
          </w:p>
          <w:p w14:paraId="757D9D14" w14:textId="31F4029A" w:rsidR="00891B6A" w:rsidRPr="00A34D9E" w:rsidRDefault="00891B6A" w:rsidP="00916C4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91B6A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Possible Geography task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– to link with topic Energy and Sustainability e.g. write to Sunderland council about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lastRenderedPageBreak/>
              <w:t xml:space="preserve">how to be more energy efficient. </w:t>
            </w:r>
          </w:p>
          <w:p w14:paraId="2FE7619C" w14:textId="60625D0A" w:rsidR="00E16A8C" w:rsidRPr="00A34D9E" w:rsidRDefault="00E16A8C" w:rsidP="009C51F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3FF" w14:textId="77777777" w:rsidR="009258F1" w:rsidRPr="00891B6A" w:rsidRDefault="009258F1" w:rsidP="00E16A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1B6A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A written speech to be presented to the headteacher to persuade him to allow the school to have one of the following:</w:t>
            </w:r>
          </w:p>
          <w:p w14:paraId="409312A7" w14:textId="3B0DF8CB" w:rsidR="009258F1" w:rsidRPr="00891B6A" w:rsidRDefault="009258F1" w:rsidP="00E16A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1B6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</w:t>
            </w:r>
            <w:r w:rsidR="00A2050E" w:rsidRPr="00891B6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school </w:t>
            </w:r>
            <w:r w:rsidRPr="00891B6A">
              <w:rPr>
                <w:rFonts w:ascii="Arial" w:hAnsi="Arial" w:cs="Arial"/>
                <w:sz w:val="20"/>
                <w:szCs w:val="20"/>
                <w:highlight w:val="yellow"/>
              </w:rPr>
              <w:t>pet</w:t>
            </w:r>
          </w:p>
          <w:p w14:paraId="7AA756B6" w14:textId="130F988D" w:rsidR="009258F1" w:rsidRPr="00891B6A" w:rsidRDefault="009258F1" w:rsidP="00E16A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1B6A">
              <w:rPr>
                <w:rFonts w:ascii="Arial" w:hAnsi="Arial" w:cs="Arial"/>
                <w:sz w:val="20"/>
                <w:szCs w:val="20"/>
                <w:highlight w:val="yellow"/>
              </w:rPr>
              <w:t>A</w:t>
            </w:r>
            <w:r w:rsidR="00A2050E" w:rsidRPr="00891B6A">
              <w:rPr>
                <w:rFonts w:ascii="Arial" w:hAnsi="Arial" w:cs="Arial"/>
                <w:sz w:val="20"/>
                <w:szCs w:val="20"/>
                <w:highlight w:val="yellow"/>
              </w:rPr>
              <w:t>n</w:t>
            </w:r>
            <w:r w:rsidRPr="00891B6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exciting end of year trip</w:t>
            </w:r>
          </w:p>
          <w:p w14:paraId="6D78F771" w14:textId="0935BCE7" w:rsidR="009258F1" w:rsidRPr="00891B6A" w:rsidRDefault="009258F1" w:rsidP="00E16A8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91B6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A playground adaptation, e.g. skate park </w:t>
            </w:r>
            <w:r w:rsidR="00A2050E" w:rsidRPr="00891B6A">
              <w:rPr>
                <w:rFonts w:ascii="Arial" w:hAnsi="Arial" w:cs="Arial"/>
                <w:sz w:val="20"/>
                <w:szCs w:val="20"/>
                <w:highlight w:val="yellow"/>
              </w:rPr>
              <w:t>section on yard</w:t>
            </w:r>
          </w:p>
          <w:p w14:paraId="35DB7F10" w14:textId="77777777" w:rsidR="00E16A8C" w:rsidRDefault="009258F1" w:rsidP="00E16A8C">
            <w:pPr>
              <w:rPr>
                <w:rFonts w:ascii="Arial" w:hAnsi="Arial" w:cs="Arial"/>
                <w:sz w:val="20"/>
                <w:szCs w:val="20"/>
              </w:rPr>
            </w:pPr>
            <w:r w:rsidRPr="00891B6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Or something that </w:t>
            </w:r>
            <w:r w:rsidR="00A2050E" w:rsidRPr="00891B6A">
              <w:rPr>
                <w:rFonts w:ascii="Arial" w:hAnsi="Arial" w:cs="Arial"/>
                <w:sz w:val="20"/>
                <w:szCs w:val="20"/>
                <w:highlight w:val="yellow"/>
              </w:rPr>
              <w:t>is relevant to them at the time</w:t>
            </w:r>
            <w:r w:rsidRPr="00891B6A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5089B8" w14:textId="77777777" w:rsidR="00B172AD" w:rsidRDefault="00B172AD" w:rsidP="00E16A8C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>Opportunities in History:</w:t>
            </w:r>
          </w:p>
          <w:p w14:paraId="3EB781A9" w14:textId="63FE7C82" w:rsidR="00B172AD" w:rsidRPr="00B172AD" w:rsidRDefault="00B172AD" w:rsidP="00E16A8C">
            <w:pPr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>A persuasive advert / brochure for The Titanic.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68F9" w14:textId="0B95FA73" w:rsidR="00891B6A" w:rsidRPr="00B04D91" w:rsidRDefault="00891B6A" w:rsidP="00E16A8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13FA" w14:textId="5662F72F" w:rsidR="00891B6A" w:rsidRPr="004F0AB9" w:rsidRDefault="000133E0" w:rsidP="00E16A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from Spring 2 as such a short half term.</w:t>
            </w:r>
          </w:p>
        </w:tc>
      </w:tr>
      <w:tr w:rsidR="00E16A8C" w:rsidRPr="001C568A" w14:paraId="2FF25D12" w14:textId="65CE0E26" w:rsidTr="00FF19FD">
        <w:trPr>
          <w:trHeight w:val="1756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DAF1" w14:textId="77777777" w:rsidR="00E16A8C" w:rsidRPr="004F0AB9" w:rsidRDefault="00E16A8C" w:rsidP="00E16A8C">
            <w:pPr>
              <w:rPr>
                <w:rFonts w:ascii="Arial" w:hAnsi="Arial" w:cs="Arial"/>
                <w:sz w:val="20"/>
                <w:szCs w:val="20"/>
              </w:rPr>
            </w:pPr>
            <w:r w:rsidRPr="004F0AB9">
              <w:rPr>
                <w:rFonts w:ascii="Arial" w:hAnsi="Arial" w:cs="Arial"/>
                <w:sz w:val="20"/>
                <w:szCs w:val="20"/>
              </w:rPr>
              <w:lastRenderedPageBreak/>
              <w:t>Summer 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20D46" w14:textId="71F7097F" w:rsidR="00E16A8C" w:rsidRPr="009F35C4" w:rsidRDefault="009F35C4" w:rsidP="00E16A8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F35C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RECOUNT</w:t>
            </w:r>
          </w:p>
          <w:p w14:paraId="13C65ED1" w14:textId="77777777" w:rsidR="00916C44" w:rsidRPr="00A34D9E" w:rsidRDefault="00916C44" w:rsidP="00916C4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87ABF"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</w:rPr>
              <w:t>Explanation</w:t>
            </w:r>
          </w:p>
          <w:p w14:paraId="7ECCD9A4" w14:textId="79222DD2" w:rsidR="00916C44" w:rsidRDefault="00B87ABF" w:rsidP="00916C4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87ABF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Discussed removal from Year 5.</w:t>
            </w:r>
          </w:p>
          <w:p w14:paraId="54D2196E" w14:textId="08B40FBF" w:rsidR="00916C44" w:rsidRPr="00916C44" w:rsidRDefault="00916C44" w:rsidP="00916C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146" w14:textId="7AEE989B" w:rsidR="001D2044" w:rsidRDefault="001D2044" w:rsidP="001D2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Plan, Compose, edit and refine a balanced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discussion;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focusing on clarity, conciseness and impersonal style.</w:t>
            </w:r>
          </w:p>
          <w:p w14:paraId="1825427B" w14:textId="01009DD1" w:rsidR="00E16A8C" w:rsidRDefault="001D2044" w:rsidP="00E16A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explain how blood carries oxygen and nutrients around the body in the circulatory system</w:t>
            </w:r>
            <w:r w:rsidR="00B87AB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87ABF" w:rsidRPr="00B87ABF">
              <w:rPr>
                <w:rFonts w:ascii="Arial" w:hAnsi="Arial" w:cs="Arial"/>
                <w:sz w:val="20"/>
                <w:szCs w:val="20"/>
                <w:highlight w:val="yellow"/>
              </w:rPr>
              <w:t>not taught in Year 5.</w:t>
            </w:r>
          </w:p>
          <w:p w14:paraId="527D3019" w14:textId="27AB0FAB" w:rsidR="001D2044" w:rsidRDefault="001D2044" w:rsidP="00E16A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B9F1B" w14:textId="0AE8B5FC" w:rsidR="00B172AD" w:rsidRPr="005C4BF9" w:rsidRDefault="001D2044" w:rsidP="00E16A8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D20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may need to come at the end of the half term after the narrative to allow children to access the relevant teaching in </w:t>
            </w:r>
            <w:proofErr w:type="gramStart"/>
            <w:r w:rsidRPr="001D2044">
              <w:rPr>
                <w:rFonts w:ascii="Arial" w:hAnsi="Arial" w:cs="Arial"/>
                <w:i/>
                <w:iCs/>
                <w:sz w:val="20"/>
                <w:szCs w:val="20"/>
              </w:rPr>
              <w:t>Science</w:t>
            </w:r>
            <w:proofErr w:type="gramEnd"/>
            <w:r w:rsidRPr="001D204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first.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1925" w14:textId="77777777" w:rsidR="00E16A8C" w:rsidRDefault="00E16A8C" w:rsidP="00E16A8C">
            <w:pPr>
              <w:rPr>
                <w:rFonts w:ascii="Arial" w:hAnsi="Arial" w:cs="Arial"/>
                <w:color w:val="FF0000"/>
              </w:rPr>
            </w:pPr>
            <w:proofErr w:type="spellStart"/>
            <w:r w:rsidRPr="00891B6A">
              <w:rPr>
                <w:rFonts w:ascii="Arial" w:hAnsi="Arial" w:cs="Arial"/>
                <w:color w:val="FF0000"/>
                <w:highlight w:val="yellow"/>
              </w:rPr>
              <w:t>Cogheart</w:t>
            </w:r>
            <w:proofErr w:type="spellEnd"/>
            <w:r w:rsidR="00FB18C1" w:rsidRPr="00891B6A">
              <w:rPr>
                <w:rFonts w:ascii="Arial" w:hAnsi="Arial" w:cs="Arial"/>
                <w:color w:val="FF0000"/>
                <w:highlight w:val="yellow"/>
              </w:rPr>
              <w:t>- Peter Bunzl</w:t>
            </w:r>
          </w:p>
          <w:p w14:paraId="0A9DCEAE" w14:textId="77777777" w:rsidR="00891B6A" w:rsidRDefault="00891B6A" w:rsidP="00E16A8C">
            <w:pPr>
              <w:rPr>
                <w:rFonts w:ascii="Arial" w:hAnsi="Arial" w:cs="Arial"/>
              </w:rPr>
            </w:pPr>
          </w:p>
          <w:p w14:paraId="630EA72D" w14:textId="77777777" w:rsidR="00891B6A" w:rsidRDefault="00891B6A" w:rsidP="00891B6A">
            <w:pPr>
              <w:rPr>
                <w:rFonts w:ascii="Arial" w:hAnsi="Arial" w:cs="Arial"/>
                <w:color w:val="FF0000"/>
              </w:rPr>
            </w:pPr>
            <w:r w:rsidRPr="00F31468">
              <w:rPr>
                <w:rFonts w:ascii="Arial" w:hAnsi="Arial" w:cs="Arial"/>
                <w:color w:val="FF0000"/>
              </w:rPr>
              <w:t>The Highwayman</w:t>
            </w:r>
            <w:r>
              <w:rPr>
                <w:rFonts w:ascii="Arial" w:hAnsi="Arial" w:cs="Arial"/>
                <w:color w:val="FF0000"/>
              </w:rPr>
              <w:t>-Alfred Noyes</w:t>
            </w:r>
          </w:p>
          <w:p w14:paraId="1B268614" w14:textId="174DA010" w:rsidR="00891B6A" w:rsidRPr="004F0AB9" w:rsidRDefault="00891B6A" w:rsidP="00E16A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8E9E" w14:textId="48107F9D" w:rsidR="00FF19FD" w:rsidRPr="00FF19FD" w:rsidRDefault="00FF19FD" w:rsidP="00EC33F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F19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novel is long and children will need a good understanding of the theme of mechanicals before being able to write a narrative about them.  Summer 1’s reading lessons should include a study of </w:t>
            </w:r>
            <w:proofErr w:type="spellStart"/>
            <w:r w:rsidRPr="00FF19FD">
              <w:rPr>
                <w:rFonts w:ascii="Arial" w:hAnsi="Arial" w:cs="Arial"/>
                <w:i/>
                <w:iCs/>
                <w:sz w:val="20"/>
                <w:szCs w:val="20"/>
              </w:rPr>
              <w:t>Cogheart</w:t>
            </w:r>
            <w:proofErr w:type="spellEnd"/>
            <w:r w:rsidRPr="00FF19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up to chapter 12. </w:t>
            </w:r>
          </w:p>
          <w:p w14:paraId="06D43009" w14:textId="1F76AE30" w:rsidR="00FF19FD" w:rsidRDefault="00FF19FD" w:rsidP="00EC33F8">
            <w:pPr>
              <w:rPr>
                <w:rFonts w:ascii="Arial" w:hAnsi="Arial" w:cs="Arial"/>
                <w:sz w:val="20"/>
                <w:szCs w:val="20"/>
              </w:rPr>
            </w:pPr>
            <w:r w:rsidRPr="004F0AB9">
              <w:rPr>
                <w:rFonts w:ascii="Arial" w:hAnsi="Arial" w:cs="Arial"/>
                <w:sz w:val="20"/>
                <w:szCs w:val="20"/>
              </w:rPr>
              <w:t>This is the final story used for assessment so should demonstrate the end of year non-negotiables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D01A7B7" w14:textId="3BFC8EAA" w:rsidR="00E16A8C" w:rsidRPr="00EC33F8" w:rsidRDefault="00FF19FD" w:rsidP="00E16A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Tell the story of Lily and Malkin being reunited and include a completed version of Papa’s letter, with the children own imagined ‘secrets’.</w:t>
            </w:r>
          </w:p>
        </w:tc>
      </w:tr>
      <w:tr w:rsidR="002963F0" w:rsidRPr="001C568A" w14:paraId="22E5E60B" w14:textId="77777777" w:rsidTr="003F290F">
        <w:trPr>
          <w:trHeight w:val="276"/>
        </w:trPr>
        <w:tc>
          <w:tcPr>
            <w:tcW w:w="1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0839D" w14:textId="77777777" w:rsidR="002963F0" w:rsidRPr="001C568A" w:rsidRDefault="002963F0" w:rsidP="002963F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3F0" w:rsidRPr="001C568A" w14:paraId="18536EF9" w14:textId="77777777" w:rsidTr="003F290F">
        <w:trPr>
          <w:trHeight w:val="774"/>
        </w:trPr>
        <w:tc>
          <w:tcPr>
            <w:tcW w:w="14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E49DE0" w14:textId="0E68E284" w:rsidR="002963F0" w:rsidRDefault="002963F0" w:rsidP="00927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 </w:t>
            </w:r>
            <w:r w:rsidR="001D2044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Non-Negotiables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9EDFBDE" w14:textId="47401A3A" w:rsidR="009278B2" w:rsidRDefault="009278B2" w:rsidP="00927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Key building blocks to enable confident access to the Year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curriculum:</w:t>
            </w:r>
          </w:p>
          <w:p w14:paraId="49E43D4D" w14:textId="1690E9C6" w:rsidR="009278B2" w:rsidRDefault="009278B2" w:rsidP="009278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Learning aims that must be secure by the end of Year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be fully prepared for the Year </w:t>
            </w: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>
              <w:rPr>
                <w:rFonts w:ascii="Arial" w:hAnsi="Arial" w:cs="Arial"/>
                <w:sz w:val="22"/>
                <w:szCs w:val="22"/>
              </w:rPr>
              <w:t>curriculum</w:t>
            </w:r>
          </w:p>
          <w:p w14:paraId="50278CDA" w14:textId="0522EEF8" w:rsidR="00B8527C" w:rsidRPr="001C568A" w:rsidRDefault="00B8527C" w:rsidP="002963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(End of year teacher assessment must adhere to the assessment framework provided and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take into account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 relevant spelling appendices and handwriting</w:t>
            </w:r>
            <w:r w:rsidR="00D90555">
              <w:rPr>
                <w:rFonts w:ascii="Arial" w:hAnsi="Arial" w:cs="Arial"/>
                <w:sz w:val="22"/>
                <w:szCs w:val="22"/>
              </w:rPr>
              <w:t>, it must also be moderated within and across the year groups.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2963F0" w:rsidRPr="001C568A" w14:paraId="37A57443" w14:textId="338BDE24" w:rsidTr="003F290F">
        <w:trPr>
          <w:trHeight w:val="258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C2CB91" w14:textId="6BA4A0F5" w:rsidR="002963F0" w:rsidRPr="001C568A" w:rsidRDefault="002963F0" w:rsidP="002963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Non-Fiction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7D5C992" w14:textId="63DE1764" w:rsidR="002963F0" w:rsidRPr="001C568A" w:rsidRDefault="002963F0" w:rsidP="002963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Narrative</w:t>
            </w:r>
          </w:p>
        </w:tc>
      </w:tr>
      <w:tr w:rsidR="002963F0" w:rsidRPr="001C568A" w14:paraId="16287EE9" w14:textId="77777777" w:rsidTr="004F0AB9">
        <w:trPr>
          <w:trHeight w:val="258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314" w14:textId="77777777" w:rsidR="002963F0" w:rsidRDefault="006204CD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use brackets, dashes and commas to indicate parenthesis</w:t>
            </w:r>
          </w:p>
          <w:p w14:paraId="059A1994" w14:textId="15C08E3F" w:rsidR="006204CD" w:rsidRDefault="006204CD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use relative clauses beginning with who, which, where, when, whose, that or with an implied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omitted) relative pronoun.</w:t>
            </w:r>
          </w:p>
          <w:p w14:paraId="171DC78D" w14:textId="76857679" w:rsidR="006204CD" w:rsidRDefault="006204CD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use a semi-colon, colon and dash to indicate a stronger division than a comma.</w:t>
            </w:r>
          </w:p>
          <w:p w14:paraId="65588CED" w14:textId="15C55B01" w:rsidR="006204CD" w:rsidRDefault="006204CD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build cohesion within a paragraph through the use of conjunctions and pronouns.</w:t>
            </w:r>
          </w:p>
          <w:p w14:paraId="4F4103E3" w14:textId="5148DE63" w:rsidR="006204CD" w:rsidRDefault="006204CD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 link ideas across paragraphs through the use of adverbial phrases.</w:t>
            </w:r>
          </w:p>
          <w:p w14:paraId="738850C8" w14:textId="021C947A" w:rsidR="006204CD" w:rsidRDefault="006204CD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Can select appropriate vocabulary for the level of formality, to show personal or impersonal style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can use technical vocabulary.</w:t>
            </w:r>
          </w:p>
          <w:p w14:paraId="3BA06112" w14:textId="45644D2D" w:rsidR="006204CD" w:rsidRPr="00CE1B71" w:rsidRDefault="006204CD" w:rsidP="006204C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5910" w14:textId="77777777" w:rsidR="0095375E" w:rsidRDefault="0095375E" w:rsidP="0095375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Can use relative clauses beginning with who, which, where, when, whose, that or with an implied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i.e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omitted) relative pronoun.</w:t>
            </w:r>
          </w:p>
          <w:p w14:paraId="6B40A526" w14:textId="77777777" w:rsidR="002963F0" w:rsidRDefault="0095375E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commas to clarify meaning or avoid ambiguity.</w:t>
            </w:r>
          </w:p>
          <w:p w14:paraId="1CA25267" w14:textId="77777777" w:rsidR="0095375E" w:rsidRDefault="0095375E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brackets and dashes to indicate parenthesis.</w:t>
            </w:r>
          </w:p>
          <w:p w14:paraId="306E8C55" w14:textId="77777777" w:rsidR="0095375E" w:rsidRDefault="0095375E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dialogue to convey character and advance the action.</w:t>
            </w:r>
          </w:p>
          <w:p w14:paraId="54E0A57D" w14:textId="77777777" w:rsidR="0095375E" w:rsidRDefault="0095375E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descriptive and figurative language to develop character, setting and atmosphere or to create a particular comic or dramatic effect.</w:t>
            </w:r>
          </w:p>
          <w:p w14:paraId="55436938" w14:textId="21F544D8" w:rsidR="0095375E" w:rsidRPr="00CE1B71" w:rsidRDefault="0095375E" w:rsidP="002963F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modal verbs or adverbs to indicate possibility.</w:t>
            </w:r>
          </w:p>
        </w:tc>
      </w:tr>
    </w:tbl>
    <w:p w14:paraId="7FE95107" w14:textId="77777777" w:rsidR="001806C2" w:rsidRPr="001C568A" w:rsidRDefault="001806C2">
      <w:pPr>
        <w:rPr>
          <w:sz w:val="22"/>
          <w:szCs w:val="22"/>
        </w:rPr>
      </w:pPr>
    </w:p>
    <w:sectPr w:rsidR="001806C2" w:rsidRPr="001C568A" w:rsidSect="0067362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E25EE"/>
    <w:multiLevelType w:val="hybridMultilevel"/>
    <w:tmpl w:val="61B60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31587"/>
    <w:multiLevelType w:val="hybridMultilevel"/>
    <w:tmpl w:val="8D10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F2BDE"/>
    <w:multiLevelType w:val="hybridMultilevel"/>
    <w:tmpl w:val="D7883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773310">
    <w:abstractNumId w:val="0"/>
  </w:num>
  <w:num w:numId="2" w16cid:durableId="925072918">
    <w:abstractNumId w:val="2"/>
  </w:num>
  <w:num w:numId="3" w16cid:durableId="158440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C2"/>
    <w:rsid w:val="000040E7"/>
    <w:rsid w:val="000133E0"/>
    <w:rsid w:val="000247C9"/>
    <w:rsid w:val="00037DFB"/>
    <w:rsid w:val="00071E27"/>
    <w:rsid w:val="000C0224"/>
    <w:rsid w:val="000D61BB"/>
    <w:rsid w:val="000F2238"/>
    <w:rsid w:val="000F49EB"/>
    <w:rsid w:val="000F4A6B"/>
    <w:rsid w:val="000F4D08"/>
    <w:rsid w:val="001000DA"/>
    <w:rsid w:val="00142149"/>
    <w:rsid w:val="00142FAB"/>
    <w:rsid w:val="001525BF"/>
    <w:rsid w:val="001806C2"/>
    <w:rsid w:val="001A3E3C"/>
    <w:rsid w:val="001A53A8"/>
    <w:rsid w:val="001A62CE"/>
    <w:rsid w:val="001B2CDD"/>
    <w:rsid w:val="001B4651"/>
    <w:rsid w:val="001C568A"/>
    <w:rsid w:val="001D0160"/>
    <w:rsid w:val="001D2044"/>
    <w:rsid w:val="001D355C"/>
    <w:rsid w:val="001D4FE5"/>
    <w:rsid w:val="001D5E93"/>
    <w:rsid w:val="001E7785"/>
    <w:rsid w:val="001F3DF1"/>
    <w:rsid w:val="002152CA"/>
    <w:rsid w:val="00260349"/>
    <w:rsid w:val="002779C2"/>
    <w:rsid w:val="00277BA3"/>
    <w:rsid w:val="00293CD7"/>
    <w:rsid w:val="002963F0"/>
    <w:rsid w:val="002B10E9"/>
    <w:rsid w:val="002C3B7B"/>
    <w:rsid w:val="002D58F7"/>
    <w:rsid w:val="002E119C"/>
    <w:rsid w:val="002F39B1"/>
    <w:rsid w:val="002F5459"/>
    <w:rsid w:val="00302E2B"/>
    <w:rsid w:val="0031034E"/>
    <w:rsid w:val="00335BE6"/>
    <w:rsid w:val="00336B9B"/>
    <w:rsid w:val="00366712"/>
    <w:rsid w:val="003D2BC9"/>
    <w:rsid w:val="003F0AB1"/>
    <w:rsid w:val="003F290F"/>
    <w:rsid w:val="00413C0F"/>
    <w:rsid w:val="00420797"/>
    <w:rsid w:val="00447D0D"/>
    <w:rsid w:val="004758B4"/>
    <w:rsid w:val="00486722"/>
    <w:rsid w:val="004D6A33"/>
    <w:rsid w:val="004E1F9E"/>
    <w:rsid w:val="004E46B2"/>
    <w:rsid w:val="004F0AB9"/>
    <w:rsid w:val="00522D30"/>
    <w:rsid w:val="00526DE5"/>
    <w:rsid w:val="005313BA"/>
    <w:rsid w:val="0056488B"/>
    <w:rsid w:val="005741E0"/>
    <w:rsid w:val="00587955"/>
    <w:rsid w:val="005C4BF9"/>
    <w:rsid w:val="005C60D0"/>
    <w:rsid w:val="005E50AE"/>
    <w:rsid w:val="005F62DC"/>
    <w:rsid w:val="006204CD"/>
    <w:rsid w:val="00626221"/>
    <w:rsid w:val="00646944"/>
    <w:rsid w:val="006549A1"/>
    <w:rsid w:val="00661A5B"/>
    <w:rsid w:val="0067362C"/>
    <w:rsid w:val="00680688"/>
    <w:rsid w:val="006878C8"/>
    <w:rsid w:val="006A5038"/>
    <w:rsid w:val="006A60D4"/>
    <w:rsid w:val="006C55C5"/>
    <w:rsid w:val="006D7F68"/>
    <w:rsid w:val="006E15B7"/>
    <w:rsid w:val="006E4317"/>
    <w:rsid w:val="006F061C"/>
    <w:rsid w:val="006F6012"/>
    <w:rsid w:val="0070120A"/>
    <w:rsid w:val="007102B0"/>
    <w:rsid w:val="00724E2E"/>
    <w:rsid w:val="007279F7"/>
    <w:rsid w:val="0073229E"/>
    <w:rsid w:val="00733636"/>
    <w:rsid w:val="00740968"/>
    <w:rsid w:val="00742380"/>
    <w:rsid w:val="00797792"/>
    <w:rsid w:val="007B4A14"/>
    <w:rsid w:val="007C31D5"/>
    <w:rsid w:val="007D0DA2"/>
    <w:rsid w:val="007D4571"/>
    <w:rsid w:val="007E5056"/>
    <w:rsid w:val="0086012E"/>
    <w:rsid w:val="00864309"/>
    <w:rsid w:val="0088510F"/>
    <w:rsid w:val="00891B6A"/>
    <w:rsid w:val="008A15C8"/>
    <w:rsid w:val="008A1AA6"/>
    <w:rsid w:val="008A69AA"/>
    <w:rsid w:val="008B5CF0"/>
    <w:rsid w:val="008D0305"/>
    <w:rsid w:val="008D59D7"/>
    <w:rsid w:val="008E6EB7"/>
    <w:rsid w:val="008E71B9"/>
    <w:rsid w:val="00916C44"/>
    <w:rsid w:val="009258F1"/>
    <w:rsid w:val="009278B2"/>
    <w:rsid w:val="00944B86"/>
    <w:rsid w:val="0095375E"/>
    <w:rsid w:val="0096562D"/>
    <w:rsid w:val="00983059"/>
    <w:rsid w:val="00987E22"/>
    <w:rsid w:val="009960C2"/>
    <w:rsid w:val="009A656F"/>
    <w:rsid w:val="009B3668"/>
    <w:rsid w:val="009B5CEB"/>
    <w:rsid w:val="009C51F3"/>
    <w:rsid w:val="009E0A1D"/>
    <w:rsid w:val="009F35C4"/>
    <w:rsid w:val="009F4AC2"/>
    <w:rsid w:val="00A06433"/>
    <w:rsid w:val="00A2050E"/>
    <w:rsid w:val="00A21749"/>
    <w:rsid w:val="00A23830"/>
    <w:rsid w:val="00A34D9E"/>
    <w:rsid w:val="00A35464"/>
    <w:rsid w:val="00A42529"/>
    <w:rsid w:val="00A45CF0"/>
    <w:rsid w:val="00A52813"/>
    <w:rsid w:val="00A60365"/>
    <w:rsid w:val="00A63A33"/>
    <w:rsid w:val="00A64670"/>
    <w:rsid w:val="00AC2BEE"/>
    <w:rsid w:val="00AD799A"/>
    <w:rsid w:val="00AE4FD6"/>
    <w:rsid w:val="00AF183F"/>
    <w:rsid w:val="00AF7607"/>
    <w:rsid w:val="00B04D91"/>
    <w:rsid w:val="00B144B4"/>
    <w:rsid w:val="00B172AD"/>
    <w:rsid w:val="00B227E5"/>
    <w:rsid w:val="00B45CCF"/>
    <w:rsid w:val="00B46F49"/>
    <w:rsid w:val="00B5650B"/>
    <w:rsid w:val="00B60FEB"/>
    <w:rsid w:val="00B77F0D"/>
    <w:rsid w:val="00B8527C"/>
    <w:rsid w:val="00B86D5B"/>
    <w:rsid w:val="00B87ABF"/>
    <w:rsid w:val="00C1119C"/>
    <w:rsid w:val="00C25E66"/>
    <w:rsid w:val="00C350A9"/>
    <w:rsid w:val="00C464D7"/>
    <w:rsid w:val="00C65090"/>
    <w:rsid w:val="00C74615"/>
    <w:rsid w:val="00C75CF5"/>
    <w:rsid w:val="00C910EB"/>
    <w:rsid w:val="00CB1DFE"/>
    <w:rsid w:val="00CB3EDB"/>
    <w:rsid w:val="00CC72DA"/>
    <w:rsid w:val="00CD74CC"/>
    <w:rsid w:val="00CE1B71"/>
    <w:rsid w:val="00CE2757"/>
    <w:rsid w:val="00D108FA"/>
    <w:rsid w:val="00D675CA"/>
    <w:rsid w:val="00D90555"/>
    <w:rsid w:val="00DB2B24"/>
    <w:rsid w:val="00DC6E9F"/>
    <w:rsid w:val="00DD2C4F"/>
    <w:rsid w:val="00DF6A73"/>
    <w:rsid w:val="00DF6EBA"/>
    <w:rsid w:val="00E16A8C"/>
    <w:rsid w:val="00E26034"/>
    <w:rsid w:val="00E26FFB"/>
    <w:rsid w:val="00E86782"/>
    <w:rsid w:val="00E9420A"/>
    <w:rsid w:val="00EA1953"/>
    <w:rsid w:val="00EA3744"/>
    <w:rsid w:val="00EB5281"/>
    <w:rsid w:val="00EC33F8"/>
    <w:rsid w:val="00EC6E09"/>
    <w:rsid w:val="00ED2832"/>
    <w:rsid w:val="00ED7A7B"/>
    <w:rsid w:val="00F074F6"/>
    <w:rsid w:val="00F07CAD"/>
    <w:rsid w:val="00F15A30"/>
    <w:rsid w:val="00F175C8"/>
    <w:rsid w:val="00F73278"/>
    <w:rsid w:val="00FB18C1"/>
    <w:rsid w:val="00FD0747"/>
    <w:rsid w:val="00FD574D"/>
    <w:rsid w:val="00FF093B"/>
    <w:rsid w:val="00FF19FD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C3E7C"/>
  <w15:docId w15:val="{CD96E2A9-CA12-4ED8-9AF7-A8576BBF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3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A6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69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6621</Characters>
  <Application>Microsoft Office Word</Application>
  <DocSecurity>0</DocSecurity>
  <Lines>264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Fullwell Junior School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Peat</dc:creator>
  <cp:keywords/>
  <dc:description/>
  <cp:lastModifiedBy>Rachel Sainthouse</cp:lastModifiedBy>
  <cp:revision>2</cp:revision>
  <cp:lastPrinted>2026-01-21T07:54:00Z</cp:lastPrinted>
  <dcterms:created xsi:type="dcterms:W3CDTF">2026-03-09T09:15:00Z</dcterms:created>
  <dcterms:modified xsi:type="dcterms:W3CDTF">2026-03-09T09:15:00Z</dcterms:modified>
</cp:coreProperties>
</file>