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FEAF" w14:textId="77777777" w:rsidR="00C335DB" w:rsidRPr="003550CB" w:rsidRDefault="00C335DB" w:rsidP="00C335DB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0019CD" wp14:editId="3C56EC6B">
            <wp:simplePos x="0" y="0"/>
            <wp:positionH relativeFrom="margin">
              <wp:align>center</wp:align>
            </wp:positionH>
            <wp:positionV relativeFrom="paragraph">
              <wp:posOffset>-126311</wp:posOffset>
            </wp:positionV>
            <wp:extent cx="3631376" cy="107004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range Logo Cr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376" cy="107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16361" w14:textId="77777777" w:rsidR="00C335DB" w:rsidRPr="003550CB" w:rsidRDefault="00C335DB" w:rsidP="00C335DB">
      <w:r w:rsidRPr="003550CB">
        <w:t xml:space="preserve"> </w:t>
      </w:r>
    </w:p>
    <w:p w14:paraId="3CCE57FB" w14:textId="77777777" w:rsidR="00C335DB" w:rsidRPr="003550CB" w:rsidRDefault="00C335DB" w:rsidP="00C335DB"/>
    <w:p w14:paraId="5F76B4BC" w14:textId="77777777" w:rsidR="005B3CBC" w:rsidRPr="005B3CBC" w:rsidRDefault="005B3CBC" w:rsidP="003550CB">
      <w:pPr>
        <w:jc w:val="center"/>
        <w:rPr>
          <w:rFonts w:ascii="Uni Sans Heavy CAPS" w:hAnsi="Uni Sans Heavy CAPS"/>
          <w:b/>
          <w:bCs w:val="0"/>
          <w:color w:val="595959" w:themeColor="text1" w:themeTint="A6"/>
          <w:sz w:val="48"/>
          <w:szCs w:val="48"/>
        </w:rPr>
      </w:pPr>
    </w:p>
    <w:p w14:paraId="759275A3" w14:textId="6F782A8E" w:rsidR="00F51814" w:rsidRDefault="00F51814" w:rsidP="00C335DB">
      <w:pPr>
        <w:rPr>
          <w:b/>
          <w:bCs w:val="0"/>
          <w:sz w:val="44"/>
          <w:szCs w:val="44"/>
        </w:rPr>
      </w:pPr>
    </w:p>
    <w:p w14:paraId="71E5D2E8" w14:textId="001FC37D" w:rsidR="005B3CBC" w:rsidRPr="005B3CBC" w:rsidRDefault="005B3CBC" w:rsidP="005B3CBC">
      <w:pPr>
        <w:jc w:val="center"/>
        <w:rPr>
          <w:color w:val="595959" w:themeColor="text1" w:themeTint="A6"/>
          <w:sz w:val="150"/>
          <w:szCs w:val="150"/>
        </w:rPr>
      </w:pPr>
      <w:r w:rsidRPr="005B3CBC">
        <w:rPr>
          <w:rFonts w:ascii="Uni Sans Heavy CAPS" w:hAnsi="Uni Sans Heavy CAPS"/>
          <w:color w:val="595959" w:themeColor="text1" w:themeTint="A6"/>
          <w:sz w:val="150"/>
          <w:szCs w:val="150"/>
        </w:rPr>
        <w:t xml:space="preserve">Pupil </w:t>
      </w:r>
      <w:r w:rsidRPr="005B3CBC">
        <w:rPr>
          <w:rFonts w:ascii="Uni Sans Thin CAPS" w:hAnsi="Uni Sans Thin CAPS"/>
          <w:color w:val="595959" w:themeColor="text1" w:themeTint="A6"/>
          <w:sz w:val="150"/>
          <w:szCs w:val="150"/>
        </w:rPr>
        <w:t>Premium</w:t>
      </w:r>
    </w:p>
    <w:p w14:paraId="18D913A8" w14:textId="513CDA57" w:rsidR="005B3CBC" w:rsidRDefault="0060323E" w:rsidP="005B3CBC">
      <w:pPr>
        <w:jc w:val="center"/>
        <w:rPr>
          <w:color w:val="595959" w:themeColor="text1" w:themeTint="A6"/>
          <w:sz w:val="72"/>
          <w:szCs w:val="72"/>
        </w:rPr>
      </w:pPr>
      <w:r>
        <w:rPr>
          <w:color w:val="595959" w:themeColor="text1" w:themeTint="A6"/>
          <w:sz w:val="72"/>
          <w:szCs w:val="72"/>
        </w:rPr>
        <w:t xml:space="preserve">IMPACT REPORT </w:t>
      </w:r>
    </w:p>
    <w:p w14:paraId="0B7102B1" w14:textId="67D91E55" w:rsidR="005B3CBC" w:rsidRDefault="005B3CBC" w:rsidP="005B3CBC">
      <w:pPr>
        <w:jc w:val="center"/>
        <w:rPr>
          <w:b/>
          <w:bCs w:val="0"/>
          <w:color w:val="595959" w:themeColor="text1" w:themeTint="A6"/>
          <w:sz w:val="48"/>
          <w:szCs w:val="48"/>
        </w:rPr>
      </w:pPr>
      <w:r w:rsidRPr="00CD2BA2">
        <w:rPr>
          <w:b/>
          <w:bCs w:val="0"/>
          <w:color w:val="595959" w:themeColor="text1" w:themeTint="A6"/>
          <w:sz w:val="48"/>
          <w:szCs w:val="48"/>
        </w:rPr>
        <w:t xml:space="preserve"> 2020</w:t>
      </w:r>
      <w:r w:rsidR="0060323E">
        <w:rPr>
          <w:b/>
          <w:bCs w:val="0"/>
          <w:color w:val="595959" w:themeColor="text1" w:themeTint="A6"/>
          <w:sz w:val="48"/>
          <w:szCs w:val="48"/>
        </w:rPr>
        <w:t xml:space="preserve">/2021 </w:t>
      </w:r>
    </w:p>
    <w:p w14:paraId="09810204" w14:textId="77777777" w:rsidR="005B3CBC" w:rsidRDefault="005B3CBC" w:rsidP="005B3CBC">
      <w:pPr>
        <w:jc w:val="center"/>
        <w:rPr>
          <w:b/>
          <w:bCs w:val="0"/>
          <w:color w:val="595959" w:themeColor="text1" w:themeTint="A6"/>
          <w:sz w:val="48"/>
          <w:szCs w:val="48"/>
        </w:rPr>
      </w:pPr>
    </w:p>
    <w:p w14:paraId="35371265" w14:textId="0A6A450C" w:rsidR="005B3CBC" w:rsidRPr="00CD2BA2" w:rsidRDefault="005B3CBC" w:rsidP="005B3CBC">
      <w:pPr>
        <w:jc w:val="center"/>
        <w:rPr>
          <w:b/>
          <w:bCs w:val="0"/>
          <w:color w:val="595959" w:themeColor="text1" w:themeTint="A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703D46" wp14:editId="29E78705">
            <wp:simplePos x="0" y="0"/>
            <wp:positionH relativeFrom="column">
              <wp:posOffset>561975</wp:posOffset>
            </wp:positionH>
            <wp:positionV relativeFrom="paragraph">
              <wp:posOffset>754380</wp:posOffset>
            </wp:positionV>
            <wp:extent cx="1019175" cy="1038860"/>
            <wp:effectExtent l="0" t="0" r="9525" b="8890"/>
            <wp:wrapThrough wrapText="bothSides">
              <wp:wrapPolygon edited="0">
                <wp:start x="8882" y="0"/>
                <wp:lineTo x="4037" y="2377"/>
                <wp:lineTo x="1211" y="4753"/>
                <wp:lineTo x="0" y="7922"/>
                <wp:lineTo x="0" y="12675"/>
                <wp:lineTo x="404" y="17428"/>
                <wp:lineTo x="1211" y="19012"/>
                <wp:lineTo x="3634" y="19012"/>
                <wp:lineTo x="8479" y="21389"/>
                <wp:lineTo x="8882" y="21389"/>
                <wp:lineTo x="11305" y="21389"/>
                <wp:lineTo x="21398" y="13467"/>
                <wp:lineTo x="21398" y="11090"/>
                <wp:lineTo x="11305" y="0"/>
                <wp:lineTo x="888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4903E5" wp14:editId="53275702">
            <wp:simplePos x="0" y="0"/>
            <wp:positionH relativeFrom="column">
              <wp:posOffset>5048250</wp:posOffset>
            </wp:positionH>
            <wp:positionV relativeFrom="paragraph">
              <wp:posOffset>849630</wp:posOffset>
            </wp:positionV>
            <wp:extent cx="1027430" cy="88582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741DA72" wp14:editId="2465FE6A">
            <wp:simplePos x="0" y="0"/>
            <wp:positionH relativeFrom="column">
              <wp:posOffset>3724275</wp:posOffset>
            </wp:positionH>
            <wp:positionV relativeFrom="paragraph">
              <wp:posOffset>868680</wp:posOffset>
            </wp:positionV>
            <wp:extent cx="982980" cy="8477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DDE86B" wp14:editId="172A4EC1">
            <wp:simplePos x="0" y="0"/>
            <wp:positionH relativeFrom="column">
              <wp:posOffset>2009775</wp:posOffset>
            </wp:positionH>
            <wp:positionV relativeFrom="paragraph">
              <wp:posOffset>878205</wp:posOffset>
            </wp:positionV>
            <wp:extent cx="1229360" cy="8572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58909" w14:textId="77777777" w:rsidR="005B3CBC" w:rsidRPr="003550CB" w:rsidRDefault="005B3CBC" w:rsidP="00C335DB">
      <w:pPr>
        <w:rPr>
          <w:b/>
          <w:bCs w:val="0"/>
          <w:sz w:val="44"/>
          <w:szCs w:val="44"/>
        </w:rPr>
      </w:pPr>
    </w:p>
    <w:p w14:paraId="35B30B34" w14:textId="77777777" w:rsidR="003550CB" w:rsidRDefault="003550CB" w:rsidP="003550CB">
      <w:pPr>
        <w:spacing w:after="0"/>
        <w:rPr>
          <w:bCs w:val="0"/>
          <w:sz w:val="32"/>
          <w:szCs w:val="32"/>
        </w:rPr>
      </w:pPr>
    </w:p>
    <w:p w14:paraId="2D78F675" w14:textId="77777777" w:rsidR="005B3CBC" w:rsidRDefault="005B3CBC" w:rsidP="00C335DB">
      <w:pPr>
        <w:rPr>
          <w:bCs w:val="0"/>
          <w:sz w:val="24"/>
        </w:rPr>
      </w:pPr>
    </w:p>
    <w:p w14:paraId="02720B37" w14:textId="77777777" w:rsidR="005B3CBC" w:rsidRDefault="005B3CBC" w:rsidP="00C335DB">
      <w:pPr>
        <w:rPr>
          <w:bCs w:val="0"/>
          <w:sz w:val="24"/>
        </w:rPr>
      </w:pPr>
    </w:p>
    <w:p w14:paraId="5FCD8E51" w14:textId="77777777" w:rsidR="005B3CBC" w:rsidRDefault="005B3CBC" w:rsidP="00C335DB">
      <w:pPr>
        <w:rPr>
          <w:bCs w:val="0"/>
          <w:sz w:val="24"/>
        </w:rPr>
      </w:pPr>
    </w:p>
    <w:p w14:paraId="151BA791" w14:textId="77777777" w:rsidR="005B3CBC" w:rsidRDefault="005B3CBC" w:rsidP="00C335DB">
      <w:pPr>
        <w:rPr>
          <w:bCs w:val="0"/>
          <w:sz w:val="24"/>
        </w:rPr>
      </w:pPr>
    </w:p>
    <w:p w14:paraId="2BB29EC5" w14:textId="77777777" w:rsidR="005B3CBC" w:rsidRDefault="005B3CBC" w:rsidP="00C335DB">
      <w:pPr>
        <w:rPr>
          <w:bCs w:val="0"/>
          <w:sz w:val="24"/>
        </w:rPr>
      </w:pPr>
    </w:p>
    <w:p w14:paraId="4FBEE3A6" w14:textId="77777777" w:rsidR="005B3CBC" w:rsidRDefault="005B3CBC" w:rsidP="00C335DB">
      <w:pPr>
        <w:rPr>
          <w:bCs w:val="0"/>
          <w:sz w:val="24"/>
        </w:rPr>
      </w:pPr>
    </w:p>
    <w:p w14:paraId="7816B2E8" w14:textId="77777777" w:rsidR="005B3CBC" w:rsidRDefault="005B3CBC" w:rsidP="00C335DB">
      <w:pPr>
        <w:rPr>
          <w:bCs w:val="0"/>
          <w:sz w:val="24"/>
        </w:rPr>
      </w:pPr>
    </w:p>
    <w:p w14:paraId="67BCCB9C" w14:textId="3A9A97DB" w:rsidR="005B3CBC" w:rsidRDefault="005B3CBC" w:rsidP="00C335DB">
      <w:pPr>
        <w:rPr>
          <w:bCs w:val="0"/>
          <w:sz w:val="24"/>
        </w:rPr>
      </w:pPr>
    </w:p>
    <w:p w14:paraId="57C0808D" w14:textId="53B3EF1E" w:rsidR="005B3CBC" w:rsidRPr="00581438" w:rsidRDefault="005B3CBC" w:rsidP="005B3CBC">
      <w:pPr>
        <w:pStyle w:val="ListParagraph"/>
        <w:numPr>
          <w:ilvl w:val="0"/>
          <w:numId w:val="9"/>
        </w:numPr>
        <w:rPr>
          <w:b/>
          <w:sz w:val="24"/>
        </w:rPr>
      </w:pPr>
      <w:r w:rsidRPr="00581438">
        <w:rPr>
          <w:b/>
          <w:sz w:val="24"/>
        </w:rPr>
        <w:t>Overview</w:t>
      </w:r>
    </w:p>
    <w:tbl>
      <w:tblPr>
        <w:tblStyle w:val="TableGrid"/>
        <w:tblpPr w:leftFromText="180" w:rightFromText="180" w:vertAnchor="text" w:horzAnchor="margin" w:tblpXSpec="center" w:tblpY="26"/>
        <w:tblW w:w="8564" w:type="dxa"/>
        <w:tblLook w:val="04A0" w:firstRow="1" w:lastRow="0" w:firstColumn="1" w:lastColumn="0" w:noHBand="0" w:noVBand="1"/>
      </w:tblPr>
      <w:tblGrid>
        <w:gridCol w:w="4282"/>
        <w:gridCol w:w="4282"/>
      </w:tblGrid>
      <w:tr w:rsidR="005B3CBC" w:rsidRPr="003550CB" w14:paraId="2E0AC33D" w14:textId="77777777" w:rsidTr="00F46B10">
        <w:trPr>
          <w:trHeight w:val="499"/>
        </w:trPr>
        <w:tc>
          <w:tcPr>
            <w:tcW w:w="8564" w:type="dxa"/>
            <w:gridSpan w:val="2"/>
            <w:shd w:val="clear" w:color="auto" w:fill="F2F2F2" w:themeFill="background1" w:themeFillShade="F2"/>
          </w:tcPr>
          <w:p w14:paraId="0E5A01FB" w14:textId="1DAF872F" w:rsidR="005B3CBC" w:rsidRPr="003550CB" w:rsidRDefault="005B3CBC" w:rsidP="005B3CBC">
            <w:pPr>
              <w:jc w:val="center"/>
              <w:rPr>
                <w:b/>
                <w:bCs w:val="0"/>
                <w:sz w:val="44"/>
                <w:szCs w:val="44"/>
              </w:rPr>
            </w:pPr>
            <w:r w:rsidRPr="00581438">
              <w:rPr>
                <w:b/>
                <w:bCs w:val="0"/>
                <w:sz w:val="44"/>
                <w:szCs w:val="44"/>
              </w:rPr>
              <w:t xml:space="preserve">Pupil </w:t>
            </w:r>
            <w:r w:rsidR="00581438" w:rsidRPr="00581438">
              <w:rPr>
                <w:b/>
                <w:bCs w:val="0"/>
                <w:sz w:val="44"/>
                <w:szCs w:val="44"/>
              </w:rPr>
              <w:t>Premium</w:t>
            </w:r>
            <w:r w:rsidRPr="00581438">
              <w:rPr>
                <w:b/>
                <w:bCs w:val="0"/>
                <w:sz w:val="44"/>
                <w:szCs w:val="44"/>
              </w:rPr>
              <w:t xml:space="preserve"> 2020-2021</w:t>
            </w:r>
          </w:p>
        </w:tc>
      </w:tr>
      <w:tr w:rsidR="005B3CBC" w:rsidRPr="003550CB" w14:paraId="5833E25F" w14:textId="77777777" w:rsidTr="00581438">
        <w:trPr>
          <w:trHeight w:val="402"/>
        </w:trPr>
        <w:tc>
          <w:tcPr>
            <w:tcW w:w="4282" w:type="dxa"/>
            <w:shd w:val="clear" w:color="auto" w:fill="FFFFFF" w:themeFill="background1"/>
            <w:vAlign w:val="center"/>
          </w:tcPr>
          <w:p w14:paraId="6DF0D8D1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Number of Pupils (Reception – Year 11)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4BBACC13" w14:textId="17F08E6E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>1</w:t>
            </w:r>
            <w:r w:rsidR="00563CFF">
              <w:rPr>
                <w:bCs w:val="0"/>
                <w:sz w:val="24"/>
              </w:rPr>
              <w:t>79</w:t>
            </w:r>
          </w:p>
        </w:tc>
      </w:tr>
      <w:tr w:rsidR="005B3CBC" w:rsidRPr="003550CB" w14:paraId="3768CA70" w14:textId="77777777" w:rsidTr="00581438">
        <w:trPr>
          <w:trHeight w:val="402"/>
        </w:trPr>
        <w:tc>
          <w:tcPr>
            <w:tcW w:w="4282" w:type="dxa"/>
            <w:shd w:val="clear" w:color="auto" w:fill="FFFFFF" w:themeFill="background1"/>
            <w:vAlign w:val="center"/>
          </w:tcPr>
          <w:p w14:paraId="59803ED0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Number of disadvantaged Pupils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27F68569" w14:textId="132700EA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>11</w:t>
            </w:r>
            <w:r w:rsidR="00563CFF">
              <w:rPr>
                <w:bCs w:val="0"/>
                <w:sz w:val="24"/>
              </w:rPr>
              <w:t>1</w:t>
            </w:r>
          </w:p>
        </w:tc>
      </w:tr>
      <w:tr w:rsidR="005B3CBC" w:rsidRPr="003550CB" w14:paraId="28CF4145" w14:textId="77777777" w:rsidTr="00581438">
        <w:trPr>
          <w:trHeight w:val="3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4A2AF47E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Percentage of whole school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3894B8DD" w14:textId="77777777" w:rsidR="005B3CBC" w:rsidRDefault="00563CFF" w:rsidP="005B3CBC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Primary Percentage – 59.3% </w:t>
            </w:r>
          </w:p>
          <w:p w14:paraId="6CF25C63" w14:textId="378F9F82" w:rsidR="00563CFF" w:rsidRPr="003550CB" w:rsidRDefault="00563CFF" w:rsidP="005B3CBC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Secondary Percentage – 64.8%</w:t>
            </w:r>
          </w:p>
        </w:tc>
      </w:tr>
      <w:tr w:rsidR="005B3CBC" w:rsidRPr="003550CB" w14:paraId="620EC5E5" w14:textId="77777777" w:rsidTr="00581438">
        <w:trPr>
          <w:trHeight w:val="402"/>
        </w:trPr>
        <w:tc>
          <w:tcPr>
            <w:tcW w:w="4282" w:type="dxa"/>
            <w:shd w:val="clear" w:color="auto" w:fill="FFFFFF" w:themeFill="background1"/>
            <w:vAlign w:val="center"/>
          </w:tcPr>
          <w:p w14:paraId="3207BEEC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Academic year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6E3428D1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2020 – 2021 </w:t>
            </w:r>
          </w:p>
        </w:tc>
      </w:tr>
      <w:tr w:rsidR="005B3CBC" w:rsidRPr="003550CB" w14:paraId="23DE1964" w14:textId="77777777" w:rsidTr="00581438">
        <w:trPr>
          <w:trHeight w:val="402"/>
        </w:trPr>
        <w:tc>
          <w:tcPr>
            <w:tcW w:w="4282" w:type="dxa"/>
            <w:shd w:val="clear" w:color="auto" w:fill="FFFFFF" w:themeFill="background1"/>
            <w:vAlign w:val="center"/>
          </w:tcPr>
          <w:p w14:paraId="6BCAD8A7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Publish date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5FE65F2D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September 2020 </w:t>
            </w:r>
          </w:p>
        </w:tc>
      </w:tr>
      <w:tr w:rsidR="005B3CBC" w:rsidRPr="003550CB" w14:paraId="6829BEAB" w14:textId="77777777" w:rsidTr="00581438">
        <w:trPr>
          <w:trHeight w:val="402"/>
        </w:trPr>
        <w:tc>
          <w:tcPr>
            <w:tcW w:w="4282" w:type="dxa"/>
            <w:shd w:val="clear" w:color="auto" w:fill="FFFFFF" w:themeFill="background1"/>
            <w:vAlign w:val="center"/>
          </w:tcPr>
          <w:p w14:paraId="1A80D537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Review date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5B80682F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July 2021 </w:t>
            </w:r>
          </w:p>
        </w:tc>
      </w:tr>
      <w:tr w:rsidR="005B3CBC" w:rsidRPr="003550CB" w14:paraId="7898AC39" w14:textId="77777777" w:rsidTr="00581438">
        <w:trPr>
          <w:trHeight w:val="402"/>
        </w:trPr>
        <w:tc>
          <w:tcPr>
            <w:tcW w:w="4282" w:type="dxa"/>
            <w:shd w:val="clear" w:color="auto" w:fill="FFFFFF" w:themeFill="background1"/>
            <w:vAlign w:val="center"/>
          </w:tcPr>
          <w:p w14:paraId="2484A008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Statement authorised by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0EFC1AB1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Head teacher – R. Clifford </w:t>
            </w:r>
          </w:p>
        </w:tc>
      </w:tr>
      <w:tr w:rsidR="005B3CBC" w:rsidRPr="003550CB" w14:paraId="742AEFB3" w14:textId="77777777" w:rsidTr="00581438">
        <w:trPr>
          <w:trHeight w:val="402"/>
        </w:trPr>
        <w:tc>
          <w:tcPr>
            <w:tcW w:w="4282" w:type="dxa"/>
            <w:shd w:val="clear" w:color="auto" w:fill="FFFFFF" w:themeFill="background1"/>
            <w:vAlign w:val="center"/>
          </w:tcPr>
          <w:p w14:paraId="14140231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Pupil Premium Lead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5EA4D276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Jane Jones </w:t>
            </w:r>
          </w:p>
        </w:tc>
      </w:tr>
      <w:tr w:rsidR="005B3CBC" w:rsidRPr="003550CB" w14:paraId="332FDF7A" w14:textId="77777777" w:rsidTr="00581438">
        <w:trPr>
          <w:trHeight w:val="3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2E3AA961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Governor Lead 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1B80B1C0" w14:textId="77777777" w:rsidR="005B3CBC" w:rsidRPr="003550CB" w:rsidRDefault="005B3CBC" w:rsidP="005B3CBC">
            <w:pPr>
              <w:rPr>
                <w:bCs w:val="0"/>
                <w:sz w:val="24"/>
              </w:rPr>
            </w:pPr>
            <w:r w:rsidRPr="003550CB">
              <w:rPr>
                <w:bCs w:val="0"/>
                <w:sz w:val="24"/>
              </w:rPr>
              <w:t xml:space="preserve">Anne Jones </w:t>
            </w:r>
          </w:p>
        </w:tc>
      </w:tr>
    </w:tbl>
    <w:p w14:paraId="22534483" w14:textId="1F671D6D" w:rsidR="005B3CBC" w:rsidRDefault="005B3CBC" w:rsidP="00C335DB">
      <w:pPr>
        <w:rPr>
          <w:bCs w:val="0"/>
          <w:sz w:val="24"/>
        </w:rPr>
      </w:pPr>
    </w:p>
    <w:p w14:paraId="51E09B83" w14:textId="30BAE448" w:rsidR="005B3CBC" w:rsidRDefault="005B3CBC" w:rsidP="00C335DB">
      <w:pPr>
        <w:rPr>
          <w:bCs w:val="0"/>
          <w:sz w:val="24"/>
        </w:rPr>
      </w:pPr>
    </w:p>
    <w:p w14:paraId="0CD46305" w14:textId="4AE76785" w:rsidR="005B3CBC" w:rsidRDefault="005B3CBC" w:rsidP="00C335DB">
      <w:pPr>
        <w:rPr>
          <w:bCs w:val="0"/>
          <w:sz w:val="24"/>
        </w:rPr>
      </w:pPr>
    </w:p>
    <w:p w14:paraId="2A7B35B4" w14:textId="53C812CE" w:rsidR="005B3CBC" w:rsidRDefault="005B3CBC" w:rsidP="00C335DB">
      <w:pPr>
        <w:rPr>
          <w:bCs w:val="0"/>
          <w:sz w:val="24"/>
        </w:rPr>
      </w:pPr>
    </w:p>
    <w:p w14:paraId="3D864F90" w14:textId="64A72246" w:rsidR="005B3CBC" w:rsidRDefault="005B3CBC" w:rsidP="00C335DB">
      <w:pPr>
        <w:rPr>
          <w:bCs w:val="0"/>
          <w:sz w:val="24"/>
        </w:rPr>
      </w:pPr>
    </w:p>
    <w:p w14:paraId="7ADAC4E6" w14:textId="35C093DB" w:rsidR="005B3CBC" w:rsidRDefault="005B3CBC" w:rsidP="00C335DB">
      <w:pPr>
        <w:rPr>
          <w:bCs w:val="0"/>
          <w:sz w:val="24"/>
        </w:rPr>
      </w:pPr>
    </w:p>
    <w:p w14:paraId="37F50C67" w14:textId="4EE9AF12" w:rsidR="005B3CBC" w:rsidRDefault="005B3CBC" w:rsidP="00C335DB">
      <w:pPr>
        <w:rPr>
          <w:bCs w:val="0"/>
          <w:sz w:val="24"/>
        </w:rPr>
      </w:pPr>
    </w:p>
    <w:p w14:paraId="75EE35B4" w14:textId="4E8F375F" w:rsidR="005B3CBC" w:rsidRDefault="005B3CBC" w:rsidP="00C335DB">
      <w:pPr>
        <w:rPr>
          <w:bCs w:val="0"/>
          <w:sz w:val="24"/>
        </w:rPr>
      </w:pPr>
    </w:p>
    <w:p w14:paraId="674C1073" w14:textId="6C1FFCEB" w:rsidR="005B3CBC" w:rsidRDefault="005B3CBC" w:rsidP="00C335DB">
      <w:pPr>
        <w:rPr>
          <w:bCs w:val="0"/>
          <w:sz w:val="24"/>
        </w:rPr>
      </w:pPr>
    </w:p>
    <w:p w14:paraId="7DA76790" w14:textId="77777777" w:rsidR="005B3CBC" w:rsidRDefault="005B3CBC" w:rsidP="00C335DB">
      <w:pPr>
        <w:rPr>
          <w:bCs w:val="0"/>
          <w:sz w:val="24"/>
        </w:rPr>
      </w:pPr>
    </w:p>
    <w:p w14:paraId="43D86052" w14:textId="31AA7E45" w:rsidR="00AC27AE" w:rsidRPr="003550CB" w:rsidRDefault="00AC27AE" w:rsidP="005B3CBC">
      <w:pPr>
        <w:jc w:val="both"/>
        <w:rPr>
          <w:bCs w:val="0"/>
          <w:sz w:val="24"/>
        </w:rPr>
      </w:pPr>
      <w:r w:rsidRPr="003550CB">
        <w:rPr>
          <w:bCs w:val="0"/>
          <w:sz w:val="24"/>
        </w:rPr>
        <w:t>In the 2020 – 2021 financial year, school receive</w:t>
      </w:r>
      <w:r w:rsidR="002870ED">
        <w:rPr>
          <w:bCs w:val="0"/>
          <w:sz w:val="24"/>
        </w:rPr>
        <w:t>d</w:t>
      </w:r>
      <w:r w:rsidRPr="003550CB">
        <w:rPr>
          <w:bCs w:val="0"/>
          <w:sz w:val="24"/>
        </w:rPr>
        <w:t xml:space="preserve"> </w:t>
      </w:r>
      <w:r w:rsidR="00E50000" w:rsidRPr="003550CB">
        <w:rPr>
          <w:bCs w:val="0"/>
          <w:sz w:val="24"/>
        </w:rPr>
        <w:t xml:space="preserve">the following funding for each child registered. </w:t>
      </w:r>
    </w:p>
    <w:p w14:paraId="5EF3FF35" w14:textId="5483EE08" w:rsidR="00E50000" w:rsidRPr="003550CB" w:rsidRDefault="00E50000" w:rsidP="005B3CBC">
      <w:pPr>
        <w:pStyle w:val="ListParagraph"/>
        <w:numPr>
          <w:ilvl w:val="0"/>
          <w:numId w:val="1"/>
        </w:numPr>
        <w:jc w:val="both"/>
        <w:rPr>
          <w:bCs w:val="0"/>
          <w:sz w:val="24"/>
        </w:rPr>
      </w:pPr>
      <w:r w:rsidRPr="003550CB">
        <w:rPr>
          <w:bCs w:val="0"/>
          <w:sz w:val="24"/>
        </w:rPr>
        <w:t>£13</w:t>
      </w:r>
      <w:r w:rsidR="00037E00">
        <w:rPr>
          <w:bCs w:val="0"/>
          <w:sz w:val="24"/>
        </w:rPr>
        <w:t>45</w:t>
      </w:r>
      <w:r w:rsidRPr="003550CB">
        <w:rPr>
          <w:bCs w:val="0"/>
          <w:sz w:val="24"/>
        </w:rPr>
        <w:t xml:space="preserve"> for eligible primary pupils </w:t>
      </w:r>
    </w:p>
    <w:p w14:paraId="519270CA" w14:textId="40DC7AE1" w:rsidR="00C35C28" w:rsidRPr="003550CB" w:rsidRDefault="00C35C28" w:rsidP="00CB58C3">
      <w:pPr>
        <w:pStyle w:val="ListParagraph"/>
        <w:numPr>
          <w:ilvl w:val="0"/>
          <w:numId w:val="1"/>
        </w:numPr>
        <w:ind w:left="714" w:hanging="357"/>
        <w:rPr>
          <w:bCs w:val="0"/>
          <w:sz w:val="24"/>
        </w:rPr>
      </w:pPr>
      <w:r w:rsidRPr="003550CB">
        <w:rPr>
          <w:bCs w:val="0"/>
          <w:sz w:val="24"/>
        </w:rPr>
        <w:t>£9</w:t>
      </w:r>
      <w:r w:rsidR="00037E00">
        <w:rPr>
          <w:bCs w:val="0"/>
          <w:sz w:val="24"/>
        </w:rPr>
        <w:t>55</w:t>
      </w:r>
      <w:r w:rsidRPr="003550CB">
        <w:rPr>
          <w:bCs w:val="0"/>
          <w:sz w:val="24"/>
        </w:rPr>
        <w:t xml:space="preserve"> for eligible secondary school pupils </w:t>
      </w:r>
    </w:p>
    <w:p w14:paraId="79FDDBBB" w14:textId="48AF5ED2" w:rsidR="00C35C28" w:rsidRDefault="00C35C28" w:rsidP="005B3CBC">
      <w:pPr>
        <w:pStyle w:val="ListParagraph"/>
        <w:numPr>
          <w:ilvl w:val="0"/>
          <w:numId w:val="1"/>
        </w:numPr>
        <w:jc w:val="both"/>
        <w:rPr>
          <w:bCs w:val="0"/>
          <w:sz w:val="24"/>
        </w:rPr>
      </w:pPr>
      <w:r w:rsidRPr="003550CB">
        <w:rPr>
          <w:bCs w:val="0"/>
          <w:sz w:val="24"/>
        </w:rPr>
        <w:t>School also receive</w:t>
      </w:r>
      <w:r w:rsidR="002870ED">
        <w:rPr>
          <w:bCs w:val="0"/>
          <w:sz w:val="24"/>
        </w:rPr>
        <w:t xml:space="preserve">d </w:t>
      </w:r>
      <w:r w:rsidRPr="003550CB">
        <w:rPr>
          <w:bCs w:val="0"/>
          <w:sz w:val="24"/>
        </w:rPr>
        <w:t xml:space="preserve">£2300 for each Looked </w:t>
      </w:r>
      <w:r w:rsidR="003550CB" w:rsidRPr="003550CB">
        <w:rPr>
          <w:bCs w:val="0"/>
          <w:sz w:val="24"/>
        </w:rPr>
        <w:t>A</w:t>
      </w:r>
      <w:r w:rsidRPr="003550CB">
        <w:rPr>
          <w:bCs w:val="0"/>
          <w:sz w:val="24"/>
        </w:rPr>
        <w:t xml:space="preserve">fter </w:t>
      </w:r>
      <w:r w:rsidR="003550CB" w:rsidRPr="003550CB">
        <w:rPr>
          <w:bCs w:val="0"/>
          <w:sz w:val="24"/>
        </w:rPr>
        <w:t>C</w:t>
      </w:r>
      <w:r w:rsidRPr="003550CB">
        <w:rPr>
          <w:bCs w:val="0"/>
          <w:sz w:val="24"/>
        </w:rPr>
        <w:t>hild (LAC</w:t>
      </w:r>
      <w:r w:rsidR="00E55735" w:rsidRPr="003550CB">
        <w:rPr>
          <w:bCs w:val="0"/>
          <w:sz w:val="24"/>
        </w:rPr>
        <w:t>) Pupil Premium (2 pupils) that w</w:t>
      </w:r>
      <w:r w:rsidR="002870ED">
        <w:rPr>
          <w:bCs w:val="0"/>
          <w:sz w:val="24"/>
        </w:rPr>
        <w:t>as</w:t>
      </w:r>
      <w:r w:rsidR="00E55735" w:rsidRPr="003550CB">
        <w:rPr>
          <w:bCs w:val="0"/>
          <w:sz w:val="24"/>
        </w:rPr>
        <w:t xml:space="preserve"> </w:t>
      </w:r>
      <w:r w:rsidR="002870ED">
        <w:rPr>
          <w:bCs w:val="0"/>
          <w:sz w:val="24"/>
        </w:rPr>
        <w:t xml:space="preserve">to </w:t>
      </w:r>
      <w:r w:rsidR="00E55735" w:rsidRPr="003550CB">
        <w:rPr>
          <w:bCs w:val="0"/>
          <w:sz w:val="24"/>
        </w:rPr>
        <w:t>be spent to fulfil those student’s individual Personal</w:t>
      </w:r>
      <w:r w:rsidR="003550CB" w:rsidRPr="003550CB">
        <w:rPr>
          <w:bCs w:val="0"/>
          <w:sz w:val="24"/>
        </w:rPr>
        <w:t xml:space="preserve"> </w:t>
      </w:r>
      <w:r w:rsidR="00E55735" w:rsidRPr="003550CB">
        <w:rPr>
          <w:bCs w:val="0"/>
          <w:sz w:val="24"/>
        </w:rPr>
        <w:t>Educational Plans (PEPs) in line with current guidance</w:t>
      </w:r>
    </w:p>
    <w:p w14:paraId="7CDA2A71" w14:textId="480B6C8E" w:rsidR="003214DB" w:rsidRPr="003214DB" w:rsidRDefault="003214DB" w:rsidP="003214DB">
      <w:pPr>
        <w:jc w:val="both"/>
        <w:rPr>
          <w:bCs w:val="0"/>
          <w:sz w:val="24"/>
        </w:rPr>
      </w:pPr>
      <w:r>
        <w:rPr>
          <w:bCs w:val="0"/>
          <w:sz w:val="24"/>
        </w:rPr>
        <w:t xml:space="preserve">The total funding allowance for 2020/21 </w:t>
      </w:r>
      <w:r w:rsidR="002870ED">
        <w:rPr>
          <w:bCs w:val="0"/>
          <w:sz w:val="24"/>
        </w:rPr>
        <w:t>was</w:t>
      </w:r>
      <w:r>
        <w:rPr>
          <w:bCs w:val="0"/>
          <w:sz w:val="24"/>
        </w:rPr>
        <w:t xml:space="preserve"> £127, 065 </w:t>
      </w:r>
      <w:r w:rsidR="008C08EB">
        <w:rPr>
          <w:bCs w:val="0"/>
          <w:sz w:val="24"/>
        </w:rPr>
        <w:t xml:space="preserve">and this equates to 54 primary pupils and 57 secondary pupils. </w:t>
      </w:r>
    </w:p>
    <w:p w14:paraId="45310745" w14:textId="59BA5038" w:rsidR="008C08EB" w:rsidRPr="00A12843" w:rsidRDefault="00A12843" w:rsidP="00A12843">
      <w:pPr>
        <w:jc w:val="both"/>
        <w:rPr>
          <w:bCs w:val="0"/>
          <w:sz w:val="24"/>
        </w:rPr>
      </w:pPr>
      <w:r>
        <w:rPr>
          <w:bCs w:val="0"/>
          <w:sz w:val="24"/>
        </w:rPr>
        <w:t>In addition to the above Pupil Premium Funding, the school receive</w:t>
      </w:r>
      <w:r w:rsidR="002870ED">
        <w:rPr>
          <w:bCs w:val="0"/>
          <w:sz w:val="24"/>
        </w:rPr>
        <w:t>d</w:t>
      </w:r>
      <w:r>
        <w:rPr>
          <w:bCs w:val="0"/>
          <w:sz w:val="24"/>
        </w:rPr>
        <w:t xml:space="preserve"> an additional </w:t>
      </w:r>
      <w:r w:rsidR="008C08EB">
        <w:rPr>
          <w:bCs w:val="0"/>
          <w:sz w:val="24"/>
        </w:rPr>
        <w:t>Covid-19 Catch-up Premium Grant</w:t>
      </w:r>
      <w:r w:rsidR="00592F66">
        <w:rPr>
          <w:bCs w:val="0"/>
          <w:sz w:val="24"/>
        </w:rPr>
        <w:t xml:space="preserve"> – please see associated Catch Up Plan. </w:t>
      </w:r>
    </w:p>
    <w:p w14:paraId="288F6972" w14:textId="77777777" w:rsidR="00C35C28" w:rsidRPr="005B3CBC" w:rsidRDefault="00C35C28" w:rsidP="005B3CBC">
      <w:pPr>
        <w:jc w:val="both"/>
        <w:rPr>
          <w:b/>
          <w:bCs w:val="0"/>
        </w:rPr>
      </w:pPr>
      <w:r w:rsidRPr="005B3CBC">
        <w:rPr>
          <w:b/>
          <w:bCs w:val="0"/>
        </w:rPr>
        <w:t>Disadvantaged Pupils Barriers to Success</w:t>
      </w:r>
    </w:p>
    <w:p w14:paraId="28D6FC69" w14:textId="4CD5C1B3" w:rsidR="00972EEC" w:rsidRPr="003550CB" w:rsidRDefault="00C35C28" w:rsidP="005B3CBC">
      <w:pPr>
        <w:pStyle w:val="ListParagraph"/>
        <w:numPr>
          <w:ilvl w:val="0"/>
          <w:numId w:val="4"/>
        </w:numPr>
        <w:jc w:val="both"/>
        <w:rPr>
          <w:bCs w:val="0"/>
          <w:sz w:val="24"/>
        </w:rPr>
      </w:pPr>
      <w:r w:rsidRPr="003550CB">
        <w:rPr>
          <w:bCs w:val="0"/>
          <w:sz w:val="24"/>
        </w:rPr>
        <w:t xml:space="preserve">Outcomes and progress can be impacted by </w:t>
      </w:r>
      <w:r w:rsidR="00DF21C9" w:rsidRPr="003550CB">
        <w:rPr>
          <w:bCs w:val="0"/>
          <w:sz w:val="24"/>
        </w:rPr>
        <w:t>several</w:t>
      </w:r>
      <w:r w:rsidRPr="003550CB">
        <w:rPr>
          <w:bCs w:val="0"/>
          <w:sz w:val="24"/>
        </w:rPr>
        <w:t xml:space="preserve"> factors</w:t>
      </w:r>
      <w:r w:rsidR="00972EEC" w:rsidRPr="003550CB">
        <w:rPr>
          <w:bCs w:val="0"/>
          <w:sz w:val="24"/>
        </w:rPr>
        <w:t xml:space="preserve"> - a</w:t>
      </w:r>
      <w:r w:rsidRPr="003550CB">
        <w:rPr>
          <w:bCs w:val="0"/>
          <w:sz w:val="24"/>
        </w:rPr>
        <w:t>ll pupils at Grange have an Education Health Care Plan, and all pupils have a diagnosis of autism and additional complex learning difficulties.</w:t>
      </w:r>
    </w:p>
    <w:p w14:paraId="7C3A985E" w14:textId="77777777" w:rsidR="00972EEC" w:rsidRPr="003550CB" w:rsidRDefault="00C35C28" w:rsidP="005B3CBC">
      <w:pPr>
        <w:pStyle w:val="ListParagraph"/>
        <w:numPr>
          <w:ilvl w:val="0"/>
          <w:numId w:val="4"/>
        </w:numPr>
        <w:jc w:val="both"/>
        <w:rPr>
          <w:bCs w:val="0"/>
          <w:sz w:val="24"/>
        </w:rPr>
      </w:pPr>
      <w:r w:rsidRPr="003550CB">
        <w:rPr>
          <w:bCs w:val="0"/>
          <w:sz w:val="24"/>
        </w:rPr>
        <w:t xml:space="preserve"> Pupils can also have additional social and emotional mental health difficulties. </w:t>
      </w:r>
    </w:p>
    <w:p w14:paraId="57961FA4" w14:textId="59E51929" w:rsidR="00DF21C9" w:rsidRPr="003550CB" w:rsidRDefault="00C10404" w:rsidP="005B3CBC">
      <w:pPr>
        <w:pStyle w:val="ListParagraph"/>
        <w:numPr>
          <w:ilvl w:val="0"/>
          <w:numId w:val="4"/>
        </w:numPr>
        <w:jc w:val="both"/>
        <w:rPr>
          <w:bCs w:val="0"/>
          <w:sz w:val="24"/>
        </w:rPr>
      </w:pPr>
      <w:r w:rsidRPr="003550CB">
        <w:rPr>
          <w:bCs w:val="0"/>
          <w:sz w:val="24"/>
        </w:rPr>
        <w:t xml:space="preserve">As a school we have a strong focus on identifying barriers that each pupil may face. </w:t>
      </w:r>
    </w:p>
    <w:p w14:paraId="45032BEF" w14:textId="39C3AAF0" w:rsidR="007333F5" w:rsidRPr="003550CB" w:rsidRDefault="007333F5" w:rsidP="005B3CBC">
      <w:pPr>
        <w:pStyle w:val="ListParagraph"/>
        <w:numPr>
          <w:ilvl w:val="0"/>
          <w:numId w:val="4"/>
        </w:numPr>
        <w:jc w:val="both"/>
        <w:rPr>
          <w:bCs w:val="0"/>
          <w:sz w:val="24"/>
        </w:rPr>
      </w:pPr>
      <w:r w:rsidRPr="003550CB">
        <w:rPr>
          <w:bCs w:val="0"/>
          <w:sz w:val="24"/>
        </w:rPr>
        <w:t>The impact of Covid</w:t>
      </w:r>
      <w:r w:rsidR="009C6C22">
        <w:rPr>
          <w:bCs w:val="0"/>
          <w:sz w:val="24"/>
        </w:rPr>
        <w:t>-</w:t>
      </w:r>
      <w:r w:rsidRPr="003550CB">
        <w:rPr>
          <w:bCs w:val="0"/>
          <w:sz w:val="24"/>
        </w:rPr>
        <w:t>19 has been significant for many of our families</w:t>
      </w:r>
    </w:p>
    <w:p w14:paraId="7E3D5DA5" w14:textId="0DB84473" w:rsidR="00DF21C9" w:rsidRPr="003550CB" w:rsidRDefault="00DF21C9" w:rsidP="005B3CBC">
      <w:pPr>
        <w:pStyle w:val="ListParagraph"/>
        <w:numPr>
          <w:ilvl w:val="0"/>
          <w:numId w:val="4"/>
        </w:numPr>
        <w:jc w:val="both"/>
        <w:rPr>
          <w:bCs w:val="0"/>
          <w:sz w:val="24"/>
        </w:rPr>
      </w:pPr>
      <w:r w:rsidRPr="003550CB">
        <w:rPr>
          <w:bCs w:val="0"/>
          <w:sz w:val="24"/>
        </w:rPr>
        <w:t xml:space="preserve">Long term outcomes show that only 32% of autistic adults are in paid employment. </w:t>
      </w:r>
    </w:p>
    <w:p w14:paraId="53365019" w14:textId="3EF3B932" w:rsidR="00972EEC" w:rsidRPr="005B3CBC" w:rsidRDefault="0045234E" w:rsidP="005B3CBC">
      <w:pPr>
        <w:jc w:val="both"/>
        <w:rPr>
          <w:b/>
          <w:bCs w:val="0"/>
          <w:sz w:val="24"/>
        </w:rPr>
      </w:pPr>
      <w:r w:rsidRPr="005B3CBC">
        <w:rPr>
          <w:b/>
          <w:bCs w:val="0"/>
          <w:sz w:val="24"/>
        </w:rPr>
        <w:t xml:space="preserve">How we </w:t>
      </w:r>
      <w:r w:rsidR="002870ED" w:rsidRPr="005B3CBC">
        <w:rPr>
          <w:b/>
          <w:bCs w:val="0"/>
          <w:sz w:val="24"/>
        </w:rPr>
        <w:t>plan</w:t>
      </w:r>
      <w:r w:rsidR="002870ED">
        <w:rPr>
          <w:b/>
          <w:bCs w:val="0"/>
          <w:sz w:val="24"/>
        </w:rPr>
        <w:t xml:space="preserve">ned </w:t>
      </w:r>
      <w:r w:rsidR="002870ED" w:rsidRPr="005B3CBC">
        <w:rPr>
          <w:b/>
          <w:bCs w:val="0"/>
          <w:sz w:val="24"/>
        </w:rPr>
        <w:t>to</w:t>
      </w:r>
      <w:r w:rsidRPr="005B3CBC">
        <w:rPr>
          <w:b/>
          <w:bCs w:val="0"/>
          <w:sz w:val="24"/>
        </w:rPr>
        <w:t xml:space="preserve"> spend </w:t>
      </w:r>
      <w:r w:rsidR="00085813">
        <w:rPr>
          <w:b/>
          <w:bCs w:val="0"/>
          <w:sz w:val="24"/>
        </w:rPr>
        <w:t xml:space="preserve">academic years allocation 2020-21 </w:t>
      </w:r>
    </w:p>
    <w:p w14:paraId="5DD2FDA8" w14:textId="4229F984" w:rsidR="009C6C22" w:rsidRDefault="0045234E" w:rsidP="005B3CBC">
      <w:pPr>
        <w:jc w:val="both"/>
        <w:rPr>
          <w:bCs w:val="0"/>
          <w:sz w:val="24"/>
        </w:rPr>
      </w:pPr>
      <w:r w:rsidRPr="003550CB">
        <w:rPr>
          <w:bCs w:val="0"/>
          <w:sz w:val="24"/>
        </w:rPr>
        <w:t xml:space="preserve">The aim of pupil premium in the 2020-21 academic year </w:t>
      </w:r>
      <w:r w:rsidR="002870ED">
        <w:rPr>
          <w:bCs w:val="0"/>
          <w:sz w:val="24"/>
        </w:rPr>
        <w:t>wa</w:t>
      </w:r>
      <w:r w:rsidRPr="003550CB">
        <w:rPr>
          <w:bCs w:val="0"/>
          <w:sz w:val="24"/>
        </w:rPr>
        <w:t>s to narrow progress gaps between ‘All pupils’ and entitled to ‘Pupil Premium Funding,</w:t>
      </w:r>
      <w:r w:rsidR="009C6C22">
        <w:rPr>
          <w:bCs w:val="0"/>
          <w:sz w:val="24"/>
        </w:rPr>
        <w:t xml:space="preserve"> </w:t>
      </w:r>
      <w:r w:rsidR="002870ED">
        <w:rPr>
          <w:bCs w:val="0"/>
          <w:sz w:val="24"/>
        </w:rPr>
        <w:t>in</w:t>
      </w:r>
      <w:r w:rsidR="009C6C22">
        <w:rPr>
          <w:bCs w:val="0"/>
          <w:sz w:val="24"/>
        </w:rPr>
        <w:t xml:space="preserve"> addition, the catch-up premium </w:t>
      </w:r>
      <w:r w:rsidR="002870ED">
        <w:rPr>
          <w:bCs w:val="0"/>
          <w:sz w:val="24"/>
        </w:rPr>
        <w:t>w</w:t>
      </w:r>
      <w:r w:rsidR="009C6C22">
        <w:rPr>
          <w:bCs w:val="0"/>
          <w:sz w:val="24"/>
        </w:rPr>
        <w:t xml:space="preserve">as designed to mitigate the effects of the unique disruption caused by (COVID-19). </w:t>
      </w:r>
    </w:p>
    <w:p w14:paraId="51005C6A" w14:textId="77777777" w:rsidR="009C6C22" w:rsidRDefault="009C6C22" w:rsidP="005B3CBC">
      <w:pPr>
        <w:jc w:val="both"/>
        <w:rPr>
          <w:bCs w:val="0"/>
          <w:sz w:val="24"/>
        </w:rPr>
      </w:pPr>
    </w:p>
    <w:p w14:paraId="33C1C620" w14:textId="4606D0C1" w:rsidR="0045234E" w:rsidRPr="003550CB" w:rsidRDefault="0045234E" w:rsidP="005B3CBC">
      <w:pPr>
        <w:jc w:val="both"/>
        <w:rPr>
          <w:bCs w:val="0"/>
          <w:sz w:val="24"/>
        </w:rPr>
      </w:pPr>
      <w:r w:rsidRPr="003550CB">
        <w:rPr>
          <w:bCs w:val="0"/>
          <w:sz w:val="24"/>
        </w:rPr>
        <w:lastRenderedPageBreak/>
        <w:t xml:space="preserve"> </w:t>
      </w:r>
      <w:r w:rsidR="009C6C22">
        <w:rPr>
          <w:bCs w:val="0"/>
          <w:sz w:val="24"/>
        </w:rPr>
        <w:t>A</w:t>
      </w:r>
      <w:r w:rsidRPr="003550CB">
        <w:rPr>
          <w:bCs w:val="0"/>
          <w:sz w:val="24"/>
        </w:rPr>
        <w:t>s a school we recognise the need to maintain high standard of education of all and we strive to ensure outstanding teaching and learning across all areas. As a result of these aims our Pupil Premium Plan</w:t>
      </w:r>
      <w:r w:rsidR="009C6C22">
        <w:rPr>
          <w:bCs w:val="0"/>
          <w:sz w:val="24"/>
        </w:rPr>
        <w:t xml:space="preserve">/Catch up funding </w:t>
      </w:r>
      <w:r w:rsidR="002870ED">
        <w:rPr>
          <w:bCs w:val="0"/>
          <w:sz w:val="24"/>
        </w:rPr>
        <w:t>plan wa</w:t>
      </w:r>
      <w:r w:rsidR="002870ED" w:rsidRPr="003550CB">
        <w:rPr>
          <w:bCs w:val="0"/>
          <w:sz w:val="24"/>
        </w:rPr>
        <w:t>s</w:t>
      </w:r>
      <w:r w:rsidRPr="003550CB">
        <w:rPr>
          <w:bCs w:val="0"/>
          <w:sz w:val="24"/>
        </w:rPr>
        <w:t xml:space="preserve"> based on a tiered spending plan in three key areas: </w:t>
      </w:r>
    </w:p>
    <w:p w14:paraId="2BDA94E4" w14:textId="77777777" w:rsidR="0045234E" w:rsidRPr="005B3CBC" w:rsidRDefault="0045234E" w:rsidP="005B3CBC">
      <w:pPr>
        <w:pStyle w:val="ListParagraph"/>
        <w:numPr>
          <w:ilvl w:val="0"/>
          <w:numId w:val="10"/>
        </w:numPr>
        <w:jc w:val="both"/>
        <w:rPr>
          <w:b/>
          <w:sz w:val="24"/>
        </w:rPr>
      </w:pPr>
      <w:r w:rsidRPr="005B3CBC">
        <w:rPr>
          <w:b/>
          <w:sz w:val="24"/>
        </w:rPr>
        <w:t>Teaching</w:t>
      </w:r>
    </w:p>
    <w:p w14:paraId="7B8EAB71" w14:textId="77777777" w:rsidR="0045234E" w:rsidRPr="005B3CBC" w:rsidRDefault="0045234E" w:rsidP="005B3CBC">
      <w:pPr>
        <w:pStyle w:val="ListParagraph"/>
        <w:numPr>
          <w:ilvl w:val="0"/>
          <w:numId w:val="10"/>
        </w:numPr>
        <w:jc w:val="both"/>
        <w:rPr>
          <w:b/>
          <w:sz w:val="24"/>
        </w:rPr>
      </w:pPr>
      <w:r w:rsidRPr="005B3CBC">
        <w:rPr>
          <w:b/>
          <w:sz w:val="24"/>
        </w:rPr>
        <w:t>Targeted academic support</w:t>
      </w:r>
    </w:p>
    <w:p w14:paraId="2B540C3B" w14:textId="06F076B3" w:rsidR="0045234E" w:rsidRPr="005B3CBC" w:rsidRDefault="0045234E" w:rsidP="005B3CBC">
      <w:pPr>
        <w:pStyle w:val="ListParagraph"/>
        <w:numPr>
          <w:ilvl w:val="0"/>
          <w:numId w:val="10"/>
        </w:numPr>
        <w:jc w:val="both"/>
        <w:rPr>
          <w:b/>
          <w:sz w:val="24"/>
        </w:rPr>
      </w:pPr>
      <w:r w:rsidRPr="005B3CBC">
        <w:rPr>
          <w:b/>
          <w:sz w:val="24"/>
        </w:rPr>
        <w:t>Wider strategies</w:t>
      </w:r>
    </w:p>
    <w:p w14:paraId="082DBFB7" w14:textId="00B1FCF8" w:rsidR="00972EEC" w:rsidRDefault="00972EEC" w:rsidP="005B3CBC">
      <w:pPr>
        <w:ind w:right="-24"/>
        <w:jc w:val="both"/>
        <w:rPr>
          <w:bCs w:val="0"/>
          <w:sz w:val="24"/>
        </w:rPr>
      </w:pPr>
      <w:r w:rsidRPr="003550CB">
        <w:rPr>
          <w:bCs w:val="0"/>
          <w:sz w:val="24"/>
        </w:rPr>
        <w:t xml:space="preserve">The school has used research and supporting evidence from </w:t>
      </w:r>
      <w:r w:rsidR="003550CB" w:rsidRPr="003550CB">
        <w:rPr>
          <w:bCs w:val="0"/>
          <w:sz w:val="24"/>
        </w:rPr>
        <w:t xml:space="preserve">The Education Endowment Fund in order to develop this plan. </w:t>
      </w:r>
      <w:hyperlink r:id="rId12" w:history="1">
        <w:r w:rsidR="003550CB" w:rsidRPr="003550CB">
          <w:rPr>
            <w:rStyle w:val="Hyperlink"/>
            <w:bCs w:val="0"/>
            <w:sz w:val="24"/>
          </w:rPr>
          <w:t>www.educationendowmentfoundation.org.uk</w:t>
        </w:r>
      </w:hyperlink>
      <w:r w:rsidR="003550CB" w:rsidRPr="003550CB">
        <w:rPr>
          <w:bCs w:val="0"/>
          <w:sz w:val="24"/>
        </w:rPr>
        <w:t xml:space="preserve"> </w:t>
      </w:r>
    </w:p>
    <w:p w14:paraId="5B760603" w14:textId="4F33FC10" w:rsidR="009C6C22" w:rsidRPr="003550CB" w:rsidRDefault="009C6C22" w:rsidP="005B3CBC">
      <w:pPr>
        <w:ind w:right="-24"/>
        <w:jc w:val="both"/>
        <w:rPr>
          <w:bCs w:val="0"/>
          <w:sz w:val="28"/>
          <w:szCs w:val="28"/>
        </w:rPr>
      </w:pPr>
      <w:r>
        <w:rPr>
          <w:bCs w:val="0"/>
          <w:sz w:val="24"/>
        </w:rPr>
        <w:t xml:space="preserve">The EEF recommends that great teaching is the most important lever schools </w:t>
      </w:r>
      <w:proofErr w:type="gramStart"/>
      <w:r>
        <w:rPr>
          <w:bCs w:val="0"/>
          <w:sz w:val="24"/>
        </w:rPr>
        <w:t>have to</w:t>
      </w:r>
      <w:proofErr w:type="gramEnd"/>
      <w:r>
        <w:rPr>
          <w:bCs w:val="0"/>
          <w:sz w:val="24"/>
        </w:rPr>
        <w:t xml:space="preserve"> improve outcomes for their pupils. Many of the most effective ways to raise attainment involve </w:t>
      </w:r>
      <w:r w:rsidR="000B2F25">
        <w:rPr>
          <w:bCs w:val="0"/>
          <w:sz w:val="24"/>
        </w:rPr>
        <w:t xml:space="preserve">will benefit all groups of pupils. </w:t>
      </w:r>
    </w:p>
    <w:p w14:paraId="2F6B8FDD" w14:textId="4C853AFE" w:rsidR="007045FF" w:rsidRPr="00592F66" w:rsidRDefault="007045FF" w:rsidP="00592F66">
      <w:pPr>
        <w:pStyle w:val="ListParagraph"/>
        <w:numPr>
          <w:ilvl w:val="0"/>
          <w:numId w:val="13"/>
        </w:numPr>
        <w:jc w:val="both"/>
        <w:rPr>
          <w:b/>
          <w:sz w:val="24"/>
        </w:rPr>
      </w:pPr>
      <w:r w:rsidRPr="00592F66">
        <w:rPr>
          <w:b/>
          <w:sz w:val="24"/>
        </w:rPr>
        <w:t>Strategic Aims for Disadvantaged Pupils Academic Achievement</w:t>
      </w:r>
    </w:p>
    <w:p w14:paraId="526FF2C1" w14:textId="1859C9B5" w:rsidR="00972EEC" w:rsidRDefault="005B3CBC" w:rsidP="005B3CBC">
      <w:pPr>
        <w:jc w:val="both"/>
        <w:rPr>
          <w:sz w:val="24"/>
        </w:rPr>
      </w:pPr>
      <w:r w:rsidRPr="00581438">
        <w:rPr>
          <w:b/>
          <w:sz w:val="24"/>
        </w:rPr>
        <w:t xml:space="preserve">Chosen area of Focus - </w:t>
      </w:r>
      <w:r w:rsidR="00972EEC" w:rsidRPr="00581438">
        <w:rPr>
          <w:b/>
          <w:sz w:val="24"/>
        </w:rPr>
        <w:t>Teaching</w:t>
      </w:r>
      <w:r w:rsidR="00972EEC" w:rsidRPr="00581438">
        <w:rPr>
          <w:sz w:val="24"/>
        </w:rPr>
        <w:t xml:space="preserve"> </w:t>
      </w:r>
    </w:p>
    <w:p w14:paraId="4309D4B5" w14:textId="0300DA2F" w:rsidR="005854C9" w:rsidRPr="00E02BEB" w:rsidRDefault="00E02BEB" w:rsidP="005B3CBC">
      <w:pPr>
        <w:widowControl w:val="0"/>
        <w:ind w:right="118"/>
        <w:jc w:val="both"/>
        <w:rPr>
          <w:sz w:val="24"/>
        </w:rPr>
      </w:pPr>
      <w:r w:rsidRPr="00E02BEB">
        <w:rPr>
          <w:sz w:val="24"/>
        </w:rPr>
        <w:t xml:space="preserve">Expected Outcome 1: </w:t>
      </w:r>
      <w:r w:rsidR="005854C9" w:rsidRPr="00E02BEB">
        <w:rPr>
          <w:sz w:val="24"/>
        </w:rPr>
        <w:t>85% of teaching is outstanding and no teaching is less than good.</w:t>
      </w:r>
      <w:r w:rsidRPr="00E02BEB">
        <w:rPr>
          <w:sz w:val="24"/>
        </w:rPr>
        <w:t xml:space="preserve"> </w:t>
      </w:r>
      <w:r w:rsidR="00D41E7C" w:rsidRPr="00E02BEB">
        <w:rPr>
          <w:sz w:val="24"/>
        </w:rPr>
        <w:t xml:space="preserve">Resulting </w:t>
      </w:r>
      <w:r w:rsidR="005D1DD0" w:rsidRPr="00E02BEB">
        <w:rPr>
          <w:sz w:val="24"/>
        </w:rPr>
        <w:t>in 100</w:t>
      </w:r>
      <w:r w:rsidR="00D41E7C" w:rsidRPr="00E02BEB">
        <w:rPr>
          <w:sz w:val="24"/>
        </w:rPr>
        <w:t xml:space="preserve">% of </w:t>
      </w:r>
      <w:r w:rsidR="005D1DD0" w:rsidRPr="00E02BEB">
        <w:rPr>
          <w:sz w:val="24"/>
        </w:rPr>
        <w:t xml:space="preserve">pupil premium </w:t>
      </w:r>
      <w:r w:rsidR="00D41E7C" w:rsidRPr="00E02BEB">
        <w:rPr>
          <w:sz w:val="24"/>
        </w:rPr>
        <w:t xml:space="preserve">students to achieve </w:t>
      </w:r>
      <w:r w:rsidR="00C815D9">
        <w:rPr>
          <w:sz w:val="24"/>
        </w:rPr>
        <w:t xml:space="preserve">expected </w:t>
      </w:r>
      <w:r w:rsidR="00D41E7C" w:rsidRPr="00E02BEB">
        <w:rPr>
          <w:sz w:val="24"/>
        </w:rPr>
        <w:t xml:space="preserve">progress in English and maths, with at least </w:t>
      </w:r>
      <w:r w:rsidR="00C815D9">
        <w:rPr>
          <w:sz w:val="24"/>
        </w:rPr>
        <w:t>25</w:t>
      </w:r>
      <w:r w:rsidR="00D41E7C" w:rsidRPr="00E02BEB">
        <w:rPr>
          <w:sz w:val="24"/>
        </w:rPr>
        <w:t xml:space="preserve">% achieving </w:t>
      </w:r>
      <w:r w:rsidR="00C815D9">
        <w:rPr>
          <w:sz w:val="24"/>
        </w:rPr>
        <w:t xml:space="preserve">exceeded rates of progress. </w:t>
      </w:r>
    </w:p>
    <w:p w14:paraId="69600802" w14:textId="77777777" w:rsidR="005B3CBC" w:rsidRDefault="002D531F" w:rsidP="005B3CBC">
      <w:pPr>
        <w:spacing w:after="0"/>
        <w:ind w:right="-24"/>
        <w:jc w:val="both"/>
        <w:rPr>
          <w:bCs w:val="0"/>
          <w:sz w:val="24"/>
        </w:rPr>
      </w:pPr>
      <w:r w:rsidRPr="00E02BEB">
        <w:rPr>
          <w:bCs w:val="0"/>
          <w:sz w:val="24"/>
        </w:rPr>
        <w:t>The continued priority of the school is to develop outstanding quality first teaching. As a school we are committed to ensuring that teachers are supported to ensure the highest p</w:t>
      </w:r>
      <w:r w:rsidR="005854C9" w:rsidRPr="00E02BEB">
        <w:rPr>
          <w:bCs w:val="0"/>
          <w:sz w:val="24"/>
        </w:rPr>
        <w:t xml:space="preserve">ossible outcomes for our pupils. In order to develop this, we have designed a bespoke teaching, learning and assessment system in which all teachers are trained. </w:t>
      </w:r>
    </w:p>
    <w:p w14:paraId="02C3B554" w14:textId="77777777" w:rsidR="005B3CBC" w:rsidRDefault="005B3CBC" w:rsidP="005B3CBC">
      <w:pPr>
        <w:spacing w:after="0"/>
        <w:ind w:right="-24"/>
        <w:jc w:val="both"/>
        <w:rPr>
          <w:bCs w:val="0"/>
          <w:sz w:val="24"/>
        </w:rPr>
      </w:pPr>
    </w:p>
    <w:p w14:paraId="0A897868" w14:textId="7F2C0984" w:rsidR="00E02BEB" w:rsidRPr="00E02BEB" w:rsidRDefault="005854C9" w:rsidP="005B3CBC">
      <w:pPr>
        <w:spacing w:after="0"/>
        <w:ind w:right="-24"/>
        <w:jc w:val="both"/>
        <w:rPr>
          <w:bCs w:val="0"/>
          <w:sz w:val="24"/>
        </w:rPr>
      </w:pPr>
      <w:r w:rsidRPr="00E02BEB">
        <w:rPr>
          <w:bCs w:val="0"/>
          <w:sz w:val="24"/>
        </w:rPr>
        <w:t xml:space="preserve">The following area are included in the </w:t>
      </w:r>
      <w:r w:rsidR="005B3CBC">
        <w:rPr>
          <w:bCs w:val="0"/>
          <w:sz w:val="24"/>
        </w:rPr>
        <w:t>P</w:t>
      </w:r>
      <w:r w:rsidRPr="00E02BEB">
        <w:rPr>
          <w:bCs w:val="0"/>
          <w:sz w:val="24"/>
        </w:rPr>
        <w:t xml:space="preserve">upil </w:t>
      </w:r>
      <w:r w:rsidR="005B3CBC">
        <w:rPr>
          <w:bCs w:val="0"/>
          <w:sz w:val="24"/>
        </w:rPr>
        <w:t>P</w:t>
      </w:r>
      <w:r w:rsidRPr="00E02BEB">
        <w:rPr>
          <w:bCs w:val="0"/>
          <w:sz w:val="24"/>
        </w:rPr>
        <w:t xml:space="preserve">remium </w:t>
      </w:r>
      <w:r w:rsidR="005B3CBC">
        <w:rPr>
          <w:bCs w:val="0"/>
          <w:sz w:val="24"/>
        </w:rPr>
        <w:t>P</w:t>
      </w:r>
      <w:r w:rsidRPr="00E02BEB">
        <w:rPr>
          <w:bCs w:val="0"/>
          <w:sz w:val="24"/>
        </w:rPr>
        <w:t xml:space="preserve">lan: </w:t>
      </w:r>
    </w:p>
    <w:p w14:paraId="2EC7AE27" w14:textId="77777777" w:rsidR="00E02BEB" w:rsidRPr="00E02BEB" w:rsidRDefault="00E02BEB" w:rsidP="005B3CBC">
      <w:pPr>
        <w:spacing w:after="0"/>
        <w:ind w:right="-448"/>
        <w:jc w:val="both"/>
        <w:rPr>
          <w:bCs w:val="0"/>
          <w:sz w:val="24"/>
        </w:rPr>
      </w:pPr>
    </w:p>
    <w:p w14:paraId="3CFF3186" w14:textId="77777777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 xml:space="preserve">Continued bespoke CPD offer for teachers and TA’s across the </w:t>
      </w:r>
      <w:r w:rsidR="00485F6A" w:rsidRPr="00E02BEB">
        <w:rPr>
          <w:bCs w:val="0"/>
          <w:sz w:val="24"/>
        </w:rPr>
        <w:t>school</w:t>
      </w:r>
    </w:p>
    <w:p w14:paraId="251BBD18" w14:textId="77777777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>Maths mastery school programme</w:t>
      </w:r>
    </w:p>
    <w:p w14:paraId="34320C46" w14:textId="52C49CCD" w:rsidR="005854C9" w:rsidRPr="00E02BEB" w:rsidRDefault="005B3CBC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>
        <w:rPr>
          <w:bCs w:val="0"/>
          <w:sz w:val="24"/>
        </w:rPr>
        <w:t>Development and implementation of the Know and Remember</w:t>
      </w:r>
      <w:r w:rsidR="005854C9" w:rsidRPr="00E02BEB">
        <w:rPr>
          <w:bCs w:val="0"/>
          <w:sz w:val="24"/>
        </w:rPr>
        <w:t xml:space="preserve"> </w:t>
      </w:r>
      <w:r>
        <w:rPr>
          <w:bCs w:val="0"/>
          <w:sz w:val="24"/>
        </w:rPr>
        <w:t>C</w:t>
      </w:r>
      <w:r w:rsidR="005854C9" w:rsidRPr="00E02BEB">
        <w:rPr>
          <w:bCs w:val="0"/>
          <w:sz w:val="24"/>
        </w:rPr>
        <w:t xml:space="preserve">urriculum </w:t>
      </w:r>
    </w:p>
    <w:p w14:paraId="7F0DA900" w14:textId="356D85C1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>Wave 1 offer</w:t>
      </w:r>
      <w:r w:rsidR="005B3CBC">
        <w:rPr>
          <w:bCs w:val="0"/>
          <w:sz w:val="24"/>
        </w:rPr>
        <w:t xml:space="preserve"> further</w:t>
      </w:r>
      <w:r w:rsidRPr="00E02BEB">
        <w:rPr>
          <w:bCs w:val="0"/>
          <w:sz w:val="24"/>
        </w:rPr>
        <w:t xml:space="preserve"> developed alongside multi-agency partners </w:t>
      </w:r>
    </w:p>
    <w:p w14:paraId="4A196175" w14:textId="14378823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>Vocabulary training</w:t>
      </w:r>
      <w:r w:rsidR="005B3CBC">
        <w:rPr>
          <w:bCs w:val="0"/>
          <w:sz w:val="24"/>
        </w:rPr>
        <w:t xml:space="preserve"> for all teachers</w:t>
      </w:r>
      <w:r w:rsidRPr="00E02BEB">
        <w:rPr>
          <w:bCs w:val="0"/>
          <w:sz w:val="24"/>
        </w:rPr>
        <w:t xml:space="preserve"> </w:t>
      </w:r>
    </w:p>
    <w:p w14:paraId="4ABC941A" w14:textId="4671BFD0" w:rsidR="005854C9" w:rsidRPr="00E02BEB" w:rsidRDefault="005B3CBC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>
        <w:rPr>
          <w:bCs w:val="0"/>
          <w:sz w:val="24"/>
        </w:rPr>
        <w:t>Aiming for Excellence</w:t>
      </w:r>
      <w:r w:rsidR="005854C9" w:rsidRPr="00E02BEB">
        <w:rPr>
          <w:bCs w:val="0"/>
          <w:sz w:val="24"/>
        </w:rPr>
        <w:t xml:space="preserve"> teaching assistant</w:t>
      </w:r>
      <w:r>
        <w:rPr>
          <w:bCs w:val="0"/>
          <w:sz w:val="24"/>
        </w:rPr>
        <w:t xml:space="preserve"> training</w:t>
      </w:r>
      <w:r w:rsidR="005854C9" w:rsidRPr="00E02BEB">
        <w:rPr>
          <w:bCs w:val="0"/>
          <w:sz w:val="24"/>
        </w:rPr>
        <w:t xml:space="preserve"> programme</w:t>
      </w:r>
    </w:p>
    <w:p w14:paraId="3F8A980A" w14:textId="2D1B6E2A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 xml:space="preserve">Autism level 1 training </w:t>
      </w:r>
      <w:r w:rsidR="000222CB" w:rsidRPr="00E02BEB">
        <w:rPr>
          <w:bCs w:val="0"/>
          <w:sz w:val="24"/>
        </w:rPr>
        <w:t xml:space="preserve">for </w:t>
      </w:r>
      <w:r w:rsidR="005B3CBC">
        <w:rPr>
          <w:bCs w:val="0"/>
          <w:sz w:val="24"/>
        </w:rPr>
        <w:t xml:space="preserve">all </w:t>
      </w:r>
      <w:r w:rsidR="000222CB" w:rsidRPr="00E02BEB">
        <w:rPr>
          <w:bCs w:val="0"/>
          <w:sz w:val="24"/>
        </w:rPr>
        <w:t xml:space="preserve">new staff and updates </w:t>
      </w:r>
    </w:p>
    <w:p w14:paraId="42F7955E" w14:textId="77777777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 xml:space="preserve">Continued development and refinement of assessment and tracking systems </w:t>
      </w:r>
    </w:p>
    <w:p w14:paraId="2F2A19E8" w14:textId="6E1476D9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>Quality of Education</w:t>
      </w:r>
      <w:r w:rsidR="005B3CBC">
        <w:rPr>
          <w:bCs w:val="0"/>
          <w:sz w:val="24"/>
        </w:rPr>
        <w:t xml:space="preserve"> - </w:t>
      </w:r>
      <w:r w:rsidRPr="00E02BEB">
        <w:rPr>
          <w:bCs w:val="0"/>
          <w:sz w:val="24"/>
        </w:rPr>
        <w:t xml:space="preserve">Deputy Head roles </w:t>
      </w:r>
    </w:p>
    <w:p w14:paraId="7D309C30" w14:textId="182A53E1" w:rsidR="005854C9" w:rsidRPr="00E02BEB" w:rsidRDefault="005854C9" w:rsidP="00592F66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 xml:space="preserve">Assistant </w:t>
      </w:r>
      <w:r w:rsidR="005B3CBC">
        <w:rPr>
          <w:bCs w:val="0"/>
          <w:sz w:val="24"/>
        </w:rPr>
        <w:t>H</w:t>
      </w:r>
      <w:r w:rsidRPr="00E02BEB">
        <w:rPr>
          <w:bCs w:val="0"/>
          <w:sz w:val="24"/>
        </w:rPr>
        <w:t>ead lead</w:t>
      </w:r>
      <w:r w:rsidR="00B21E4A">
        <w:rPr>
          <w:bCs w:val="0"/>
          <w:sz w:val="24"/>
        </w:rPr>
        <w:t>ers</w:t>
      </w:r>
      <w:r w:rsidRPr="00E02BEB">
        <w:rPr>
          <w:bCs w:val="0"/>
          <w:sz w:val="24"/>
        </w:rPr>
        <w:t xml:space="preserve"> for English and maths </w:t>
      </w:r>
    </w:p>
    <w:p w14:paraId="4CE4E582" w14:textId="63460240" w:rsidR="005854C9" w:rsidRPr="00E02BEB" w:rsidRDefault="005854C9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 xml:space="preserve">Middle leader development </w:t>
      </w:r>
      <w:r w:rsidR="00B21E4A">
        <w:rPr>
          <w:bCs w:val="0"/>
          <w:sz w:val="24"/>
        </w:rPr>
        <w:t xml:space="preserve">(NPQML) </w:t>
      </w:r>
      <w:r w:rsidRPr="00E02BEB">
        <w:rPr>
          <w:bCs w:val="0"/>
          <w:sz w:val="24"/>
        </w:rPr>
        <w:t xml:space="preserve">and </w:t>
      </w:r>
      <w:r w:rsidR="00B21E4A">
        <w:rPr>
          <w:bCs w:val="0"/>
          <w:sz w:val="24"/>
        </w:rPr>
        <w:t>subject leader</w:t>
      </w:r>
      <w:r w:rsidRPr="00E02BEB">
        <w:rPr>
          <w:bCs w:val="0"/>
          <w:sz w:val="24"/>
        </w:rPr>
        <w:t xml:space="preserve"> training </w:t>
      </w:r>
    </w:p>
    <w:p w14:paraId="6DB5CC0C" w14:textId="5EF4005C" w:rsidR="00777D4F" w:rsidRDefault="00777D4F" w:rsidP="005B3CBC">
      <w:pPr>
        <w:pStyle w:val="ListParagraph"/>
        <w:numPr>
          <w:ilvl w:val="0"/>
          <w:numId w:val="3"/>
        </w:numPr>
        <w:spacing w:line="360" w:lineRule="auto"/>
        <w:jc w:val="both"/>
        <w:rPr>
          <w:bCs w:val="0"/>
          <w:sz w:val="24"/>
        </w:rPr>
      </w:pPr>
      <w:r w:rsidRPr="00E02BEB">
        <w:rPr>
          <w:bCs w:val="0"/>
          <w:sz w:val="24"/>
        </w:rPr>
        <w:t>Development of bespoke Careers programme covering all key stages across the school</w:t>
      </w:r>
      <w:r w:rsidR="000222CB" w:rsidRPr="00E02BEB">
        <w:rPr>
          <w:bCs w:val="0"/>
          <w:sz w:val="24"/>
        </w:rPr>
        <w:t xml:space="preserve"> and daily dedicated </w:t>
      </w:r>
      <w:r w:rsidR="007864AB" w:rsidRPr="00E02BEB">
        <w:rPr>
          <w:bCs w:val="0"/>
          <w:sz w:val="24"/>
        </w:rPr>
        <w:t xml:space="preserve">teaching time </w:t>
      </w:r>
      <w:r w:rsidR="000222CB" w:rsidRPr="00E02BEB">
        <w:rPr>
          <w:bCs w:val="0"/>
          <w:sz w:val="24"/>
        </w:rPr>
        <w:t xml:space="preserve"> </w:t>
      </w:r>
    </w:p>
    <w:p w14:paraId="72171174" w14:textId="77777777" w:rsidR="00275A56" w:rsidRDefault="00275A56" w:rsidP="00085813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1BEC354" w14:textId="2739DE6F" w:rsidR="00085813" w:rsidRDefault="00085813" w:rsidP="0008581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85813">
        <w:rPr>
          <w:b/>
          <w:sz w:val="28"/>
          <w:szCs w:val="28"/>
          <w:u w:val="single"/>
        </w:rPr>
        <w:lastRenderedPageBreak/>
        <w:t xml:space="preserve">Data Analysis </w:t>
      </w:r>
    </w:p>
    <w:p w14:paraId="690E728A" w14:textId="77777777" w:rsidR="00085813" w:rsidRPr="00E02BEB" w:rsidRDefault="00085813" w:rsidP="00085813">
      <w:pPr>
        <w:ind w:right="-24"/>
        <w:jc w:val="both"/>
        <w:rPr>
          <w:bCs w:val="0"/>
          <w:sz w:val="24"/>
        </w:rPr>
      </w:pPr>
      <w:r w:rsidRPr="00E02BEB">
        <w:rPr>
          <w:bCs w:val="0"/>
          <w:sz w:val="24"/>
        </w:rPr>
        <w:t xml:space="preserve">From analysis of progress data for 2019-2020 the curriculum area of focus for pupil premium initiatives are: </w:t>
      </w:r>
    </w:p>
    <w:p w14:paraId="6A4D08E6" w14:textId="77777777" w:rsidR="00085813" w:rsidRPr="00B21E4A" w:rsidRDefault="00085813" w:rsidP="0008581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B21E4A">
        <w:rPr>
          <w:b/>
          <w:sz w:val="24"/>
        </w:rPr>
        <w:t>Writing – 96% of pupils achieved outstanding progress in writing compared to 100% of none pupil premium pupils</w:t>
      </w:r>
    </w:p>
    <w:p w14:paraId="285B478F" w14:textId="77777777" w:rsidR="00085813" w:rsidRPr="00B21E4A" w:rsidRDefault="00085813" w:rsidP="0008581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B21E4A">
        <w:rPr>
          <w:b/>
          <w:sz w:val="24"/>
        </w:rPr>
        <w:t>Science – 94% of pupils achieved outstanding progress in science compared to 99% of none pupil premium pupils</w:t>
      </w:r>
    </w:p>
    <w:p w14:paraId="50D4F0EC" w14:textId="02EDDA1F" w:rsidR="00085813" w:rsidRDefault="00085813" w:rsidP="00085813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B21E4A">
        <w:rPr>
          <w:b/>
          <w:sz w:val="24"/>
        </w:rPr>
        <w:t>Foundation subjects – pupil premium pupils achieve less well than their none pupil premium peers in foundation subjects.</w:t>
      </w:r>
    </w:p>
    <w:p w14:paraId="5D67122B" w14:textId="2F6AA8A3" w:rsidR="001910C4" w:rsidRDefault="001910C4" w:rsidP="001910C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Impact: </w:t>
      </w:r>
    </w:p>
    <w:p w14:paraId="6E44CBDE" w14:textId="77777777" w:rsidR="001910C4" w:rsidRDefault="001910C4" w:rsidP="001910C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In writing PP pupils achieved a higher combined percentage of expected and above progress than their NPP peers.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2664"/>
      </w:tblGrid>
      <w:tr w:rsidR="001910C4" w14:paraId="2E67C4C7" w14:textId="14C95C7D" w:rsidTr="001910C4">
        <w:tc>
          <w:tcPr>
            <w:tcW w:w="1413" w:type="dxa"/>
          </w:tcPr>
          <w:p w14:paraId="0179EBD3" w14:textId="46896525" w:rsidR="001910C4" w:rsidRDefault="001910C4" w:rsidP="001910C4">
            <w:pPr>
              <w:spacing w:line="360" w:lineRule="auto"/>
              <w:jc w:val="both"/>
              <w:rPr>
                <w:b/>
                <w:sz w:val="24"/>
              </w:rPr>
            </w:pPr>
            <w:bookmarkStart w:id="1" w:name="_Hlk81399987"/>
          </w:p>
        </w:tc>
        <w:tc>
          <w:tcPr>
            <w:tcW w:w="3118" w:type="dxa"/>
            <w:shd w:val="clear" w:color="auto" w:fill="00B050"/>
          </w:tcPr>
          <w:p w14:paraId="3D58AB49" w14:textId="3AF5E030" w:rsidR="001910C4" w:rsidRDefault="001910C4" w:rsidP="001910C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Pupil Premium Pupils</w:t>
            </w:r>
          </w:p>
        </w:tc>
        <w:tc>
          <w:tcPr>
            <w:tcW w:w="3261" w:type="dxa"/>
            <w:shd w:val="clear" w:color="auto" w:fill="0070C0"/>
          </w:tcPr>
          <w:p w14:paraId="0DAFDAC1" w14:textId="05A6703A" w:rsidR="001910C4" w:rsidRDefault="001910C4" w:rsidP="001910C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Non-Pupil Premium Pupils</w:t>
            </w:r>
          </w:p>
        </w:tc>
        <w:tc>
          <w:tcPr>
            <w:tcW w:w="2664" w:type="dxa"/>
          </w:tcPr>
          <w:p w14:paraId="0BEDEC59" w14:textId="5D2C0BEE" w:rsidR="001910C4" w:rsidRDefault="001910C4" w:rsidP="001910C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Difference</w:t>
            </w:r>
          </w:p>
        </w:tc>
      </w:tr>
      <w:tr w:rsidR="001910C4" w14:paraId="015A4FE2" w14:textId="63AB325B" w:rsidTr="001910C4">
        <w:tc>
          <w:tcPr>
            <w:tcW w:w="1413" w:type="dxa"/>
          </w:tcPr>
          <w:p w14:paraId="5DF4D5A4" w14:textId="77FC2952" w:rsidR="001910C4" w:rsidRDefault="001910C4" w:rsidP="001910C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19/20</w:t>
            </w:r>
          </w:p>
        </w:tc>
        <w:tc>
          <w:tcPr>
            <w:tcW w:w="3118" w:type="dxa"/>
          </w:tcPr>
          <w:p w14:paraId="266906D7" w14:textId="77777777" w:rsidR="001910C4" w:rsidRDefault="001910C4" w:rsidP="001910C4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14B4DC22" w14:textId="5AB63964" w:rsidR="001910C4" w:rsidRDefault="001910C4" w:rsidP="001910C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96% </w:t>
            </w:r>
          </w:p>
        </w:tc>
        <w:tc>
          <w:tcPr>
            <w:tcW w:w="3261" w:type="dxa"/>
          </w:tcPr>
          <w:p w14:paraId="5DF0A43B" w14:textId="77777777" w:rsidR="001910C4" w:rsidRDefault="001910C4" w:rsidP="001910C4">
            <w:pPr>
              <w:spacing w:line="360" w:lineRule="auto"/>
              <w:rPr>
                <w:b/>
                <w:sz w:val="24"/>
              </w:rPr>
            </w:pPr>
          </w:p>
          <w:p w14:paraId="796DB8E0" w14:textId="4F9FABD3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100% </w:t>
            </w:r>
          </w:p>
        </w:tc>
        <w:tc>
          <w:tcPr>
            <w:tcW w:w="2664" w:type="dxa"/>
          </w:tcPr>
          <w:p w14:paraId="79E63DD1" w14:textId="77777777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39B7BC67" w14:textId="6099E912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 w:rsidRPr="001910C4">
              <w:rPr>
                <w:b/>
                <w:color w:val="FF0000"/>
                <w:sz w:val="24"/>
              </w:rPr>
              <w:t xml:space="preserve">          </w:t>
            </w:r>
            <w:r>
              <w:rPr>
                <w:b/>
                <w:color w:val="FF0000"/>
                <w:sz w:val="24"/>
              </w:rPr>
              <w:t xml:space="preserve">           </w:t>
            </w:r>
            <w:r w:rsidRPr="001910C4">
              <w:rPr>
                <w:b/>
                <w:color w:val="FF0000"/>
                <w:sz w:val="24"/>
              </w:rPr>
              <w:t xml:space="preserve">      -4 </w:t>
            </w:r>
          </w:p>
        </w:tc>
      </w:tr>
      <w:tr w:rsidR="001910C4" w14:paraId="024175D1" w14:textId="77777777" w:rsidTr="001910C4">
        <w:tc>
          <w:tcPr>
            <w:tcW w:w="1413" w:type="dxa"/>
          </w:tcPr>
          <w:p w14:paraId="578AAA6F" w14:textId="582E017E" w:rsidR="001910C4" w:rsidRDefault="001910C4" w:rsidP="001910C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20/21</w:t>
            </w:r>
          </w:p>
        </w:tc>
        <w:tc>
          <w:tcPr>
            <w:tcW w:w="3118" w:type="dxa"/>
          </w:tcPr>
          <w:p w14:paraId="5A45447A" w14:textId="77777777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7DB9571C" w14:textId="264D82F5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92% </w:t>
            </w:r>
          </w:p>
        </w:tc>
        <w:tc>
          <w:tcPr>
            <w:tcW w:w="3261" w:type="dxa"/>
          </w:tcPr>
          <w:p w14:paraId="5FD42B4F" w14:textId="77777777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14:paraId="4A4FD7DD" w14:textId="506FED13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89% </w:t>
            </w:r>
          </w:p>
        </w:tc>
        <w:tc>
          <w:tcPr>
            <w:tcW w:w="2664" w:type="dxa"/>
          </w:tcPr>
          <w:p w14:paraId="146A0314" w14:textId="77777777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74191B83" w14:textId="4EE9581C" w:rsidR="001910C4" w:rsidRDefault="001910C4" w:rsidP="001910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1910C4">
              <w:rPr>
                <w:b/>
                <w:color w:val="00B050"/>
                <w:sz w:val="24"/>
              </w:rPr>
              <w:t>+3</w:t>
            </w:r>
          </w:p>
        </w:tc>
      </w:tr>
    </w:tbl>
    <w:bookmarkEnd w:id="1"/>
    <w:p w14:paraId="2C9E62D3" w14:textId="5341F2B9" w:rsidR="001910C4" w:rsidRPr="001910C4" w:rsidRDefault="001910C4" w:rsidP="001910C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3B648D7E" w14:textId="486A2F1E" w:rsidR="001910C4" w:rsidRDefault="001910C4" w:rsidP="001910C4">
      <w:pPr>
        <w:spacing w:line="360" w:lineRule="auto"/>
        <w:jc w:val="both"/>
        <w:rPr>
          <w:b/>
          <w:sz w:val="24"/>
        </w:rPr>
      </w:pPr>
      <w:r>
        <w:rPr>
          <w:rFonts w:ascii="Uni Sans Thin CAPS" w:hAnsi="Uni Sans Thin CAPS"/>
          <w:noProof/>
          <w:color w:val="595959" w:themeColor="text1" w:themeTint="A6"/>
          <w:sz w:val="56"/>
          <w:szCs w:val="56"/>
          <w:lang w:eastAsia="en-GB"/>
        </w:rPr>
        <w:drawing>
          <wp:inline distT="0" distB="0" distL="0" distR="0" wp14:anchorId="696A3CF7" wp14:editId="52F2D1A9">
            <wp:extent cx="6515100" cy="3445232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63" cy="3483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2DB8B" w14:textId="5AD2123D" w:rsidR="001910C4" w:rsidRDefault="001910C4" w:rsidP="001910C4">
      <w:pPr>
        <w:spacing w:line="360" w:lineRule="auto"/>
        <w:jc w:val="both"/>
        <w:rPr>
          <w:b/>
          <w:sz w:val="24"/>
        </w:rPr>
      </w:pPr>
    </w:p>
    <w:p w14:paraId="58D0F24F" w14:textId="255135B8" w:rsidR="001910C4" w:rsidRDefault="001910C4" w:rsidP="001910C4">
      <w:pPr>
        <w:spacing w:line="360" w:lineRule="auto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2664"/>
      </w:tblGrid>
      <w:tr w:rsidR="001910C4" w14:paraId="1DDC1845" w14:textId="77777777" w:rsidTr="004F4128">
        <w:tc>
          <w:tcPr>
            <w:tcW w:w="1413" w:type="dxa"/>
          </w:tcPr>
          <w:p w14:paraId="0C9B3119" w14:textId="77777777" w:rsidR="001910C4" w:rsidRDefault="001910C4" w:rsidP="004F4128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00B050"/>
          </w:tcPr>
          <w:p w14:paraId="38B73C30" w14:textId="77777777" w:rsidR="001910C4" w:rsidRDefault="001910C4" w:rsidP="004F41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Pupil Premium Pupils</w:t>
            </w:r>
          </w:p>
        </w:tc>
        <w:tc>
          <w:tcPr>
            <w:tcW w:w="3261" w:type="dxa"/>
            <w:shd w:val="clear" w:color="auto" w:fill="0070C0"/>
          </w:tcPr>
          <w:p w14:paraId="688CC870" w14:textId="77777777" w:rsidR="001910C4" w:rsidRDefault="001910C4" w:rsidP="004F41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Non-Pupil Premium Pupils</w:t>
            </w:r>
          </w:p>
        </w:tc>
        <w:tc>
          <w:tcPr>
            <w:tcW w:w="2664" w:type="dxa"/>
          </w:tcPr>
          <w:p w14:paraId="7BF26A11" w14:textId="77777777" w:rsidR="001910C4" w:rsidRDefault="001910C4" w:rsidP="004F41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Difference</w:t>
            </w:r>
          </w:p>
        </w:tc>
      </w:tr>
      <w:tr w:rsidR="001910C4" w14:paraId="7B40D1A9" w14:textId="77777777" w:rsidTr="004F4128">
        <w:tc>
          <w:tcPr>
            <w:tcW w:w="1413" w:type="dxa"/>
          </w:tcPr>
          <w:p w14:paraId="1F9BDFEB" w14:textId="7BE02524" w:rsidR="001910C4" w:rsidRDefault="001910C4" w:rsidP="004F41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 19/20</w:t>
            </w:r>
          </w:p>
        </w:tc>
        <w:tc>
          <w:tcPr>
            <w:tcW w:w="3118" w:type="dxa"/>
          </w:tcPr>
          <w:p w14:paraId="39E9ED79" w14:textId="77777777" w:rsidR="001910C4" w:rsidRDefault="001910C4" w:rsidP="004F4128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5E481026" w14:textId="0B78EFED" w:rsidR="001910C4" w:rsidRDefault="001910C4" w:rsidP="004F41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94% </w:t>
            </w:r>
          </w:p>
        </w:tc>
        <w:tc>
          <w:tcPr>
            <w:tcW w:w="3261" w:type="dxa"/>
          </w:tcPr>
          <w:p w14:paraId="0DA06FCE" w14:textId="77777777" w:rsidR="001910C4" w:rsidRDefault="001910C4" w:rsidP="004F4128">
            <w:pPr>
              <w:spacing w:line="360" w:lineRule="auto"/>
              <w:rPr>
                <w:b/>
                <w:sz w:val="24"/>
              </w:rPr>
            </w:pPr>
          </w:p>
          <w:p w14:paraId="5EEDD7D3" w14:textId="73920581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99% </w:t>
            </w:r>
          </w:p>
        </w:tc>
        <w:tc>
          <w:tcPr>
            <w:tcW w:w="2664" w:type="dxa"/>
          </w:tcPr>
          <w:p w14:paraId="657D9703" w14:textId="77777777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1E17345F" w14:textId="06C942B0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 w:rsidRPr="001910C4">
              <w:rPr>
                <w:b/>
                <w:color w:val="FF0000"/>
                <w:sz w:val="24"/>
              </w:rPr>
              <w:t xml:space="preserve">          </w:t>
            </w:r>
            <w:r>
              <w:rPr>
                <w:b/>
                <w:color w:val="FF0000"/>
                <w:sz w:val="24"/>
              </w:rPr>
              <w:t xml:space="preserve">           </w:t>
            </w:r>
            <w:r w:rsidRPr="001910C4">
              <w:rPr>
                <w:b/>
                <w:color w:val="FF0000"/>
                <w:sz w:val="24"/>
              </w:rPr>
              <w:t xml:space="preserve">      -</w:t>
            </w:r>
            <w:r>
              <w:rPr>
                <w:b/>
                <w:color w:val="FF0000"/>
                <w:sz w:val="24"/>
              </w:rPr>
              <w:t>5</w:t>
            </w:r>
            <w:r w:rsidRPr="001910C4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1910C4" w14:paraId="7898326A" w14:textId="77777777" w:rsidTr="004F4128">
        <w:tc>
          <w:tcPr>
            <w:tcW w:w="1413" w:type="dxa"/>
          </w:tcPr>
          <w:p w14:paraId="00B84698" w14:textId="4A8EB643" w:rsidR="001910C4" w:rsidRDefault="001910C4" w:rsidP="004F41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 20/21</w:t>
            </w:r>
          </w:p>
        </w:tc>
        <w:tc>
          <w:tcPr>
            <w:tcW w:w="3118" w:type="dxa"/>
          </w:tcPr>
          <w:p w14:paraId="3878F4FC" w14:textId="77777777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135B3121" w14:textId="64E6B541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99% </w:t>
            </w:r>
          </w:p>
        </w:tc>
        <w:tc>
          <w:tcPr>
            <w:tcW w:w="3261" w:type="dxa"/>
          </w:tcPr>
          <w:p w14:paraId="2C788C2A" w14:textId="77777777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14:paraId="27A6048C" w14:textId="378D5EBF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99% </w:t>
            </w:r>
          </w:p>
        </w:tc>
        <w:tc>
          <w:tcPr>
            <w:tcW w:w="2664" w:type="dxa"/>
          </w:tcPr>
          <w:p w14:paraId="270927CF" w14:textId="77777777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2548E57A" w14:textId="293267DB" w:rsidR="001910C4" w:rsidRDefault="001910C4" w:rsidP="004F41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58087D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0 </w:t>
            </w:r>
          </w:p>
        </w:tc>
      </w:tr>
    </w:tbl>
    <w:p w14:paraId="272443A2" w14:textId="0DC7016C" w:rsidR="001910C4" w:rsidRDefault="001910C4" w:rsidP="001910C4">
      <w:pPr>
        <w:spacing w:line="360" w:lineRule="auto"/>
        <w:jc w:val="both"/>
        <w:rPr>
          <w:b/>
          <w:sz w:val="24"/>
        </w:rPr>
      </w:pPr>
    </w:p>
    <w:p w14:paraId="268E3CF1" w14:textId="1C4B14E6" w:rsidR="0058087D" w:rsidRDefault="0058087D" w:rsidP="001910C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In science the gap between PPP and NPP </w:t>
      </w:r>
      <w:r w:rsidR="00275A56">
        <w:rPr>
          <w:b/>
          <w:sz w:val="24"/>
        </w:rPr>
        <w:t>has reduced from -5% to 0% with attainment the same between both sets of pupils,</w:t>
      </w:r>
    </w:p>
    <w:p w14:paraId="0605A85C" w14:textId="739EE8B1" w:rsidR="001910C4" w:rsidRDefault="001910C4" w:rsidP="001910C4">
      <w:pPr>
        <w:spacing w:line="360" w:lineRule="auto"/>
        <w:jc w:val="both"/>
        <w:rPr>
          <w:b/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6DF0844E" wp14:editId="2D4AA175">
            <wp:extent cx="6645910" cy="3431982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3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1B388" w14:textId="03612B2C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41C1E464" w14:textId="4663AD04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78F14060" w14:textId="5A3F9F7B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55D60E38" w14:textId="0FEC60B3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7A466B25" w14:textId="7A896C83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0514EA62" w14:textId="0E7070C5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0AA2EDC4" w14:textId="27883486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2F53B4A0" w14:textId="39451D97" w:rsidR="006C2AE6" w:rsidRDefault="006C2AE6" w:rsidP="001910C4">
      <w:pPr>
        <w:spacing w:line="360" w:lineRule="auto"/>
        <w:jc w:val="both"/>
        <w:rPr>
          <w:b/>
          <w:sz w:val="24"/>
        </w:rPr>
      </w:pPr>
    </w:p>
    <w:p w14:paraId="3DD538D0" w14:textId="77777777" w:rsidR="006C2AE6" w:rsidRPr="001910C4" w:rsidRDefault="006C2AE6" w:rsidP="001910C4">
      <w:pPr>
        <w:spacing w:line="360" w:lineRule="auto"/>
        <w:jc w:val="both"/>
        <w:rPr>
          <w:b/>
          <w:sz w:val="24"/>
        </w:rPr>
      </w:pPr>
    </w:p>
    <w:p w14:paraId="7396F53E" w14:textId="12AE6537" w:rsidR="00BB6EC3" w:rsidRPr="00B21E4A" w:rsidRDefault="00BB6EC3" w:rsidP="00592F66">
      <w:pPr>
        <w:spacing w:after="0"/>
        <w:jc w:val="both"/>
        <w:rPr>
          <w:b/>
          <w:sz w:val="24"/>
        </w:rPr>
      </w:pPr>
      <w:r w:rsidRPr="00B21E4A">
        <w:rPr>
          <w:b/>
          <w:sz w:val="24"/>
        </w:rPr>
        <w:t xml:space="preserve">Intended Impact: </w:t>
      </w:r>
    </w:p>
    <w:p w14:paraId="014B31CE" w14:textId="70705E65" w:rsidR="00BB6EC3" w:rsidRDefault="00BB6EC3" w:rsidP="00592F66">
      <w:pPr>
        <w:spacing w:after="0"/>
        <w:jc w:val="both"/>
        <w:rPr>
          <w:bCs w:val="0"/>
        </w:rPr>
      </w:pPr>
      <w:r w:rsidRPr="00B21E4A">
        <w:rPr>
          <w:bCs w:val="0"/>
          <w:sz w:val="24"/>
        </w:rPr>
        <w:t>Pupil Premium Pupils will meet whole school targets for</w:t>
      </w:r>
      <w:r w:rsidR="00B21E4A">
        <w:rPr>
          <w:bCs w:val="0"/>
          <w:sz w:val="24"/>
        </w:rPr>
        <w:t xml:space="preserve"> progress</w:t>
      </w:r>
      <w:r w:rsidRPr="00B21E4A">
        <w:rPr>
          <w:bCs w:val="0"/>
          <w:sz w:val="24"/>
        </w:rPr>
        <w:t xml:space="preserve"> in foundation areas and the gap between PPP and None PPP will decrease from the gaps detailed above</w:t>
      </w:r>
      <w:r w:rsidRPr="00B21E4A">
        <w:rPr>
          <w:bCs w:val="0"/>
        </w:rPr>
        <w:t xml:space="preserve">. </w:t>
      </w:r>
    </w:p>
    <w:p w14:paraId="21E23DBC" w14:textId="5A97482F" w:rsidR="00581438" w:rsidRDefault="00581438" w:rsidP="00B21E4A">
      <w:pPr>
        <w:spacing w:after="0"/>
        <w:ind w:left="720"/>
        <w:jc w:val="both"/>
        <w:rPr>
          <w:bCs w:val="0"/>
        </w:rPr>
      </w:pPr>
    </w:p>
    <w:p w14:paraId="78B91920" w14:textId="77777777" w:rsidR="00581438" w:rsidRPr="00B21E4A" w:rsidRDefault="00581438" w:rsidP="00B21E4A">
      <w:pPr>
        <w:spacing w:after="0"/>
        <w:ind w:left="720"/>
        <w:jc w:val="both"/>
        <w:rPr>
          <w:bCs w:val="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520"/>
        <w:gridCol w:w="1291"/>
        <w:gridCol w:w="1258"/>
        <w:gridCol w:w="1524"/>
        <w:gridCol w:w="885"/>
      </w:tblGrid>
      <w:tr w:rsidR="00E6603B" w14:paraId="6E87D2E4" w14:textId="4A4B5318" w:rsidTr="00E6603B">
        <w:trPr>
          <w:trHeight w:val="451"/>
        </w:trPr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64534F07" w14:textId="598B4943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 w:rsidRPr="00E6603B">
              <w:rPr>
                <w:bCs w:val="0"/>
                <w:sz w:val="20"/>
                <w:szCs w:val="20"/>
              </w:rPr>
              <w:t>Subject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6B0B9B2E" w14:textId="17710F92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 w:rsidRPr="00E6603B">
              <w:rPr>
                <w:bCs w:val="0"/>
                <w:sz w:val="20"/>
                <w:szCs w:val="20"/>
              </w:rPr>
              <w:t>Pupil Premium Pupils Outstanding Progress %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374D132C" w14:textId="4CFCD9E1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 w:rsidRPr="00E6603B">
              <w:rPr>
                <w:bCs w:val="0"/>
                <w:sz w:val="20"/>
                <w:szCs w:val="20"/>
              </w:rPr>
              <w:t xml:space="preserve">Non-Pupil Premium Students Outstanding Progress % 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22E54259" w14:textId="07210DEF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 w:rsidRPr="00E6603B">
              <w:rPr>
                <w:bCs w:val="0"/>
                <w:sz w:val="20"/>
                <w:szCs w:val="20"/>
              </w:rPr>
              <w:t>Pupil Premium/</w:t>
            </w:r>
            <w:proofErr w:type="gramStart"/>
            <w:r w:rsidRPr="00E6603B">
              <w:rPr>
                <w:bCs w:val="0"/>
                <w:sz w:val="20"/>
                <w:szCs w:val="20"/>
              </w:rPr>
              <w:t>Non Pupil</w:t>
            </w:r>
            <w:proofErr w:type="gramEnd"/>
            <w:r w:rsidRPr="00E6603B">
              <w:rPr>
                <w:bCs w:val="0"/>
                <w:sz w:val="20"/>
                <w:szCs w:val="20"/>
              </w:rPr>
              <w:t xml:space="preserve"> Premium Gap 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14:paraId="50E8CD21" w14:textId="1FD5FE02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 w:rsidRPr="00E6603B">
              <w:rPr>
                <w:bCs w:val="0"/>
                <w:sz w:val="20"/>
                <w:szCs w:val="20"/>
              </w:rPr>
              <w:t xml:space="preserve">Pupil Premium Pupils Combined Expected and Above Expected Progress 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7476C872" w14:textId="5FDBAE5D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 w:rsidRPr="00E6603B">
              <w:rPr>
                <w:bCs w:val="0"/>
                <w:sz w:val="20"/>
                <w:szCs w:val="20"/>
              </w:rPr>
              <w:t>Non- Pupil Premium Pupils Combined Expected and Above Expected Progress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1794A74B" w14:textId="3B008ED5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 w:rsidRPr="00E6603B">
              <w:rPr>
                <w:bCs w:val="0"/>
                <w:sz w:val="20"/>
                <w:szCs w:val="20"/>
              </w:rPr>
              <w:t>Pupil Premium/</w:t>
            </w:r>
            <w:proofErr w:type="gramStart"/>
            <w:r w:rsidRPr="00E6603B">
              <w:rPr>
                <w:bCs w:val="0"/>
                <w:sz w:val="20"/>
                <w:szCs w:val="20"/>
              </w:rPr>
              <w:t>Non Pupil</w:t>
            </w:r>
            <w:proofErr w:type="gramEnd"/>
            <w:r w:rsidRPr="00E6603B">
              <w:rPr>
                <w:bCs w:val="0"/>
                <w:sz w:val="20"/>
                <w:szCs w:val="20"/>
              </w:rPr>
              <w:t xml:space="preserve"> Premium Gap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14:paraId="46BF9F7A" w14:textId="6A42F25B" w:rsidR="00E6603B" w:rsidRPr="00E6603B" w:rsidRDefault="00E6603B" w:rsidP="006C2AE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Change </w:t>
            </w:r>
          </w:p>
        </w:tc>
      </w:tr>
      <w:tr w:rsidR="00E6603B" w14:paraId="2DB4A298" w14:textId="4055EA68" w:rsidTr="00E6603B">
        <w:trPr>
          <w:trHeight w:val="451"/>
        </w:trPr>
        <w:tc>
          <w:tcPr>
            <w:tcW w:w="1325" w:type="dxa"/>
            <w:vAlign w:val="center"/>
          </w:tcPr>
          <w:p w14:paraId="6BB25542" w14:textId="2E89AD24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Art</w:t>
            </w:r>
          </w:p>
        </w:tc>
        <w:tc>
          <w:tcPr>
            <w:tcW w:w="1332" w:type="dxa"/>
            <w:vAlign w:val="center"/>
          </w:tcPr>
          <w:p w14:paraId="337DBC7D" w14:textId="2FD83F54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93%</w:t>
            </w:r>
          </w:p>
        </w:tc>
        <w:tc>
          <w:tcPr>
            <w:tcW w:w="1332" w:type="dxa"/>
            <w:vAlign w:val="center"/>
          </w:tcPr>
          <w:p w14:paraId="79B4D675" w14:textId="7160635D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98%</w:t>
            </w:r>
          </w:p>
        </w:tc>
        <w:tc>
          <w:tcPr>
            <w:tcW w:w="1527" w:type="dxa"/>
            <w:vAlign w:val="center"/>
          </w:tcPr>
          <w:p w14:paraId="2994388C" w14:textId="1E5FC8A5" w:rsidR="00E6603B" w:rsidRDefault="00E6603B" w:rsidP="00E6603B">
            <w:pPr>
              <w:jc w:val="center"/>
              <w:rPr>
                <w:bCs w:val="0"/>
              </w:rPr>
            </w:pPr>
            <w:r w:rsidRPr="00235001">
              <w:rPr>
                <w:bCs w:val="0"/>
                <w:color w:val="FF0000"/>
              </w:rPr>
              <w:t>-5%</w:t>
            </w:r>
          </w:p>
        </w:tc>
        <w:tc>
          <w:tcPr>
            <w:tcW w:w="1319" w:type="dxa"/>
            <w:vAlign w:val="center"/>
          </w:tcPr>
          <w:p w14:paraId="6F03DDE2" w14:textId="008A6B65" w:rsidR="00E6603B" w:rsidRPr="006C2AE6" w:rsidRDefault="00E6603B" w:rsidP="00E6603B">
            <w:pPr>
              <w:jc w:val="center"/>
              <w:rPr>
                <w:bCs w:val="0"/>
                <w:color w:val="auto"/>
              </w:rPr>
            </w:pPr>
            <w:r w:rsidRPr="006C2AE6">
              <w:rPr>
                <w:bCs w:val="0"/>
                <w:color w:val="auto"/>
              </w:rPr>
              <w:t>99%</w:t>
            </w:r>
          </w:p>
        </w:tc>
        <w:tc>
          <w:tcPr>
            <w:tcW w:w="1281" w:type="dxa"/>
            <w:vAlign w:val="center"/>
          </w:tcPr>
          <w:p w14:paraId="46A54D86" w14:textId="0085CA61" w:rsidR="00E6603B" w:rsidRPr="006C2AE6" w:rsidRDefault="00E6603B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100% </w:t>
            </w:r>
          </w:p>
        </w:tc>
        <w:tc>
          <w:tcPr>
            <w:tcW w:w="1532" w:type="dxa"/>
            <w:vAlign w:val="center"/>
          </w:tcPr>
          <w:p w14:paraId="5C3ABCDA" w14:textId="19D0E5A4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-1%</w:t>
            </w:r>
          </w:p>
        </w:tc>
        <w:tc>
          <w:tcPr>
            <w:tcW w:w="808" w:type="dxa"/>
            <w:vAlign w:val="center"/>
          </w:tcPr>
          <w:p w14:paraId="3B0E5E84" w14:textId="484E03E8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+4</w:t>
            </w:r>
          </w:p>
        </w:tc>
      </w:tr>
      <w:tr w:rsidR="00E6603B" w14:paraId="5ED8FCDD" w14:textId="314CB36A" w:rsidTr="00E6603B">
        <w:trPr>
          <w:trHeight w:val="451"/>
        </w:trPr>
        <w:tc>
          <w:tcPr>
            <w:tcW w:w="1325" w:type="dxa"/>
            <w:vAlign w:val="center"/>
          </w:tcPr>
          <w:p w14:paraId="05CE7B23" w14:textId="7E068BFB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Computing</w:t>
            </w:r>
          </w:p>
        </w:tc>
        <w:tc>
          <w:tcPr>
            <w:tcW w:w="1332" w:type="dxa"/>
            <w:vAlign w:val="center"/>
          </w:tcPr>
          <w:p w14:paraId="5D569FFE" w14:textId="6501E50D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94%</w:t>
            </w:r>
          </w:p>
        </w:tc>
        <w:tc>
          <w:tcPr>
            <w:tcW w:w="1332" w:type="dxa"/>
            <w:vAlign w:val="center"/>
          </w:tcPr>
          <w:p w14:paraId="5F44A88A" w14:textId="181A2B38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95%</w:t>
            </w:r>
          </w:p>
        </w:tc>
        <w:tc>
          <w:tcPr>
            <w:tcW w:w="1527" w:type="dxa"/>
            <w:vAlign w:val="center"/>
          </w:tcPr>
          <w:p w14:paraId="6802AB18" w14:textId="1A8D8FF2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235001">
              <w:rPr>
                <w:bCs w:val="0"/>
                <w:color w:val="FF0000"/>
              </w:rPr>
              <w:t>-1%</w:t>
            </w:r>
          </w:p>
        </w:tc>
        <w:tc>
          <w:tcPr>
            <w:tcW w:w="1319" w:type="dxa"/>
            <w:vAlign w:val="center"/>
          </w:tcPr>
          <w:p w14:paraId="538D37D0" w14:textId="55922D91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100% </w:t>
            </w:r>
          </w:p>
        </w:tc>
        <w:tc>
          <w:tcPr>
            <w:tcW w:w="1281" w:type="dxa"/>
            <w:vAlign w:val="center"/>
          </w:tcPr>
          <w:p w14:paraId="4CA65B27" w14:textId="7858CDCF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97%</w:t>
            </w:r>
          </w:p>
        </w:tc>
        <w:tc>
          <w:tcPr>
            <w:tcW w:w="1532" w:type="dxa"/>
            <w:vAlign w:val="center"/>
          </w:tcPr>
          <w:p w14:paraId="49E2998D" w14:textId="2E9ECD21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58087D">
              <w:rPr>
                <w:bCs w:val="0"/>
                <w:color w:val="auto"/>
              </w:rPr>
              <w:t>3%</w:t>
            </w:r>
          </w:p>
        </w:tc>
        <w:tc>
          <w:tcPr>
            <w:tcW w:w="808" w:type="dxa"/>
            <w:vAlign w:val="center"/>
          </w:tcPr>
          <w:p w14:paraId="668BAB98" w14:textId="2A1D9758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+4</w:t>
            </w:r>
          </w:p>
        </w:tc>
      </w:tr>
      <w:tr w:rsidR="00E6603B" w14:paraId="6119DF64" w14:textId="1742C801" w:rsidTr="00E6603B">
        <w:trPr>
          <w:trHeight w:val="451"/>
        </w:trPr>
        <w:tc>
          <w:tcPr>
            <w:tcW w:w="1325" w:type="dxa"/>
            <w:vAlign w:val="center"/>
          </w:tcPr>
          <w:p w14:paraId="4569938F" w14:textId="5C35205B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Design and Technology</w:t>
            </w:r>
          </w:p>
        </w:tc>
        <w:tc>
          <w:tcPr>
            <w:tcW w:w="1332" w:type="dxa"/>
            <w:vAlign w:val="center"/>
          </w:tcPr>
          <w:p w14:paraId="7E4EB6A7" w14:textId="7075F790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87%</w:t>
            </w:r>
          </w:p>
        </w:tc>
        <w:tc>
          <w:tcPr>
            <w:tcW w:w="1332" w:type="dxa"/>
            <w:vAlign w:val="center"/>
          </w:tcPr>
          <w:p w14:paraId="2CC21F7A" w14:textId="4AAD4B94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95%</w:t>
            </w:r>
          </w:p>
        </w:tc>
        <w:tc>
          <w:tcPr>
            <w:tcW w:w="1527" w:type="dxa"/>
            <w:vAlign w:val="center"/>
          </w:tcPr>
          <w:p w14:paraId="2E3E5A12" w14:textId="5CCDDA9E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235001">
              <w:rPr>
                <w:bCs w:val="0"/>
                <w:color w:val="FF0000"/>
              </w:rPr>
              <w:t>-8%</w:t>
            </w:r>
          </w:p>
        </w:tc>
        <w:tc>
          <w:tcPr>
            <w:tcW w:w="1319" w:type="dxa"/>
            <w:vAlign w:val="center"/>
          </w:tcPr>
          <w:p w14:paraId="6A755402" w14:textId="679E2B0B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92%</w:t>
            </w:r>
          </w:p>
        </w:tc>
        <w:tc>
          <w:tcPr>
            <w:tcW w:w="1281" w:type="dxa"/>
            <w:vAlign w:val="center"/>
          </w:tcPr>
          <w:p w14:paraId="1E747FDB" w14:textId="3FCEE861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94%</w:t>
            </w:r>
          </w:p>
        </w:tc>
        <w:tc>
          <w:tcPr>
            <w:tcW w:w="1532" w:type="dxa"/>
            <w:vAlign w:val="center"/>
          </w:tcPr>
          <w:p w14:paraId="750FF86C" w14:textId="7D272CC7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-2%</w:t>
            </w:r>
          </w:p>
        </w:tc>
        <w:tc>
          <w:tcPr>
            <w:tcW w:w="808" w:type="dxa"/>
            <w:vAlign w:val="center"/>
          </w:tcPr>
          <w:p w14:paraId="77FF8369" w14:textId="632ACE76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+6</w:t>
            </w:r>
          </w:p>
        </w:tc>
      </w:tr>
      <w:tr w:rsidR="00E6603B" w14:paraId="43E93EBE" w14:textId="20614410" w:rsidTr="00E6603B">
        <w:trPr>
          <w:trHeight w:val="425"/>
        </w:trPr>
        <w:tc>
          <w:tcPr>
            <w:tcW w:w="1325" w:type="dxa"/>
            <w:vAlign w:val="center"/>
          </w:tcPr>
          <w:p w14:paraId="389BE18F" w14:textId="62EDD9CF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Food Technology</w:t>
            </w:r>
          </w:p>
        </w:tc>
        <w:tc>
          <w:tcPr>
            <w:tcW w:w="1332" w:type="dxa"/>
            <w:vAlign w:val="center"/>
          </w:tcPr>
          <w:p w14:paraId="4F2909CF" w14:textId="2BF3A1AA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94%</w:t>
            </w:r>
          </w:p>
        </w:tc>
        <w:tc>
          <w:tcPr>
            <w:tcW w:w="1332" w:type="dxa"/>
            <w:vAlign w:val="center"/>
          </w:tcPr>
          <w:p w14:paraId="746A2263" w14:textId="72DB8FAB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94%</w:t>
            </w:r>
          </w:p>
        </w:tc>
        <w:tc>
          <w:tcPr>
            <w:tcW w:w="1527" w:type="dxa"/>
            <w:vAlign w:val="center"/>
          </w:tcPr>
          <w:p w14:paraId="26B62827" w14:textId="62083E8B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0%</w:t>
            </w:r>
          </w:p>
        </w:tc>
        <w:tc>
          <w:tcPr>
            <w:tcW w:w="1319" w:type="dxa"/>
            <w:vAlign w:val="center"/>
          </w:tcPr>
          <w:p w14:paraId="482E1A9E" w14:textId="36EAF3F3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92%</w:t>
            </w:r>
          </w:p>
        </w:tc>
        <w:tc>
          <w:tcPr>
            <w:tcW w:w="1281" w:type="dxa"/>
            <w:vAlign w:val="center"/>
          </w:tcPr>
          <w:p w14:paraId="692E4BD4" w14:textId="5EF54394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88%</w:t>
            </w:r>
          </w:p>
        </w:tc>
        <w:tc>
          <w:tcPr>
            <w:tcW w:w="1532" w:type="dxa"/>
            <w:vAlign w:val="center"/>
          </w:tcPr>
          <w:p w14:paraId="05AC8181" w14:textId="5E3B2670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4%</w:t>
            </w:r>
          </w:p>
        </w:tc>
        <w:tc>
          <w:tcPr>
            <w:tcW w:w="808" w:type="dxa"/>
            <w:vAlign w:val="center"/>
          </w:tcPr>
          <w:p w14:paraId="4E7CE976" w14:textId="0B4BC329" w:rsidR="00E6603B" w:rsidRDefault="0058087D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+4</w:t>
            </w:r>
          </w:p>
        </w:tc>
      </w:tr>
      <w:tr w:rsidR="00E6603B" w14:paraId="1C3C69F9" w14:textId="291530EE" w:rsidTr="00E6603B">
        <w:trPr>
          <w:trHeight w:val="451"/>
        </w:trPr>
        <w:tc>
          <w:tcPr>
            <w:tcW w:w="1325" w:type="dxa"/>
            <w:vAlign w:val="center"/>
          </w:tcPr>
          <w:p w14:paraId="6618EA65" w14:textId="59C9BC6E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Geography</w:t>
            </w:r>
          </w:p>
        </w:tc>
        <w:tc>
          <w:tcPr>
            <w:tcW w:w="1332" w:type="dxa"/>
            <w:vAlign w:val="center"/>
          </w:tcPr>
          <w:p w14:paraId="64E509B1" w14:textId="6EF16729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86%</w:t>
            </w:r>
          </w:p>
        </w:tc>
        <w:tc>
          <w:tcPr>
            <w:tcW w:w="1332" w:type="dxa"/>
            <w:vAlign w:val="center"/>
          </w:tcPr>
          <w:p w14:paraId="41B1C5CF" w14:textId="7180DFDD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93%</w:t>
            </w:r>
          </w:p>
        </w:tc>
        <w:tc>
          <w:tcPr>
            <w:tcW w:w="1527" w:type="dxa"/>
            <w:vAlign w:val="center"/>
          </w:tcPr>
          <w:p w14:paraId="5BFE6F5D" w14:textId="0EEEADBC" w:rsidR="00E6603B" w:rsidRDefault="00E6603B" w:rsidP="00E6603B">
            <w:pPr>
              <w:jc w:val="center"/>
              <w:rPr>
                <w:bCs w:val="0"/>
              </w:rPr>
            </w:pPr>
            <w:r w:rsidRPr="00235001">
              <w:rPr>
                <w:bCs w:val="0"/>
                <w:color w:val="FF0000"/>
              </w:rPr>
              <w:t>-7%</w:t>
            </w:r>
          </w:p>
        </w:tc>
        <w:tc>
          <w:tcPr>
            <w:tcW w:w="1319" w:type="dxa"/>
            <w:vAlign w:val="center"/>
          </w:tcPr>
          <w:p w14:paraId="7EE62989" w14:textId="31746550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98%</w:t>
            </w:r>
          </w:p>
        </w:tc>
        <w:tc>
          <w:tcPr>
            <w:tcW w:w="1281" w:type="dxa"/>
            <w:vAlign w:val="center"/>
          </w:tcPr>
          <w:p w14:paraId="5207A6CC" w14:textId="5E228C49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96%</w:t>
            </w:r>
          </w:p>
        </w:tc>
        <w:tc>
          <w:tcPr>
            <w:tcW w:w="1532" w:type="dxa"/>
            <w:vAlign w:val="center"/>
          </w:tcPr>
          <w:p w14:paraId="45BAB65A" w14:textId="611B86EA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58087D">
              <w:rPr>
                <w:bCs w:val="0"/>
                <w:color w:val="auto"/>
              </w:rPr>
              <w:t>3%</w:t>
            </w:r>
          </w:p>
        </w:tc>
        <w:tc>
          <w:tcPr>
            <w:tcW w:w="808" w:type="dxa"/>
            <w:vAlign w:val="center"/>
          </w:tcPr>
          <w:p w14:paraId="2D02E4DE" w14:textId="395EE24A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+10</w:t>
            </w:r>
          </w:p>
        </w:tc>
      </w:tr>
      <w:tr w:rsidR="00E6603B" w14:paraId="677A9BE1" w14:textId="6312DA49" w:rsidTr="00E6603B">
        <w:trPr>
          <w:trHeight w:val="451"/>
        </w:trPr>
        <w:tc>
          <w:tcPr>
            <w:tcW w:w="1325" w:type="dxa"/>
            <w:vAlign w:val="center"/>
          </w:tcPr>
          <w:p w14:paraId="54BA3A8A" w14:textId="2B4EA6D2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History</w:t>
            </w:r>
          </w:p>
        </w:tc>
        <w:tc>
          <w:tcPr>
            <w:tcW w:w="1332" w:type="dxa"/>
            <w:vAlign w:val="center"/>
          </w:tcPr>
          <w:p w14:paraId="0764AC1C" w14:textId="18FED230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95%</w:t>
            </w:r>
          </w:p>
        </w:tc>
        <w:tc>
          <w:tcPr>
            <w:tcW w:w="1332" w:type="dxa"/>
            <w:vAlign w:val="center"/>
          </w:tcPr>
          <w:p w14:paraId="3C2B57D5" w14:textId="266BECBC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97%</w:t>
            </w:r>
          </w:p>
        </w:tc>
        <w:tc>
          <w:tcPr>
            <w:tcW w:w="1527" w:type="dxa"/>
            <w:vAlign w:val="center"/>
          </w:tcPr>
          <w:p w14:paraId="65D55FEB" w14:textId="1EEED9F0" w:rsidR="00E6603B" w:rsidRDefault="00E6603B" w:rsidP="00E6603B">
            <w:pPr>
              <w:jc w:val="center"/>
              <w:rPr>
                <w:bCs w:val="0"/>
              </w:rPr>
            </w:pPr>
            <w:r w:rsidRPr="00235001">
              <w:rPr>
                <w:bCs w:val="0"/>
                <w:color w:val="FF0000"/>
              </w:rPr>
              <w:t>-2%</w:t>
            </w:r>
          </w:p>
        </w:tc>
        <w:tc>
          <w:tcPr>
            <w:tcW w:w="1319" w:type="dxa"/>
            <w:vAlign w:val="center"/>
          </w:tcPr>
          <w:p w14:paraId="15E6E3E6" w14:textId="17A8FBD4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94%</w:t>
            </w:r>
          </w:p>
        </w:tc>
        <w:tc>
          <w:tcPr>
            <w:tcW w:w="1281" w:type="dxa"/>
            <w:vAlign w:val="center"/>
          </w:tcPr>
          <w:p w14:paraId="5625D165" w14:textId="51AE7562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94%</w:t>
            </w:r>
          </w:p>
        </w:tc>
        <w:tc>
          <w:tcPr>
            <w:tcW w:w="1532" w:type="dxa"/>
            <w:vAlign w:val="center"/>
          </w:tcPr>
          <w:p w14:paraId="3E5F1E17" w14:textId="24963A97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0%</w:t>
            </w:r>
          </w:p>
        </w:tc>
        <w:tc>
          <w:tcPr>
            <w:tcW w:w="808" w:type="dxa"/>
            <w:vAlign w:val="center"/>
          </w:tcPr>
          <w:p w14:paraId="654D00DA" w14:textId="35391F60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+2</w:t>
            </w:r>
          </w:p>
        </w:tc>
      </w:tr>
      <w:tr w:rsidR="00E6603B" w14:paraId="37F265A7" w14:textId="56269F55" w:rsidTr="00E6603B">
        <w:trPr>
          <w:trHeight w:val="451"/>
        </w:trPr>
        <w:tc>
          <w:tcPr>
            <w:tcW w:w="1325" w:type="dxa"/>
            <w:vAlign w:val="center"/>
          </w:tcPr>
          <w:p w14:paraId="65BB06F0" w14:textId="03629E7C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MFL</w:t>
            </w:r>
          </w:p>
        </w:tc>
        <w:tc>
          <w:tcPr>
            <w:tcW w:w="1332" w:type="dxa"/>
            <w:vAlign w:val="center"/>
          </w:tcPr>
          <w:p w14:paraId="53061D39" w14:textId="7B2EE36A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95%</w:t>
            </w:r>
          </w:p>
        </w:tc>
        <w:tc>
          <w:tcPr>
            <w:tcW w:w="1332" w:type="dxa"/>
            <w:vAlign w:val="center"/>
          </w:tcPr>
          <w:p w14:paraId="2C9BED19" w14:textId="34C2903A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98%</w:t>
            </w:r>
          </w:p>
        </w:tc>
        <w:tc>
          <w:tcPr>
            <w:tcW w:w="1527" w:type="dxa"/>
            <w:vAlign w:val="center"/>
          </w:tcPr>
          <w:p w14:paraId="74E3A64E" w14:textId="13E6A047" w:rsidR="00E6603B" w:rsidRDefault="00E6603B" w:rsidP="00E6603B">
            <w:pPr>
              <w:jc w:val="center"/>
              <w:rPr>
                <w:bCs w:val="0"/>
              </w:rPr>
            </w:pPr>
            <w:r w:rsidRPr="00235001">
              <w:rPr>
                <w:bCs w:val="0"/>
                <w:color w:val="FF0000"/>
              </w:rPr>
              <w:t>-3%</w:t>
            </w:r>
          </w:p>
        </w:tc>
        <w:tc>
          <w:tcPr>
            <w:tcW w:w="1319" w:type="dxa"/>
            <w:vAlign w:val="center"/>
          </w:tcPr>
          <w:p w14:paraId="7FD9856E" w14:textId="4149F270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97%</w:t>
            </w:r>
          </w:p>
        </w:tc>
        <w:tc>
          <w:tcPr>
            <w:tcW w:w="1281" w:type="dxa"/>
            <w:vAlign w:val="center"/>
          </w:tcPr>
          <w:p w14:paraId="186A26D3" w14:textId="58BD1609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99%</w:t>
            </w:r>
          </w:p>
        </w:tc>
        <w:tc>
          <w:tcPr>
            <w:tcW w:w="1532" w:type="dxa"/>
            <w:vAlign w:val="center"/>
          </w:tcPr>
          <w:p w14:paraId="6C61F942" w14:textId="6734F5AE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-1%</w:t>
            </w:r>
          </w:p>
        </w:tc>
        <w:tc>
          <w:tcPr>
            <w:tcW w:w="808" w:type="dxa"/>
            <w:vAlign w:val="center"/>
          </w:tcPr>
          <w:p w14:paraId="22BB6E8D" w14:textId="11F42C39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+2</w:t>
            </w:r>
          </w:p>
        </w:tc>
      </w:tr>
      <w:tr w:rsidR="00E6603B" w14:paraId="16E8B2C0" w14:textId="0B8CD591" w:rsidTr="00E6603B">
        <w:trPr>
          <w:trHeight w:val="451"/>
        </w:trPr>
        <w:tc>
          <w:tcPr>
            <w:tcW w:w="1325" w:type="dxa"/>
            <w:vAlign w:val="center"/>
          </w:tcPr>
          <w:p w14:paraId="24504A7B" w14:textId="7966A681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Music</w:t>
            </w:r>
          </w:p>
        </w:tc>
        <w:tc>
          <w:tcPr>
            <w:tcW w:w="1332" w:type="dxa"/>
            <w:vAlign w:val="center"/>
          </w:tcPr>
          <w:p w14:paraId="37461EC2" w14:textId="21730C16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94%</w:t>
            </w:r>
          </w:p>
        </w:tc>
        <w:tc>
          <w:tcPr>
            <w:tcW w:w="1332" w:type="dxa"/>
            <w:vAlign w:val="center"/>
          </w:tcPr>
          <w:p w14:paraId="1816DCA9" w14:textId="35DF4206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97%</w:t>
            </w:r>
          </w:p>
        </w:tc>
        <w:tc>
          <w:tcPr>
            <w:tcW w:w="1527" w:type="dxa"/>
            <w:vAlign w:val="center"/>
          </w:tcPr>
          <w:p w14:paraId="401BED40" w14:textId="3C15AE9F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235001">
              <w:rPr>
                <w:bCs w:val="0"/>
                <w:color w:val="FF0000"/>
              </w:rPr>
              <w:t>-3%</w:t>
            </w:r>
          </w:p>
        </w:tc>
        <w:tc>
          <w:tcPr>
            <w:tcW w:w="1319" w:type="dxa"/>
            <w:vAlign w:val="center"/>
          </w:tcPr>
          <w:p w14:paraId="07570B03" w14:textId="5B9AE3AF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97%</w:t>
            </w:r>
          </w:p>
        </w:tc>
        <w:tc>
          <w:tcPr>
            <w:tcW w:w="1281" w:type="dxa"/>
            <w:vAlign w:val="center"/>
          </w:tcPr>
          <w:p w14:paraId="73165423" w14:textId="1554D289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100%</w:t>
            </w:r>
          </w:p>
        </w:tc>
        <w:tc>
          <w:tcPr>
            <w:tcW w:w="1532" w:type="dxa"/>
            <w:vAlign w:val="center"/>
          </w:tcPr>
          <w:p w14:paraId="0D852575" w14:textId="14A4B471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-3%</w:t>
            </w:r>
          </w:p>
        </w:tc>
        <w:tc>
          <w:tcPr>
            <w:tcW w:w="808" w:type="dxa"/>
            <w:vAlign w:val="center"/>
          </w:tcPr>
          <w:p w14:paraId="34E9D3F3" w14:textId="5F51310A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FFC000"/>
              </w:rPr>
              <w:t>0</w:t>
            </w:r>
          </w:p>
        </w:tc>
      </w:tr>
      <w:tr w:rsidR="00E6603B" w14:paraId="342E2CFE" w14:textId="0974D491" w:rsidTr="00E6603B">
        <w:trPr>
          <w:trHeight w:val="451"/>
        </w:trPr>
        <w:tc>
          <w:tcPr>
            <w:tcW w:w="1325" w:type="dxa"/>
            <w:vAlign w:val="center"/>
          </w:tcPr>
          <w:p w14:paraId="781E3714" w14:textId="5D7D13E6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PE</w:t>
            </w:r>
          </w:p>
        </w:tc>
        <w:tc>
          <w:tcPr>
            <w:tcW w:w="1332" w:type="dxa"/>
            <w:vAlign w:val="center"/>
          </w:tcPr>
          <w:p w14:paraId="3A33F779" w14:textId="65750408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96%</w:t>
            </w:r>
          </w:p>
        </w:tc>
        <w:tc>
          <w:tcPr>
            <w:tcW w:w="1332" w:type="dxa"/>
            <w:vAlign w:val="center"/>
          </w:tcPr>
          <w:p w14:paraId="76A9A483" w14:textId="510E92D6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99%</w:t>
            </w:r>
          </w:p>
        </w:tc>
        <w:tc>
          <w:tcPr>
            <w:tcW w:w="1527" w:type="dxa"/>
            <w:vAlign w:val="center"/>
          </w:tcPr>
          <w:p w14:paraId="65192156" w14:textId="5A57D574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235001">
              <w:rPr>
                <w:bCs w:val="0"/>
                <w:color w:val="FF0000"/>
              </w:rPr>
              <w:t>-3%</w:t>
            </w:r>
          </w:p>
        </w:tc>
        <w:tc>
          <w:tcPr>
            <w:tcW w:w="1319" w:type="dxa"/>
            <w:vAlign w:val="center"/>
          </w:tcPr>
          <w:p w14:paraId="20E0FC5F" w14:textId="24813FE5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97%</w:t>
            </w:r>
          </w:p>
        </w:tc>
        <w:tc>
          <w:tcPr>
            <w:tcW w:w="1281" w:type="dxa"/>
            <w:vAlign w:val="center"/>
          </w:tcPr>
          <w:p w14:paraId="2B203CA7" w14:textId="0E93BA14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99%</w:t>
            </w:r>
          </w:p>
        </w:tc>
        <w:tc>
          <w:tcPr>
            <w:tcW w:w="1532" w:type="dxa"/>
            <w:vAlign w:val="center"/>
          </w:tcPr>
          <w:p w14:paraId="788876CF" w14:textId="475169F9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-</w:t>
            </w:r>
            <w:r w:rsidR="0058087D">
              <w:rPr>
                <w:bCs w:val="0"/>
                <w:color w:val="FF0000"/>
              </w:rPr>
              <w:t>2%</w:t>
            </w:r>
          </w:p>
        </w:tc>
        <w:tc>
          <w:tcPr>
            <w:tcW w:w="808" w:type="dxa"/>
            <w:vAlign w:val="center"/>
          </w:tcPr>
          <w:p w14:paraId="620B767F" w14:textId="5E544FE9" w:rsidR="00E6603B" w:rsidRDefault="00E6603B" w:rsidP="00E6603B">
            <w:pPr>
              <w:jc w:val="center"/>
              <w:rPr>
                <w:bCs w:val="0"/>
                <w:color w:val="FF0000"/>
              </w:rPr>
            </w:pPr>
            <w:r w:rsidRPr="00E6603B">
              <w:rPr>
                <w:bCs w:val="0"/>
                <w:color w:val="00B050"/>
              </w:rPr>
              <w:t>+</w:t>
            </w:r>
            <w:r w:rsidR="0058087D">
              <w:rPr>
                <w:bCs w:val="0"/>
                <w:color w:val="00B050"/>
              </w:rPr>
              <w:t>1</w:t>
            </w:r>
          </w:p>
        </w:tc>
      </w:tr>
      <w:tr w:rsidR="00E6603B" w14:paraId="50205AC7" w14:textId="6CCDCC56" w:rsidTr="00E6603B">
        <w:trPr>
          <w:trHeight w:val="451"/>
        </w:trPr>
        <w:tc>
          <w:tcPr>
            <w:tcW w:w="1325" w:type="dxa"/>
            <w:vAlign w:val="center"/>
          </w:tcPr>
          <w:p w14:paraId="6A80DB19" w14:textId="0F6233EB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PSHE</w:t>
            </w:r>
          </w:p>
        </w:tc>
        <w:tc>
          <w:tcPr>
            <w:tcW w:w="1332" w:type="dxa"/>
            <w:vAlign w:val="center"/>
          </w:tcPr>
          <w:p w14:paraId="6C622B37" w14:textId="335A3862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87%</w:t>
            </w:r>
          </w:p>
        </w:tc>
        <w:tc>
          <w:tcPr>
            <w:tcW w:w="1332" w:type="dxa"/>
            <w:vAlign w:val="center"/>
          </w:tcPr>
          <w:p w14:paraId="0D20D4B8" w14:textId="7973FE0E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89%</w:t>
            </w:r>
          </w:p>
        </w:tc>
        <w:tc>
          <w:tcPr>
            <w:tcW w:w="1527" w:type="dxa"/>
            <w:vAlign w:val="center"/>
          </w:tcPr>
          <w:p w14:paraId="3F8D5483" w14:textId="0CE6C6CD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235001">
              <w:rPr>
                <w:bCs w:val="0"/>
                <w:color w:val="FF0000"/>
              </w:rPr>
              <w:t>-2%</w:t>
            </w:r>
          </w:p>
        </w:tc>
        <w:tc>
          <w:tcPr>
            <w:tcW w:w="1319" w:type="dxa"/>
            <w:vAlign w:val="center"/>
          </w:tcPr>
          <w:p w14:paraId="65942323" w14:textId="3935FCFA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90%</w:t>
            </w:r>
          </w:p>
        </w:tc>
        <w:tc>
          <w:tcPr>
            <w:tcW w:w="1281" w:type="dxa"/>
            <w:vAlign w:val="center"/>
          </w:tcPr>
          <w:p w14:paraId="0295B639" w14:textId="3AB9D7D7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93%</w:t>
            </w:r>
          </w:p>
        </w:tc>
        <w:tc>
          <w:tcPr>
            <w:tcW w:w="1532" w:type="dxa"/>
            <w:vAlign w:val="center"/>
          </w:tcPr>
          <w:p w14:paraId="6B4C43EE" w14:textId="721AC920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-3%</w:t>
            </w:r>
          </w:p>
        </w:tc>
        <w:tc>
          <w:tcPr>
            <w:tcW w:w="808" w:type="dxa"/>
            <w:vAlign w:val="center"/>
          </w:tcPr>
          <w:p w14:paraId="2E24F628" w14:textId="73072BB2" w:rsidR="00E6603B" w:rsidRDefault="0058087D" w:rsidP="00E6603B">
            <w:pPr>
              <w:jc w:val="center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-1 </w:t>
            </w:r>
          </w:p>
        </w:tc>
      </w:tr>
      <w:tr w:rsidR="00E6603B" w14:paraId="1D19E54F" w14:textId="5B041A32" w:rsidTr="00E6603B">
        <w:trPr>
          <w:trHeight w:val="425"/>
        </w:trPr>
        <w:tc>
          <w:tcPr>
            <w:tcW w:w="1325" w:type="dxa"/>
            <w:vAlign w:val="center"/>
          </w:tcPr>
          <w:p w14:paraId="044763D5" w14:textId="720E8A30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RE</w:t>
            </w:r>
          </w:p>
        </w:tc>
        <w:tc>
          <w:tcPr>
            <w:tcW w:w="1332" w:type="dxa"/>
            <w:vAlign w:val="center"/>
          </w:tcPr>
          <w:p w14:paraId="41CD8632" w14:textId="7D756332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94%</w:t>
            </w:r>
          </w:p>
        </w:tc>
        <w:tc>
          <w:tcPr>
            <w:tcW w:w="1332" w:type="dxa"/>
            <w:vAlign w:val="center"/>
          </w:tcPr>
          <w:p w14:paraId="04A1FF43" w14:textId="3ED4B3B4" w:rsidR="00E6603B" w:rsidRDefault="00E6603B" w:rsidP="00E6603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97%</w:t>
            </w:r>
          </w:p>
        </w:tc>
        <w:tc>
          <w:tcPr>
            <w:tcW w:w="1527" w:type="dxa"/>
            <w:vAlign w:val="center"/>
          </w:tcPr>
          <w:p w14:paraId="55CA71AC" w14:textId="76F2FFD8" w:rsidR="00E6603B" w:rsidRPr="00235001" w:rsidRDefault="00E6603B" w:rsidP="00E6603B">
            <w:pPr>
              <w:jc w:val="center"/>
              <w:rPr>
                <w:bCs w:val="0"/>
                <w:color w:val="FF0000"/>
              </w:rPr>
            </w:pPr>
            <w:r w:rsidRPr="00235001">
              <w:rPr>
                <w:bCs w:val="0"/>
                <w:color w:val="FF0000"/>
              </w:rPr>
              <w:t>-3%</w:t>
            </w:r>
          </w:p>
        </w:tc>
        <w:tc>
          <w:tcPr>
            <w:tcW w:w="1319" w:type="dxa"/>
            <w:vAlign w:val="center"/>
          </w:tcPr>
          <w:p w14:paraId="5DB8BD41" w14:textId="4FA671A5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94%</w:t>
            </w:r>
          </w:p>
        </w:tc>
        <w:tc>
          <w:tcPr>
            <w:tcW w:w="1281" w:type="dxa"/>
            <w:vAlign w:val="center"/>
          </w:tcPr>
          <w:p w14:paraId="7236E541" w14:textId="190BDA5D" w:rsidR="00E6603B" w:rsidRPr="006C2AE6" w:rsidRDefault="0058087D" w:rsidP="00E6603B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94%</w:t>
            </w:r>
          </w:p>
        </w:tc>
        <w:tc>
          <w:tcPr>
            <w:tcW w:w="1532" w:type="dxa"/>
            <w:vAlign w:val="center"/>
          </w:tcPr>
          <w:p w14:paraId="3AFAF006" w14:textId="28A4E8D0" w:rsidR="00E6603B" w:rsidRPr="00235001" w:rsidRDefault="0058087D" w:rsidP="00E6603B">
            <w:pPr>
              <w:jc w:val="center"/>
              <w:rPr>
                <w:bCs w:val="0"/>
                <w:color w:val="FF0000"/>
              </w:rPr>
            </w:pPr>
            <w:r w:rsidRPr="0058087D">
              <w:rPr>
                <w:bCs w:val="0"/>
                <w:color w:val="00B050"/>
              </w:rPr>
              <w:t>0%</w:t>
            </w:r>
          </w:p>
        </w:tc>
        <w:tc>
          <w:tcPr>
            <w:tcW w:w="808" w:type="dxa"/>
            <w:vAlign w:val="center"/>
          </w:tcPr>
          <w:p w14:paraId="476DDCCF" w14:textId="612BAF12" w:rsidR="00E6603B" w:rsidRDefault="0058087D" w:rsidP="00E6603B">
            <w:pPr>
              <w:jc w:val="center"/>
              <w:rPr>
                <w:bCs w:val="0"/>
                <w:color w:val="FF0000"/>
              </w:rPr>
            </w:pPr>
            <w:r w:rsidRPr="0058087D">
              <w:rPr>
                <w:bCs w:val="0"/>
                <w:color w:val="00B050"/>
              </w:rPr>
              <w:t>+</w:t>
            </w:r>
            <w:r>
              <w:rPr>
                <w:bCs w:val="0"/>
                <w:color w:val="00B050"/>
              </w:rPr>
              <w:t>3</w:t>
            </w:r>
          </w:p>
        </w:tc>
      </w:tr>
    </w:tbl>
    <w:p w14:paraId="0F97450F" w14:textId="0D53E424" w:rsidR="002901CE" w:rsidRPr="003550CB" w:rsidRDefault="002901CE" w:rsidP="00BB6EC3">
      <w:pPr>
        <w:jc w:val="both"/>
        <w:rPr>
          <w:bCs w:val="0"/>
        </w:rPr>
      </w:pPr>
    </w:p>
    <w:p w14:paraId="592B0C9A" w14:textId="13407DFD" w:rsidR="00914CB5" w:rsidRDefault="00275A56" w:rsidP="00C35C28">
      <w:pPr>
        <w:rPr>
          <w:b/>
          <w:sz w:val="24"/>
        </w:rPr>
      </w:pPr>
      <w:r>
        <w:rPr>
          <w:b/>
          <w:sz w:val="24"/>
        </w:rPr>
        <w:t xml:space="preserve">Impact: </w:t>
      </w:r>
    </w:p>
    <w:p w14:paraId="444EBBAE" w14:textId="77777777" w:rsidR="00DA2DA6" w:rsidRDefault="00275A56" w:rsidP="00C35C28">
      <w:pPr>
        <w:rPr>
          <w:bCs w:val="0"/>
          <w:sz w:val="24"/>
        </w:rPr>
      </w:pPr>
      <w:r w:rsidRPr="00DA2DA6">
        <w:rPr>
          <w:bCs w:val="0"/>
          <w:sz w:val="24"/>
        </w:rPr>
        <w:t>In nine of the foundation subject areas the gap between PPP and NPP has reduced. In Music the gap has remained the same. In PSHE the gap has increased by 1% - this is likely to be caused by the ongoing impact of Covid -19.</w:t>
      </w:r>
    </w:p>
    <w:p w14:paraId="2C2E07E3" w14:textId="101ABDE7" w:rsidR="00275A56" w:rsidRDefault="00275A56" w:rsidP="00C35C28">
      <w:pPr>
        <w:rPr>
          <w:b/>
          <w:sz w:val="24"/>
        </w:rPr>
      </w:pPr>
      <w:r w:rsidRPr="00DA2DA6">
        <w:rPr>
          <w:bCs w:val="0"/>
          <w:sz w:val="24"/>
        </w:rPr>
        <w:t xml:space="preserve"> </w:t>
      </w:r>
      <w:r w:rsidRPr="00DA2DA6">
        <w:rPr>
          <w:b/>
          <w:sz w:val="24"/>
        </w:rPr>
        <w:t xml:space="preserve">PSHE will become a key area of school focus for the academic year 2021/22. </w:t>
      </w:r>
    </w:p>
    <w:p w14:paraId="6CF40B7A" w14:textId="77777777" w:rsidR="00AC0E66" w:rsidRPr="00DA2DA6" w:rsidRDefault="00AC0E66" w:rsidP="00C35C28">
      <w:pPr>
        <w:rPr>
          <w:b/>
          <w:sz w:val="24"/>
        </w:rPr>
      </w:pPr>
    </w:p>
    <w:p w14:paraId="101F1109" w14:textId="77777777" w:rsidR="00AC0E66" w:rsidRDefault="00AC0E66" w:rsidP="00AC0E66">
      <w:pPr>
        <w:jc w:val="center"/>
        <w:rPr>
          <w:bCs w:val="0"/>
          <w:sz w:val="24"/>
          <w:u w:val="single"/>
        </w:rPr>
      </w:pPr>
    </w:p>
    <w:p w14:paraId="4F613F00" w14:textId="77777777" w:rsidR="00AC0E66" w:rsidRDefault="00AC0E66" w:rsidP="00AC0E66">
      <w:pPr>
        <w:jc w:val="center"/>
        <w:rPr>
          <w:bCs w:val="0"/>
          <w:sz w:val="24"/>
          <w:u w:val="single"/>
        </w:rPr>
      </w:pPr>
    </w:p>
    <w:p w14:paraId="7A103190" w14:textId="77777777" w:rsidR="00AC0E66" w:rsidRDefault="00AC0E66" w:rsidP="00AC0E66">
      <w:pPr>
        <w:jc w:val="center"/>
        <w:rPr>
          <w:bCs w:val="0"/>
          <w:sz w:val="24"/>
          <w:u w:val="single"/>
        </w:rPr>
      </w:pPr>
    </w:p>
    <w:p w14:paraId="72079CA5" w14:textId="77777777" w:rsidR="00AC0E66" w:rsidRDefault="00AC0E66" w:rsidP="00AC0E66">
      <w:pPr>
        <w:jc w:val="center"/>
        <w:rPr>
          <w:bCs w:val="0"/>
          <w:sz w:val="24"/>
          <w:u w:val="single"/>
        </w:rPr>
      </w:pPr>
    </w:p>
    <w:p w14:paraId="1C2C43BF" w14:textId="77777777" w:rsidR="00AC0E66" w:rsidRDefault="00AC0E66" w:rsidP="00AC0E66">
      <w:pPr>
        <w:jc w:val="center"/>
        <w:rPr>
          <w:bCs w:val="0"/>
          <w:sz w:val="24"/>
          <w:u w:val="single"/>
        </w:rPr>
      </w:pPr>
    </w:p>
    <w:p w14:paraId="63CDFDE1" w14:textId="77777777" w:rsidR="00AC0E66" w:rsidRDefault="00AC0E66" w:rsidP="00AC0E66">
      <w:pPr>
        <w:jc w:val="center"/>
        <w:rPr>
          <w:bCs w:val="0"/>
          <w:sz w:val="24"/>
          <w:u w:val="single"/>
        </w:rPr>
      </w:pPr>
    </w:p>
    <w:p w14:paraId="07BFC691" w14:textId="692FA4B1" w:rsidR="00DA2DA6" w:rsidRPr="00DA2DA6" w:rsidRDefault="00DA2DA6" w:rsidP="00AC0E66">
      <w:pPr>
        <w:jc w:val="center"/>
        <w:rPr>
          <w:bCs w:val="0"/>
          <w:sz w:val="24"/>
          <w:u w:val="single"/>
        </w:rPr>
      </w:pPr>
      <w:r w:rsidRPr="00DA2DA6">
        <w:rPr>
          <w:bCs w:val="0"/>
          <w:sz w:val="24"/>
          <w:u w:val="single"/>
        </w:rPr>
        <w:lastRenderedPageBreak/>
        <w:t>Year 7 Catch Up Funding Pupil Progress – Core Subjects</w:t>
      </w:r>
    </w:p>
    <w:p w14:paraId="633169A3" w14:textId="3C7B1BE5" w:rsidR="00DA2DA6" w:rsidRPr="00DA2DA6" w:rsidRDefault="00DA2DA6" w:rsidP="00DA2DA6">
      <w:pPr>
        <w:rPr>
          <w:b/>
          <w:sz w:val="24"/>
        </w:rPr>
      </w:pPr>
      <w:r w:rsidRPr="00DA2DA6">
        <w:rPr>
          <w:b/>
          <w:sz w:val="24"/>
        </w:rPr>
        <w:t xml:space="preserve">Year 7 Catch Up: To manage the Year 7 catch up fund effectively to ensure that </w:t>
      </w:r>
      <w:r w:rsidR="002E4B0F">
        <w:rPr>
          <w:b/>
          <w:sz w:val="24"/>
        </w:rPr>
        <w:t>100%</w:t>
      </w:r>
      <w:r w:rsidRPr="00DA2DA6">
        <w:rPr>
          <w:b/>
          <w:sz w:val="24"/>
        </w:rPr>
        <w:t xml:space="preserve"> of the Year 7 pupils make </w:t>
      </w:r>
      <w:r w:rsidR="002E4B0F">
        <w:rPr>
          <w:b/>
          <w:sz w:val="24"/>
        </w:rPr>
        <w:t xml:space="preserve">at least expected progress. </w:t>
      </w:r>
      <w:r w:rsidRPr="00DA2DA6">
        <w:rPr>
          <w:b/>
          <w:sz w:val="24"/>
        </w:rPr>
        <w:t xml:space="preserve"> </w:t>
      </w:r>
    </w:p>
    <w:p w14:paraId="6FA29112" w14:textId="3771B6F1" w:rsidR="00275A56" w:rsidRDefault="00AC0E66" w:rsidP="00AC0E66">
      <w:pPr>
        <w:jc w:val="center"/>
        <w:rPr>
          <w:bCs w:val="0"/>
          <w:sz w:val="24"/>
        </w:rPr>
      </w:pPr>
      <w:r w:rsidRPr="00AC0E66">
        <w:rPr>
          <w:bCs w:val="0"/>
          <w:sz w:val="24"/>
        </w:rPr>
        <w:t>The Year 7 Sample for 20</w:t>
      </w:r>
      <w:r>
        <w:rPr>
          <w:bCs w:val="0"/>
          <w:sz w:val="24"/>
        </w:rPr>
        <w:t>20</w:t>
      </w:r>
      <w:r w:rsidRPr="00AC0E66">
        <w:rPr>
          <w:bCs w:val="0"/>
          <w:sz w:val="24"/>
        </w:rPr>
        <w:t>/202</w:t>
      </w:r>
      <w:r>
        <w:rPr>
          <w:bCs w:val="0"/>
          <w:sz w:val="24"/>
        </w:rPr>
        <w:t>1</w:t>
      </w:r>
      <w:r w:rsidRPr="00AC0E66">
        <w:rPr>
          <w:bCs w:val="0"/>
          <w:sz w:val="24"/>
        </w:rPr>
        <w:t xml:space="preserve"> was </w:t>
      </w:r>
      <w:r>
        <w:rPr>
          <w:bCs w:val="0"/>
          <w:sz w:val="24"/>
        </w:rPr>
        <w:t>37</w:t>
      </w:r>
      <w:r w:rsidRPr="00AC0E66">
        <w:rPr>
          <w:bCs w:val="0"/>
          <w:sz w:val="24"/>
        </w:rPr>
        <w:t xml:space="preserve"> pupils. </w:t>
      </w:r>
      <w:r w:rsidR="00821634" w:rsidRPr="00AC0E66">
        <w:rPr>
          <w:bCs w:val="0"/>
          <w:sz w:val="24"/>
        </w:rPr>
        <w:t>All</w:t>
      </w:r>
      <w:r w:rsidRPr="00AC0E66">
        <w:rPr>
          <w:bCs w:val="0"/>
          <w:sz w:val="24"/>
        </w:rPr>
        <w:t xml:space="preserve"> the</w:t>
      </w:r>
      <w:r>
        <w:rPr>
          <w:bCs w:val="0"/>
          <w:sz w:val="24"/>
        </w:rPr>
        <w:t>se</w:t>
      </w:r>
      <w:r w:rsidRPr="00AC0E66">
        <w:rPr>
          <w:bCs w:val="0"/>
          <w:sz w:val="24"/>
        </w:rPr>
        <w:t xml:space="preserve"> pupils were entitled to catch up funding. </w:t>
      </w:r>
    </w:p>
    <w:p w14:paraId="34715184" w14:textId="465BDABD" w:rsidR="00AC0E66" w:rsidRDefault="00AC0E66" w:rsidP="00AC0E66">
      <w:pPr>
        <w:jc w:val="center"/>
        <w:rPr>
          <w:bCs w:val="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3261"/>
      </w:tblGrid>
      <w:tr w:rsidR="00966E03" w14:paraId="59DF844F" w14:textId="77777777" w:rsidTr="00B86420">
        <w:trPr>
          <w:jc w:val="center"/>
        </w:trPr>
        <w:tc>
          <w:tcPr>
            <w:tcW w:w="1413" w:type="dxa"/>
          </w:tcPr>
          <w:p w14:paraId="5B97203A" w14:textId="77777777" w:rsidR="00966E03" w:rsidRDefault="00966E03" w:rsidP="003662CA">
            <w:pPr>
              <w:spacing w:line="360" w:lineRule="auto"/>
              <w:jc w:val="both"/>
              <w:rPr>
                <w:b/>
                <w:sz w:val="24"/>
              </w:rPr>
            </w:pPr>
            <w:bookmarkStart w:id="2" w:name="_Hlk82171152"/>
          </w:p>
        </w:tc>
        <w:tc>
          <w:tcPr>
            <w:tcW w:w="3118" w:type="dxa"/>
            <w:shd w:val="clear" w:color="auto" w:fill="auto"/>
          </w:tcPr>
          <w:p w14:paraId="4FBC3493" w14:textId="6C7AEEE6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7 Pupils- combined expected and above </w:t>
            </w:r>
          </w:p>
        </w:tc>
        <w:tc>
          <w:tcPr>
            <w:tcW w:w="3261" w:type="dxa"/>
            <w:shd w:val="clear" w:color="auto" w:fill="auto"/>
          </w:tcPr>
          <w:p w14:paraId="0239CDA3" w14:textId="48217A86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 pupils - combined expected and above </w:t>
            </w:r>
          </w:p>
        </w:tc>
      </w:tr>
      <w:tr w:rsidR="00966E03" w14:paraId="49E15975" w14:textId="77777777" w:rsidTr="00B86420">
        <w:trPr>
          <w:trHeight w:val="906"/>
          <w:jc w:val="center"/>
        </w:trPr>
        <w:tc>
          <w:tcPr>
            <w:tcW w:w="1413" w:type="dxa"/>
          </w:tcPr>
          <w:p w14:paraId="6EE3B385" w14:textId="69F1CBC1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Reading </w:t>
            </w:r>
          </w:p>
        </w:tc>
        <w:tc>
          <w:tcPr>
            <w:tcW w:w="3118" w:type="dxa"/>
          </w:tcPr>
          <w:p w14:paraId="219A4BDF" w14:textId="7777777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13035983" w14:textId="17DA87EA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100% </w:t>
            </w:r>
          </w:p>
        </w:tc>
        <w:tc>
          <w:tcPr>
            <w:tcW w:w="3261" w:type="dxa"/>
          </w:tcPr>
          <w:p w14:paraId="155DD923" w14:textId="169C39EA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0FD63EF2" w14:textId="33A5154F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95%</w:t>
            </w:r>
          </w:p>
        </w:tc>
      </w:tr>
      <w:tr w:rsidR="00966E03" w14:paraId="4E78EC8C" w14:textId="77777777" w:rsidTr="00B86420">
        <w:trPr>
          <w:jc w:val="center"/>
        </w:trPr>
        <w:tc>
          <w:tcPr>
            <w:tcW w:w="1413" w:type="dxa"/>
          </w:tcPr>
          <w:p w14:paraId="6531B385" w14:textId="377121EA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Writing </w:t>
            </w:r>
          </w:p>
        </w:tc>
        <w:tc>
          <w:tcPr>
            <w:tcW w:w="3118" w:type="dxa"/>
          </w:tcPr>
          <w:p w14:paraId="4075D52E" w14:textId="5E2B51C9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08DA608C" w14:textId="36758806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97%</w:t>
            </w:r>
          </w:p>
        </w:tc>
        <w:tc>
          <w:tcPr>
            <w:tcW w:w="3261" w:type="dxa"/>
          </w:tcPr>
          <w:p w14:paraId="3D82A1A4" w14:textId="7777777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43A47DB9" w14:textId="6064016F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90%</w:t>
            </w:r>
          </w:p>
        </w:tc>
      </w:tr>
      <w:tr w:rsidR="00966E03" w14:paraId="4510564C" w14:textId="77777777" w:rsidTr="00B86420">
        <w:trPr>
          <w:jc w:val="center"/>
        </w:trPr>
        <w:tc>
          <w:tcPr>
            <w:tcW w:w="1413" w:type="dxa"/>
          </w:tcPr>
          <w:p w14:paraId="08524E12" w14:textId="419C324F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Speaking and Listening </w:t>
            </w:r>
          </w:p>
        </w:tc>
        <w:tc>
          <w:tcPr>
            <w:tcW w:w="3118" w:type="dxa"/>
          </w:tcPr>
          <w:p w14:paraId="26322F38" w14:textId="6392856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5889C754" w14:textId="67A4A2DB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92%</w:t>
            </w:r>
          </w:p>
        </w:tc>
        <w:tc>
          <w:tcPr>
            <w:tcW w:w="3261" w:type="dxa"/>
          </w:tcPr>
          <w:p w14:paraId="19055FD4" w14:textId="7777777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38B0C399" w14:textId="026F1B95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89%</w:t>
            </w:r>
          </w:p>
        </w:tc>
      </w:tr>
      <w:tr w:rsidR="00966E03" w14:paraId="3F6AB53D" w14:textId="77777777" w:rsidTr="00B86420">
        <w:trPr>
          <w:jc w:val="center"/>
        </w:trPr>
        <w:tc>
          <w:tcPr>
            <w:tcW w:w="1413" w:type="dxa"/>
          </w:tcPr>
          <w:p w14:paraId="46C432A2" w14:textId="77777777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</w:t>
            </w:r>
          </w:p>
          <w:p w14:paraId="19BC32E7" w14:textId="27D2383D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14:paraId="49143521" w14:textId="603AE97D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63F99637" w14:textId="2B69E09E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97%</w:t>
            </w:r>
          </w:p>
        </w:tc>
        <w:tc>
          <w:tcPr>
            <w:tcW w:w="3261" w:type="dxa"/>
          </w:tcPr>
          <w:p w14:paraId="3E12F57E" w14:textId="7777777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7904B510" w14:textId="509195A3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96%</w:t>
            </w:r>
          </w:p>
        </w:tc>
      </w:tr>
      <w:tr w:rsidR="00966E03" w14:paraId="5072CC87" w14:textId="77777777" w:rsidTr="00B86420">
        <w:trPr>
          <w:jc w:val="center"/>
        </w:trPr>
        <w:tc>
          <w:tcPr>
            <w:tcW w:w="1413" w:type="dxa"/>
          </w:tcPr>
          <w:p w14:paraId="7602A10D" w14:textId="551E6E23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Shape, Space and Measures </w:t>
            </w:r>
          </w:p>
        </w:tc>
        <w:tc>
          <w:tcPr>
            <w:tcW w:w="3118" w:type="dxa"/>
          </w:tcPr>
          <w:p w14:paraId="764712E6" w14:textId="0E46E37B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5DE9759E" w14:textId="44600B56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92%</w:t>
            </w:r>
          </w:p>
        </w:tc>
        <w:tc>
          <w:tcPr>
            <w:tcW w:w="3261" w:type="dxa"/>
          </w:tcPr>
          <w:p w14:paraId="6E185BA5" w14:textId="7777777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60521F04" w14:textId="7C2671A4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89%</w:t>
            </w:r>
          </w:p>
        </w:tc>
      </w:tr>
      <w:tr w:rsidR="00966E03" w14:paraId="2B2899E7" w14:textId="77777777" w:rsidTr="00B86420">
        <w:trPr>
          <w:jc w:val="center"/>
        </w:trPr>
        <w:tc>
          <w:tcPr>
            <w:tcW w:w="1413" w:type="dxa"/>
          </w:tcPr>
          <w:p w14:paraId="2826CD27" w14:textId="0A83A778" w:rsidR="00966E03" w:rsidRDefault="00966E03" w:rsidP="003662C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and Applying </w:t>
            </w:r>
          </w:p>
        </w:tc>
        <w:tc>
          <w:tcPr>
            <w:tcW w:w="3118" w:type="dxa"/>
          </w:tcPr>
          <w:p w14:paraId="0B6CCC02" w14:textId="7777777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73990A43" w14:textId="339FB91F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3261" w:type="dxa"/>
          </w:tcPr>
          <w:p w14:paraId="1AF5817A" w14:textId="77777777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1848AAC0" w14:textId="69E2A234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94%</w:t>
            </w:r>
          </w:p>
          <w:p w14:paraId="512B95EA" w14:textId="3A884194" w:rsidR="00966E03" w:rsidRDefault="00966E03" w:rsidP="00B8642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bookmarkEnd w:id="2"/>
    </w:tbl>
    <w:p w14:paraId="4CE359EE" w14:textId="401809B4" w:rsidR="00AC0E66" w:rsidRDefault="00AC0E66" w:rsidP="00AC0E66">
      <w:pPr>
        <w:jc w:val="center"/>
        <w:rPr>
          <w:bCs w:val="0"/>
          <w:sz w:val="24"/>
        </w:rPr>
      </w:pPr>
    </w:p>
    <w:p w14:paraId="7539226B" w14:textId="14526864" w:rsidR="00966E03" w:rsidRPr="00AC0E66" w:rsidRDefault="00966E03" w:rsidP="00AC0E66">
      <w:pPr>
        <w:jc w:val="center"/>
        <w:rPr>
          <w:bCs w:val="0"/>
          <w:sz w:val="24"/>
        </w:rPr>
      </w:pPr>
      <w:r>
        <w:rPr>
          <w:bCs w:val="0"/>
          <w:sz w:val="24"/>
        </w:rPr>
        <w:t xml:space="preserve">The data shows the Year 7 catch up funding has been used effectively to support the Year 7 pupils in English and maths. As a group they have achieve above average progress when compared to the whole school cohort. </w:t>
      </w:r>
    </w:p>
    <w:sectPr w:rsidR="00966E03" w:rsidRPr="00AC0E66" w:rsidSect="00CB58C3">
      <w:footerReference w:type="default" r:id="rId15"/>
      <w:pgSz w:w="11906" w:h="16838" w:code="9"/>
      <w:pgMar w:top="720" w:right="720" w:bottom="720" w:left="720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DFCA" w14:textId="77777777" w:rsidR="0016591D" w:rsidRDefault="0016591D" w:rsidP="00F9641D">
      <w:pPr>
        <w:spacing w:after="0" w:line="240" w:lineRule="auto"/>
      </w:pPr>
      <w:r>
        <w:separator/>
      </w:r>
    </w:p>
  </w:endnote>
  <w:endnote w:type="continuationSeparator" w:id="0">
    <w:p w14:paraId="162A9E96" w14:textId="77777777" w:rsidR="0016591D" w:rsidRDefault="0016591D" w:rsidP="00F9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Uni Sans Heavy CAPS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Uni Sans Thin CAPS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453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66C1" w14:textId="77777777" w:rsidR="00C815D9" w:rsidRDefault="00C815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8FFC9" w14:textId="77777777" w:rsidR="00C815D9" w:rsidRDefault="00C8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7DD2" w14:textId="77777777" w:rsidR="0016591D" w:rsidRDefault="0016591D" w:rsidP="00F9641D">
      <w:pPr>
        <w:spacing w:after="0" w:line="240" w:lineRule="auto"/>
      </w:pPr>
      <w:r>
        <w:separator/>
      </w:r>
    </w:p>
  </w:footnote>
  <w:footnote w:type="continuationSeparator" w:id="0">
    <w:p w14:paraId="50A5AEB5" w14:textId="77777777" w:rsidR="0016591D" w:rsidRDefault="0016591D" w:rsidP="00F9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533"/>
    <w:multiLevelType w:val="hybridMultilevel"/>
    <w:tmpl w:val="E8B4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EED"/>
    <w:multiLevelType w:val="hybridMultilevel"/>
    <w:tmpl w:val="318C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040"/>
    <w:multiLevelType w:val="hybridMultilevel"/>
    <w:tmpl w:val="14D8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677C"/>
    <w:multiLevelType w:val="hybridMultilevel"/>
    <w:tmpl w:val="89C4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2550"/>
    <w:multiLevelType w:val="hybridMultilevel"/>
    <w:tmpl w:val="5E70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457E"/>
    <w:multiLevelType w:val="hybridMultilevel"/>
    <w:tmpl w:val="4EB4A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4422"/>
    <w:multiLevelType w:val="hybridMultilevel"/>
    <w:tmpl w:val="0C742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9C7"/>
    <w:multiLevelType w:val="hybridMultilevel"/>
    <w:tmpl w:val="3B2E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3344"/>
    <w:multiLevelType w:val="hybridMultilevel"/>
    <w:tmpl w:val="EA64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F71EE"/>
    <w:multiLevelType w:val="hybridMultilevel"/>
    <w:tmpl w:val="1DE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E7B"/>
    <w:multiLevelType w:val="hybridMultilevel"/>
    <w:tmpl w:val="2AD0FB96"/>
    <w:lvl w:ilvl="0" w:tplc="6A944686">
      <w:start w:val="1"/>
      <w:numFmt w:val="decimal"/>
      <w:lvlText w:val="%1."/>
      <w:lvlJc w:val="left"/>
      <w:pPr>
        <w:ind w:left="720" w:hanging="360"/>
      </w:pPr>
      <w:rPr>
        <w:rFonts w:ascii="Bahnschrift Light" w:eastAsiaTheme="minorHAnsi" w:hAnsi="Bahnschrift Light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66C0"/>
    <w:multiLevelType w:val="hybridMultilevel"/>
    <w:tmpl w:val="55B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90AE5"/>
    <w:multiLevelType w:val="hybridMultilevel"/>
    <w:tmpl w:val="48AC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DB"/>
    <w:rsid w:val="00006F31"/>
    <w:rsid w:val="000175BA"/>
    <w:rsid w:val="000222CB"/>
    <w:rsid w:val="00037E00"/>
    <w:rsid w:val="00042853"/>
    <w:rsid w:val="00085813"/>
    <w:rsid w:val="00090679"/>
    <w:rsid w:val="000B2F25"/>
    <w:rsid w:val="000E7DF7"/>
    <w:rsid w:val="00110264"/>
    <w:rsid w:val="00154C2E"/>
    <w:rsid w:val="0016591D"/>
    <w:rsid w:val="001910C4"/>
    <w:rsid w:val="00235001"/>
    <w:rsid w:val="00265C28"/>
    <w:rsid w:val="00275A56"/>
    <w:rsid w:val="002870ED"/>
    <w:rsid w:val="002901CE"/>
    <w:rsid w:val="002916E2"/>
    <w:rsid w:val="002D531F"/>
    <w:rsid w:val="002E1DC5"/>
    <w:rsid w:val="002E4B0F"/>
    <w:rsid w:val="003214DB"/>
    <w:rsid w:val="00335222"/>
    <w:rsid w:val="00337796"/>
    <w:rsid w:val="003550CB"/>
    <w:rsid w:val="0043617D"/>
    <w:rsid w:val="0045234E"/>
    <w:rsid w:val="00485F6A"/>
    <w:rsid w:val="004B18C2"/>
    <w:rsid w:val="00532F76"/>
    <w:rsid w:val="00543DD4"/>
    <w:rsid w:val="00563CFF"/>
    <w:rsid w:val="0058087D"/>
    <w:rsid w:val="00581438"/>
    <w:rsid w:val="005854C9"/>
    <w:rsid w:val="00592F66"/>
    <w:rsid w:val="005A32B3"/>
    <w:rsid w:val="005A784C"/>
    <w:rsid w:val="005B3CBC"/>
    <w:rsid w:val="005B4991"/>
    <w:rsid w:val="005D1DD0"/>
    <w:rsid w:val="0060323E"/>
    <w:rsid w:val="00616B81"/>
    <w:rsid w:val="00680A8D"/>
    <w:rsid w:val="006A7449"/>
    <w:rsid w:val="006C2AE6"/>
    <w:rsid w:val="006D6F23"/>
    <w:rsid w:val="007045FF"/>
    <w:rsid w:val="007333F5"/>
    <w:rsid w:val="00777D4F"/>
    <w:rsid w:val="007864AB"/>
    <w:rsid w:val="00792B54"/>
    <w:rsid w:val="00821634"/>
    <w:rsid w:val="00821905"/>
    <w:rsid w:val="00881E04"/>
    <w:rsid w:val="008C08EB"/>
    <w:rsid w:val="008C0FA8"/>
    <w:rsid w:val="00914CB5"/>
    <w:rsid w:val="00966DFE"/>
    <w:rsid w:val="00966E03"/>
    <w:rsid w:val="00972EEC"/>
    <w:rsid w:val="00973353"/>
    <w:rsid w:val="00992706"/>
    <w:rsid w:val="009A52A1"/>
    <w:rsid w:val="009A6E12"/>
    <w:rsid w:val="009C6C22"/>
    <w:rsid w:val="009E0FB9"/>
    <w:rsid w:val="00A12843"/>
    <w:rsid w:val="00A3274C"/>
    <w:rsid w:val="00A94297"/>
    <w:rsid w:val="00AA68E7"/>
    <w:rsid w:val="00AB627B"/>
    <w:rsid w:val="00AC0E66"/>
    <w:rsid w:val="00AC27AE"/>
    <w:rsid w:val="00AD5A64"/>
    <w:rsid w:val="00B21E4A"/>
    <w:rsid w:val="00B86420"/>
    <w:rsid w:val="00BB6EC3"/>
    <w:rsid w:val="00C01483"/>
    <w:rsid w:val="00C10404"/>
    <w:rsid w:val="00C24EE8"/>
    <w:rsid w:val="00C335DB"/>
    <w:rsid w:val="00C35C28"/>
    <w:rsid w:val="00C4646F"/>
    <w:rsid w:val="00C60EA6"/>
    <w:rsid w:val="00C67370"/>
    <w:rsid w:val="00C73819"/>
    <w:rsid w:val="00C815D9"/>
    <w:rsid w:val="00CB58C3"/>
    <w:rsid w:val="00CD57E0"/>
    <w:rsid w:val="00CE73C7"/>
    <w:rsid w:val="00D41E7C"/>
    <w:rsid w:val="00DA2DA6"/>
    <w:rsid w:val="00DA6D89"/>
    <w:rsid w:val="00DE3607"/>
    <w:rsid w:val="00DF21C9"/>
    <w:rsid w:val="00DF6789"/>
    <w:rsid w:val="00E02BEB"/>
    <w:rsid w:val="00E50000"/>
    <w:rsid w:val="00E54F97"/>
    <w:rsid w:val="00E55735"/>
    <w:rsid w:val="00E641B7"/>
    <w:rsid w:val="00E6603B"/>
    <w:rsid w:val="00EC5287"/>
    <w:rsid w:val="00F3506F"/>
    <w:rsid w:val="00F46B10"/>
    <w:rsid w:val="00F51814"/>
    <w:rsid w:val="00F56B68"/>
    <w:rsid w:val="00F9641D"/>
    <w:rsid w:val="00FD4745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6B95"/>
  <w15:chartTrackingRefBased/>
  <w15:docId w15:val="{5A96761B-F355-4C90-85FF-533E96F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hnschrift" w:eastAsiaTheme="minorHAnsi" w:hAnsi="Bahnschrift" w:cstheme="minorBidi"/>
        <w:bCs/>
        <w:color w:val="000000" w:themeColor="text1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5DB"/>
    <w:pPr>
      <w:autoSpaceDE w:val="0"/>
      <w:autoSpaceDN w:val="0"/>
      <w:adjustRightInd w:val="0"/>
      <w:spacing w:after="0" w:line="240" w:lineRule="auto"/>
    </w:pPr>
    <w:rPr>
      <w:rFonts w:cs="Bahnschrift"/>
      <w:color w:val="000000"/>
      <w:sz w:val="24"/>
    </w:rPr>
  </w:style>
  <w:style w:type="table" w:styleId="TableGrid">
    <w:name w:val="Table Grid"/>
    <w:basedOn w:val="TableNormal"/>
    <w:uiPriority w:val="39"/>
    <w:rsid w:val="00F5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1D"/>
  </w:style>
  <w:style w:type="paragraph" w:styleId="Footer">
    <w:name w:val="footer"/>
    <w:basedOn w:val="Normal"/>
    <w:link w:val="FooterChar"/>
    <w:uiPriority w:val="99"/>
    <w:unhideWhenUsed/>
    <w:rsid w:val="00F9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1D"/>
  </w:style>
  <w:style w:type="character" w:styleId="Hyperlink">
    <w:name w:val="Hyperlink"/>
    <w:basedOn w:val="DefaultParagraphFont"/>
    <w:uiPriority w:val="99"/>
    <w:unhideWhenUsed/>
    <w:rsid w:val="00972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cationendowmentfoundation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 (Grange)</dc:creator>
  <cp:keywords/>
  <dc:description/>
  <cp:lastModifiedBy>Andrew Richardson-Rafey</cp:lastModifiedBy>
  <cp:revision>2</cp:revision>
  <dcterms:created xsi:type="dcterms:W3CDTF">2021-09-13T13:30:00Z</dcterms:created>
  <dcterms:modified xsi:type="dcterms:W3CDTF">2021-09-13T13:30:00Z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410248874</vt:i4>
  </property>
  <property fmtid="{D5CDD505-2E9C-101B-9397-08002B2CF9AE}" pid="3" name="_NewReviewCycle">
    <vt:lpwstr/>
  </property>
  <property fmtid="{D5CDD505-2E9C-101B-9397-08002B2CF9AE}" pid="4" name="_EmailSubject">
    <vt:lpwstr>PP </vt:lpwstr>
  </property>
  <property fmtid="{D5CDD505-2E9C-101B-9397-08002B2CF9AE}" pid="5" name="_AuthorEmail">
    <vt:lpwstr>j.jones@grange.manchester.sch.uk</vt:lpwstr>
  </property>
  <property fmtid="{D5CDD505-2E9C-101B-9397-08002B2CF9AE}" pid="6" name="_AuthorEmailDisplayName">
    <vt:lpwstr>Jane Jones (Grange)</vt:lpwstr>
  </property>
  <property fmtid="{D5CDD505-2E9C-101B-9397-08002B2CF9AE}" pid="7" name="_ReviewingToolsShownOnce">
    <vt:lpwstr/>
  </property>
</Properties>
</file>