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957E6" w:rsidRDefault="00661EDF">
      <w:pPr>
        <w:pStyle w:val="Normal0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Yr</w:t>
      </w:r>
      <w:proofErr w:type="spellEnd"/>
      <w:r>
        <w:rPr>
          <w:b/>
          <w:sz w:val="36"/>
          <w:szCs w:val="36"/>
          <w:u w:val="single"/>
        </w:rPr>
        <w:t xml:space="preserve"> 11 Food Preparation and Nutrition Mock Revision Guidance</w:t>
      </w:r>
    </w:p>
    <w:tbl>
      <w:tblPr>
        <w:tblStyle w:val="a"/>
        <w:tblW w:w="102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0"/>
      </w:tblGrid>
      <w:tr w:rsidR="00A957E6" w14:paraId="5F92866A" w14:textId="77777777" w:rsidTr="75B8DA86">
        <w:trPr>
          <w:trHeight w:val="347"/>
        </w:trPr>
        <w:tc>
          <w:tcPr>
            <w:tcW w:w="10260" w:type="dxa"/>
            <w:shd w:val="clear" w:color="auto" w:fill="auto"/>
          </w:tcPr>
          <w:p w14:paraId="00000002" w14:textId="77777777" w:rsidR="00A957E6" w:rsidRDefault="00661EDF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 Board: AQA</w:t>
            </w:r>
          </w:p>
        </w:tc>
      </w:tr>
      <w:tr w:rsidR="00A957E6" w14:paraId="71CCEF2F" w14:textId="77777777" w:rsidTr="75B8DA86">
        <w:trPr>
          <w:trHeight w:val="347"/>
        </w:trPr>
        <w:tc>
          <w:tcPr>
            <w:tcW w:w="10260" w:type="dxa"/>
            <w:shd w:val="clear" w:color="auto" w:fill="auto"/>
          </w:tcPr>
          <w:p w14:paraId="00000003" w14:textId="69DFCF33" w:rsidR="00A957E6" w:rsidRDefault="7F20B802" w:rsidP="7F20B802">
            <w:pPr>
              <w:pStyle w:val="Normal0"/>
              <w:jc w:val="center"/>
              <w:rPr>
                <w:b/>
                <w:bCs/>
                <w:sz w:val="28"/>
                <w:szCs w:val="28"/>
              </w:rPr>
            </w:pPr>
            <w:r w:rsidRPr="7F20B802">
              <w:rPr>
                <w:b/>
                <w:bCs/>
                <w:sz w:val="28"/>
                <w:szCs w:val="28"/>
              </w:rPr>
              <w:t xml:space="preserve">March Mock Exam Paper </w:t>
            </w:r>
          </w:p>
        </w:tc>
      </w:tr>
      <w:tr w:rsidR="00A957E6" w14:paraId="65459514" w14:textId="77777777" w:rsidTr="75B8DA86">
        <w:trPr>
          <w:trHeight w:val="5016"/>
        </w:trPr>
        <w:tc>
          <w:tcPr>
            <w:tcW w:w="10260" w:type="dxa"/>
            <w:shd w:val="clear" w:color="auto" w:fill="auto"/>
          </w:tcPr>
          <w:p w14:paraId="00000004" w14:textId="77777777" w:rsidR="00A957E6" w:rsidRDefault="00A957E6">
            <w:pPr>
              <w:pStyle w:val="Normal0"/>
              <w:rPr>
                <w:b/>
                <w:sz w:val="24"/>
                <w:szCs w:val="24"/>
              </w:rPr>
            </w:pPr>
          </w:p>
          <w:p w14:paraId="00000005" w14:textId="77777777" w:rsidR="00A957E6" w:rsidRDefault="00661EDF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There are 5 topics that you will be examined on:</w:t>
            </w:r>
          </w:p>
          <w:p w14:paraId="00000006" w14:textId="77777777" w:rsidR="00A957E6" w:rsidRDefault="00661EDF">
            <w:pPr>
              <w:pStyle w:val="Normal0"/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Food, nutrition and health (P14 -17 of the specification)</w:t>
            </w:r>
          </w:p>
          <w:p w14:paraId="00000007" w14:textId="77777777" w:rsidR="00A957E6" w:rsidRDefault="00661EDF">
            <w:pPr>
              <w:pStyle w:val="Normal0"/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science (P18 - 21)</w:t>
            </w:r>
          </w:p>
          <w:p w14:paraId="00000008" w14:textId="77777777" w:rsidR="00A957E6" w:rsidRDefault="00661EDF">
            <w:pPr>
              <w:pStyle w:val="Normal0"/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safety (P22 - 25)</w:t>
            </w:r>
          </w:p>
          <w:p w14:paraId="00000009" w14:textId="77777777" w:rsidR="00A957E6" w:rsidRDefault="00661EDF">
            <w:pPr>
              <w:pStyle w:val="Normal0"/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choice (P26 - 28)</w:t>
            </w:r>
          </w:p>
          <w:p w14:paraId="0000000A" w14:textId="77777777" w:rsidR="00A957E6" w:rsidRDefault="00661EDF">
            <w:pPr>
              <w:pStyle w:val="Normal0"/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provenance (P29 - 31)</w:t>
            </w:r>
          </w:p>
          <w:p w14:paraId="0000000B" w14:textId="77777777" w:rsidR="00A957E6" w:rsidRDefault="00A957E6">
            <w:pPr>
              <w:pStyle w:val="Normal0"/>
              <w:spacing w:line="259" w:lineRule="auto"/>
              <w:rPr>
                <w:sz w:val="24"/>
                <w:szCs w:val="24"/>
              </w:rPr>
            </w:pPr>
          </w:p>
          <w:p w14:paraId="0000000C" w14:textId="77777777" w:rsidR="00A957E6" w:rsidRDefault="00661EDF">
            <w:pPr>
              <w:pStyle w:val="Normal0"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to focus on are:</w:t>
            </w:r>
          </w:p>
          <w:p w14:paraId="0ACEBD86" w14:textId="4A61C8A6" w:rsidR="552D1025" w:rsidRDefault="552D1025" w:rsidP="75B8DA86">
            <w:pPr>
              <w:pStyle w:val="Normal0"/>
              <w:numPr>
                <w:ilvl w:val="0"/>
                <w:numId w:val="1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>Food safety temperatures including temperature probes.</w:t>
            </w:r>
          </w:p>
          <w:p w14:paraId="1C51FE1A" w14:textId="52E2AAA5" w:rsidR="552D1025" w:rsidRDefault="552D1025" w:rsidP="75B8DA86">
            <w:pPr>
              <w:pStyle w:val="Normal0"/>
              <w:numPr>
                <w:ilvl w:val="0"/>
                <w:numId w:val="1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>Fortification of foods</w:t>
            </w:r>
          </w:p>
          <w:p w14:paraId="7476AB40" w14:textId="68DC897C" w:rsidR="552D1025" w:rsidRDefault="552D1025" w:rsidP="75B8DA86">
            <w:pPr>
              <w:pStyle w:val="Normal0"/>
              <w:numPr>
                <w:ilvl w:val="0"/>
                <w:numId w:val="1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 xml:space="preserve">Macronutrients energy % recommendation </w:t>
            </w:r>
          </w:p>
          <w:p w14:paraId="6A750AD0" w14:textId="3956D6AF" w:rsidR="552D1025" w:rsidRDefault="552D1025" w:rsidP="75B8DA86">
            <w:pPr>
              <w:pStyle w:val="Normal0"/>
              <w:numPr>
                <w:ilvl w:val="0"/>
                <w:numId w:val="1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>Cooking methods</w:t>
            </w:r>
          </w:p>
          <w:p w14:paraId="0D641611" w14:textId="237C97FB" w:rsidR="552D1025" w:rsidRDefault="552D1025" w:rsidP="75B8DA86">
            <w:pPr>
              <w:pStyle w:val="Normal0"/>
              <w:numPr>
                <w:ilvl w:val="0"/>
                <w:numId w:val="1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>Food poisoning bacteria</w:t>
            </w:r>
          </w:p>
          <w:p w14:paraId="68B7E0A4" w14:textId="72C5CD0E" w:rsidR="552D1025" w:rsidRDefault="552D1025" w:rsidP="75B8DA86">
            <w:pPr>
              <w:pStyle w:val="Normal0"/>
              <w:numPr>
                <w:ilvl w:val="0"/>
                <w:numId w:val="1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>Energy</w:t>
            </w:r>
          </w:p>
          <w:p w14:paraId="6E05C54E" w14:textId="182A2AF8" w:rsidR="552D1025" w:rsidRDefault="552D1025" w:rsidP="75B8DA86">
            <w:pPr>
              <w:pStyle w:val="Normal0"/>
              <w:numPr>
                <w:ilvl w:val="0"/>
                <w:numId w:val="1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>Rules for preparing, cooking and serving food</w:t>
            </w:r>
          </w:p>
          <w:p w14:paraId="51B74312" w14:textId="0DFCC48E" w:rsidR="552D1025" w:rsidRDefault="552D1025" w:rsidP="75B8DA86">
            <w:pPr>
              <w:pStyle w:val="Normal0"/>
              <w:numPr>
                <w:ilvl w:val="0"/>
                <w:numId w:val="1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 xml:space="preserve">Fibre </w:t>
            </w:r>
          </w:p>
          <w:p w14:paraId="64725A12" w14:textId="4055826D" w:rsidR="552D1025" w:rsidRDefault="552D1025" w:rsidP="75B8DA86">
            <w:pPr>
              <w:pStyle w:val="Normal0"/>
              <w:numPr>
                <w:ilvl w:val="0"/>
                <w:numId w:val="1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>Food science – protein, carbohydrates, fats,</w:t>
            </w:r>
          </w:p>
          <w:p w14:paraId="3119077B" w14:textId="463FCAE9" w:rsidR="552D1025" w:rsidRDefault="552D1025" w:rsidP="75B8DA86">
            <w:pPr>
              <w:pStyle w:val="Normal0"/>
              <w:numPr>
                <w:ilvl w:val="0"/>
                <w:numId w:val="1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>Food security</w:t>
            </w:r>
          </w:p>
          <w:p w14:paraId="76499250" w14:textId="639BE15F" w:rsidR="75B8DA86" w:rsidRDefault="75B8DA86" w:rsidP="75B8DA86">
            <w:pPr>
              <w:pStyle w:val="Normal0"/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  <w:p w14:paraId="00000016" w14:textId="7DA35021" w:rsidR="00A957E6" w:rsidRDefault="7F20B802" w:rsidP="7F20B802">
            <w:pPr>
              <w:pStyle w:val="Normal0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 xml:space="preserve">There are </w:t>
            </w:r>
            <w:r w:rsidR="5D3C8757" w:rsidRPr="75B8DA86">
              <w:rPr>
                <w:b/>
                <w:bCs/>
                <w:sz w:val="24"/>
                <w:szCs w:val="24"/>
              </w:rPr>
              <w:t>64</w:t>
            </w:r>
            <w:r w:rsidRPr="75B8DA86">
              <w:rPr>
                <w:b/>
                <w:bCs/>
                <w:sz w:val="24"/>
                <w:szCs w:val="24"/>
              </w:rPr>
              <w:t xml:space="preserve"> marks available.  </w:t>
            </w:r>
            <w:r w:rsidR="1CFE3593" w:rsidRPr="75B8DA86">
              <w:rPr>
                <w:b/>
                <w:bCs/>
                <w:sz w:val="24"/>
                <w:szCs w:val="24"/>
              </w:rPr>
              <w:t>This is a part paper.</w:t>
            </w:r>
          </w:p>
          <w:p w14:paraId="00000017" w14:textId="1D2D402D" w:rsidR="00A957E6" w:rsidRDefault="00661EDF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Multiple choice questions are worth </w:t>
            </w:r>
            <w:r w:rsidR="008B1AC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0 marks.  </w:t>
            </w:r>
          </w:p>
          <w:p w14:paraId="00000018" w14:textId="1E027DC4" w:rsidR="00A957E6" w:rsidRDefault="7F20B802" w:rsidP="12C5095A">
            <w:pPr>
              <w:pStyle w:val="Normal0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 xml:space="preserve">Longer answer questions, worth another </w:t>
            </w:r>
            <w:r w:rsidR="1608598E" w:rsidRPr="75B8DA86">
              <w:rPr>
                <w:b/>
                <w:bCs/>
                <w:sz w:val="24"/>
                <w:szCs w:val="24"/>
              </w:rPr>
              <w:t>54</w:t>
            </w:r>
            <w:r w:rsidRPr="75B8DA86">
              <w:rPr>
                <w:b/>
                <w:bCs/>
                <w:sz w:val="24"/>
                <w:szCs w:val="24"/>
              </w:rPr>
              <w:t xml:space="preserve"> marks.</w:t>
            </w:r>
          </w:p>
        </w:tc>
      </w:tr>
      <w:tr w:rsidR="00A957E6" w14:paraId="5B2FBAAD" w14:textId="77777777" w:rsidTr="75B8DA86">
        <w:trPr>
          <w:trHeight w:val="315"/>
        </w:trPr>
        <w:tc>
          <w:tcPr>
            <w:tcW w:w="10260" w:type="dxa"/>
            <w:shd w:val="clear" w:color="auto" w:fill="auto"/>
          </w:tcPr>
          <w:p w14:paraId="00000019" w14:textId="4F158FB7" w:rsidR="00A957E6" w:rsidRDefault="7F20B802" w:rsidP="7F20B802">
            <w:pPr>
              <w:pStyle w:val="Normal0"/>
              <w:rPr>
                <w:b/>
                <w:bCs/>
                <w:sz w:val="24"/>
                <w:szCs w:val="24"/>
              </w:rPr>
            </w:pPr>
            <w:r w:rsidRPr="12C5095A">
              <w:rPr>
                <w:b/>
                <w:bCs/>
                <w:sz w:val="24"/>
                <w:szCs w:val="24"/>
              </w:rPr>
              <w:t xml:space="preserve">Exam Length: </w:t>
            </w:r>
            <w:r w:rsidR="49A3F8C1" w:rsidRPr="12C5095A">
              <w:rPr>
                <w:b/>
                <w:bCs/>
                <w:sz w:val="24"/>
                <w:szCs w:val="24"/>
              </w:rPr>
              <w:t>5</w:t>
            </w:r>
            <w:r w:rsidR="00F0508E">
              <w:rPr>
                <w:b/>
                <w:bCs/>
                <w:sz w:val="24"/>
                <w:szCs w:val="24"/>
              </w:rPr>
              <w:t>0</w:t>
            </w:r>
            <w:r w:rsidRPr="12C5095A">
              <w:rPr>
                <w:b/>
                <w:bCs/>
                <w:sz w:val="24"/>
                <w:szCs w:val="24"/>
              </w:rPr>
              <w:t xml:space="preserve"> minutes</w:t>
            </w:r>
          </w:p>
        </w:tc>
      </w:tr>
      <w:tr w:rsidR="00A957E6" w14:paraId="62D86395" w14:textId="77777777" w:rsidTr="75B8DA86">
        <w:trPr>
          <w:trHeight w:val="284"/>
        </w:trPr>
        <w:tc>
          <w:tcPr>
            <w:tcW w:w="10260" w:type="dxa"/>
            <w:shd w:val="clear" w:color="auto" w:fill="auto"/>
          </w:tcPr>
          <w:p w14:paraId="0000001A" w14:textId="15A284A2" w:rsidR="00A957E6" w:rsidRDefault="00661EDF" w:rsidP="12C5095A">
            <w:pPr>
              <w:pStyle w:val="Normal0"/>
              <w:rPr>
                <w:b/>
                <w:bCs/>
                <w:sz w:val="24"/>
                <w:szCs w:val="24"/>
              </w:rPr>
            </w:pPr>
            <w:r w:rsidRPr="75B8DA86">
              <w:rPr>
                <w:b/>
                <w:bCs/>
                <w:sz w:val="24"/>
                <w:szCs w:val="24"/>
              </w:rPr>
              <w:t xml:space="preserve">Exam Weighting: </w:t>
            </w:r>
            <w:r w:rsidR="55D7B4F4" w:rsidRPr="75B8DA86">
              <w:rPr>
                <w:b/>
                <w:bCs/>
                <w:sz w:val="24"/>
                <w:szCs w:val="24"/>
              </w:rPr>
              <w:t xml:space="preserve">In the real exam it is /100 and worth </w:t>
            </w:r>
            <w:r w:rsidRPr="75B8DA86">
              <w:rPr>
                <w:b/>
                <w:bCs/>
                <w:sz w:val="24"/>
                <w:szCs w:val="24"/>
              </w:rPr>
              <w:t>50% of overall grade</w:t>
            </w:r>
            <w:r w:rsidR="7211240E" w:rsidRPr="75B8DA86">
              <w:rPr>
                <w:b/>
                <w:bCs/>
                <w:sz w:val="24"/>
                <w:szCs w:val="24"/>
              </w:rPr>
              <w:t xml:space="preserve"> – your </w:t>
            </w:r>
            <w:r w:rsidR="1B0C0BF1" w:rsidRPr="75B8DA86">
              <w:rPr>
                <w:b/>
                <w:bCs/>
                <w:sz w:val="24"/>
                <w:szCs w:val="24"/>
              </w:rPr>
              <w:t>percentage</w:t>
            </w:r>
            <w:r w:rsidR="7211240E" w:rsidRPr="75B8DA86">
              <w:rPr>
                <w:b/>
                <w:bCs/>
                <w:sz w:val="24"/>
                <w:szCs w:val="24"/>
              </w:rPr>
              <w:t xml:space="preserve"> achieved will indicate the grade procured</w:t>
            </w:r>
            <w:r w:rsidR="12EB6F6C" w:rsidRPr="75B8DA8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957E6" w14:paraId="7243FDBC" w14:textId="77777777" w:rsidTr="75B8DA86">
        <w:trPr>
          <w:trHeight w:val="284"/>
        </w:trPr>
        <w:tc>
          <w:tcPr>
            <w:tcW w:w="10260" w:type="dxa"/>
            <w:shd w:val="clear" w:color="auto" w:fill="auto"/>
          </w:tcPr>
          <w:p w14:paraId="0000001B" w14:textId="77777777" w:rsidR="00A957E6" w:rsidRDefault="00661EDF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Useful revision resources:</w:t>
            </w:r>
          </w:p>
          <w:p w14:paraId="0000001D" w14:textId="5275578C" w:rsidR="00A957E6" w:rsidRDefault="0071177E">
            <w:pPr>
              <w:pStyle w:val="Normal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68E931" wp14:editId="25A63C73">
                  <wp:extent cx="1191802" cy="1528369"/>
                  <wp:effectExtent l="0" t="0" r="8890" b="0"/>
                  <wp:docPr id="20007169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48" cy="154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6D18">
              <w:rPr>
                <w:noProof/>
                <w:sz w:val="24"/>
                <w:szCs w:val="24"/>
              </w:rPr>
              <w:drawing>
                <wp:inline distT="0" distB="0" distL="0" distR="0" wp14:anchorId="7D722759" wp14:editId="25F42BA9">
                  <wp:extent cx="1104707" cy="1561000"/>
                  <wp:effectExtent l="0" t="0" r="635" b="1270"/>
                  <wp:docPr id="17517904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097" cy="1578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1D86">
              <w:rPr>
                <w:noProof/>
                <w:sz w:val="24"/>
                <w:szCs w:val="24"/>
              </w:rPr>
              <w:drawing>
                <wp:inline distT="0" distB="0" distL="0" distR="0" wp14:anchorId="12A3638F" wp14:editId="0D5BDE3A">
                  <wp:extent cx="1109609" cy="1567927"/>
                  <wp:effectExtent l="0" t="0" r="0" b="0"/>
                  <wp:docPr id="1434940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453" cy="1586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1D86">
              <w:rPr>
                <w:noProof/>
                <w:sz w:val="24"/>
                <w:szCs w:val="24"/>
              </w:rPr>
              <w:drawing>
                <wp:inline distT="0" distB="0" distL="0" distR="0" wp14:anchorId="179A0907" wp14:editId="5D354EC3">
                  <wp:extent cx="1188704" cy="1518182"/>
                  <wp:effectExtent l="0" t="0" r="0" b="6350"/>
                  <wp:docPr id="33786819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13" cy="1543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2D3576" w14:textId="77777777" w:rsidR="00F0508E" w:rsidRDefault="00F0508E">
            <w:pPr>
              <w:pStyle w:val="Normal0"/>
              <w:rPr>
                <w:sz w:val="24"/>
                <w:szCs w:val="24"/>
              </w:rPr>
            </w:pPr>
          </w:p>
          <w:p w14:paraId="0000001E" w14:textId="4D39CDE9" w:rsidR="00A957E6" w:rsidRDefault="00661EDF">
            <w:pPr>
              <w:pStyle w:val="Normal0"/>
              <w:rPr>
                <w:sz w:val="24"/>
                <w:szCs w:val="24"/>
              </w:rPr>
            </w:pPr>
            <w:r w:rsidRPr="75B8DA86">
              <w:rPr>
                <w:sz w:val="24"/>
                <w:szCs w:val="24"/>
              </w:rPr>
              <w:t xml:space="preserve">Seneca Learning is </w:t>
            </w:r>
            <w:r w:rsidR="1D3325F2" w:rsidRPr="75B8DA86">
              <w:rPr>
                <w:sz w:val="24"/>
                <w:szCs w:val="24"/>
              </w:rPr>
              <w:t>useful</w:t>
            </w:r>
            <w:r w:rsidRPr="75B8DA86">
              <w:rPr>
                <w:sz w:val="24"/>
                <w:szCs w:val="24"/>
              </w:rPr>
              <w:t xml:space="preserve"> and has some wonderful videos to help.  </w:t>
            </w:r>
            <w:proofErr w:type="spellStart"/>
            <w:r w:rsidRPr="75B8DA86">
              <w:rPr>
                <w:sz w:val="24"/>
                <w:szCs w:val="24"/>
              </w:rPr>
              <w:t>GCSEPod</w:t>
            </w:r>
            <w:proofErr w:type="spellEnd"/>
            <w:r w:rsidRPr="75B8DA86">
              <w:rPr>
                <w:sz w:val="24"/>
                <w:szCs w:val="24"/>
              </w:rPr>
              <w:t xml:space="preserve"> is also another great resource.</w:t>
            </w:r>
            <w:r w:rsidR="00211C9E" w:rsidRPr="75B8DA86">
              <w:rPr>
                <w:sz w:val="24"/>
                <w:szCs w:val="24"/>
              </w:rPr>
              <w:t xml:space="preserve"> All </w:t>
            </w:r>
            <w:proofErr w:type="spellStart"/>
            <w:r w:rsidR="00211C9E" w:rsidRPr="75B8DA86">
              <w:rPr>
                <w:sz w:val="24"/>
                <w:szCs w:val="24"/>
              </w:rPr>
              <w:t>GCSEpod</w:t>
            </w:r>
            <w:proofErr w:type="spellEnd"/>
            <w:r w:rsidR="00211C9E" w:rsidRPr="75B8DA86">
              <w:rPr>
                <w:sz w:val="24"/>
                <w:szCs w:val="24"/>
              </w:rPr>
              <w:t xml:space="preserve"> videos have been downloaded and uploaded onto TEAMS.</w:t>
            </w:r>
          </w:p>
          <w:p w14:paraId="0000001F" w14:textId="77777777" w:rsidR="00A957E6" w:rsidRDefault="00A957E6">
            <w:pPr>
              <w:pStyle w:val="Normal0"/>
              <w:rPr>
                <w:sz w:val="24"/>
                <w:szCs w:val="24"/>
              </w:rPr>
            </w:pPr>
          </w:p>
          <w:p w14:paraId="00000020" w14:textId="64981E67" w:rsidR="00A957E6" w:rsidRDefault="00661EDF">
            <w:pPr>
              <w:pStyle w:val="Normal0"/>
              <w:rPr>
                <w:sz w:val="24"/>
                <w:szCs w:val="24"/>
              </w:rPr>
            </w:pPr>
            <w:r w:rsidRPr="75B8DA86">
              <w:rPr>
                <w:sz w:val="24"/>
                <w:szCs w:val="24"/>
              </w:rPr>
              <w:t>The revision booklets you are using in class are also very useful and additional resources such as mind maps</w:t>
            </w:r>
            <w:r w:rsidR="77742B76" w:rsidRPr="75B8DA86">
              <w:rPr>
                <w:sz w:val="24"/>
                <w:szCs w:val="24"/>
              </w:rPr>
              <w:t xml:space="preserve">, Cornell notes, flashcards. You also can access the </w:t>
            </w:r>
            <w:r w:rsidR="70A1B697" w:rsidRPr="75B8DA86">
              <w:rPr>
                <w:sz w:val="24"/>
                <w:szCs w:val="24"/>
              </w:rPr>
              <w:t>PowerPoints</w:t>
            </w:r>
            <w:r w:rsidR="77742B76" w:rsidRPr="75B8DA86">
              <w:rPr>
                <w:sz w:val="24"/>
                <w:szCs w:val="24"/>
              </w:rPr>
              <w:t xml:space="preserve"> from your Year10 teams.  </w:t>
            </w:r>
          </w:p>
          <w:p w14:paraId="00000021" w14:textId="77777777" w:rsidR="00A957E6" w:rsidRDefault="00A957E6">
            <w:pPr>
              <w:pStyle w:val="Normal0"/>
              <w:rPr>
                <w:sz w:val="24"/>
                <w:szCs w:val="24"/>
              </w:rPr>
            </w:pPr>
          </w:p>
        </w:tc>
      </w:tr>
    </w:tbl>
    <w:p w14:paraId="00000022" w14:textId="77777777" w:rsidR="00A957E6" w:rsidRDefault="00A957E6">
      <w:pPr>
        <w:pStyle w:val="Normal0"/>
        <w:rPr>
          <w:b/>
          <w:sz w:val="16"/>
          <w:szCs w:val="16"/>
        </w:rPr>
      </w:pPr>
      <w:bookmarkStart w:id="0" w:name="_heading=h.gjdgxs" w:colFirst="0" w:colLast="0"/>
      <w:bookmarkEnd w:id="0"/>
    </w:p>
    <w:sectPr w:rsidR="00A957E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3B1A8"/>
    <w:multiLevelType w:val="multilevel"/>
    <w:tmpl w:val="329610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3F6D66"/>
    <w:multiLevelType w:val="multilevel"/>
    <w:tmpl w:val="7E2E1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num w:numId="1" w16cid:durableId="1145203695">
    <w:abstractNumId w:val="0"/>
  </w:num>
  <w:num w:numId="2" w16cid:durableId="138996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E993B2"/>
    <w:rsid w:val="00023716"/>
    <w:rsid w:val="0006171C"/>
    <w:rsid w:val="00211C9E"/>
    <w:rsid w:val="003740B1"/>
    <w:rsid w:val="00513E65"/>
    <w:rsid w:val="005546A0"/>
    <w:rsid w:val="00661EDF"/>
    <w:rsid w:val="0071177E"/>
    <w:rsid w:val="008B1AC3"/>
    <w:rsid w:val="00A957E6"/>
    <w:rsid w:val="00AD1BB9"/>
    <w:rsid w:val="00C1252D"/>
    <w:rsid w:val="00DD7D3D"/>
    <w:rsid w:val="00DF36B6"/>
    <w:rsid w:val="00EE6D18"/>
    <w:rsid w:val="00F0508E"/>
    <w:rsid w:val="00FD1D86"/>
    <w:rsid w:val="04E4C4E4"/>
    <w:rsid w:val="09374F71"/>
    <w:rsid w:val="0C9B2732"/>
    <w:rsid w:val="12C5095A"/>
    <w:rsid w:val="12EB6F6C"/>
    <w:rsid w:val="1608598E"/>
    <w:rsid w:val="1B0C0BF1"/>
    <w:rsid w:val="1CFE3593"/>
    <w:rsid w:val="1D3325F2"/>
    <w:rsid w:val="24376D42"/>
    <w:rsid w:val="27F8C8AA"/>
    <w:rsid w:val="29C4F2E4"/>
    <w:rsid w:val="2EE993B2"/>
    <w:rsid w:val="2F069073"/>
    <w:rsid w:val="3AE53E7E"/>
    <w:rsid w:val="3EE71A43"/>
    <w:rsid w:val="3F1DFC92"/>
    <w:rsid w:val="49300DC9"/>
    <w:rsid w:val="49A3F8C1"/>
    <w:rsid w:val="4AA25163"/>
    <w:rsid w:val="552D1025"/>
    <w:rsid w:val="55D7B4F4"/>
    <w:rsid w:val="5D3C8757"/>
    <w:rsid w:val="67171E69"/>
    <w:rsid w:val="70A1B697"/>
    <w:rsid w:val="7211240E"/>
    <w:rsid w:val="75B8DA86"/>
    <w:rsid w:val="77742B76"/>
    <w:rsid w:val="7AE55659"/>
    <w:rsid w:val="7F20B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968E"/>
  <w15:docId w15:val="{16E1FC2C-837F-4AA0-A7D7-772BFD64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710245"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0"/>
    <w:uiPriority w:val="59"/>
    <w:rsid w:val="0071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0"/>
    <w:uiPriority w:val="34"/>
    <w:qFormat/>
    <w:rsid w:val="00710245"/>
    <w:pPr>
      <w:ind w:left="720"/>
      <w:contextualSpacing/>
    </w:pPr>
  </w:style>
  <w:style w:type="table" w:customStyle="1" w:styleId="TableGrid1">
    <w:name w:val="Table Grid1"/>
    <w:basedOn w:val="NormalTable0"/>
    <w:next w:val="TableGrid"/>
    <w:uiPriority w:val="39"/>
    <w:rsid w:val="0071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0"/>
    <w:link w:val="BalloonTextChar"/>
    <w:uiPriority w:val="99"/>
    <w:semiHidden/>
    <w:unhideWhenUsed/>
    <w:rsid w:val="00AC3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FD"/>
    <w:rPr>
      <w:rFonts w:ascii="Segoe UI" w:hAnsi="Segoe UI" w:cs="Segoe UI"/>
      <w:sz w:val="18"/>
      <w:szCs w:val="18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CkZUZDuQbZiaBY/5S0qpZotu2A==">AMUW2mUZGRDWtlZwE7zUuOYG9xCb27JRS3p4gcyC9/2oXzep3Sg76eYKbsF0W9vOoa/zXSyXUUgXDG3SBq+7A3q6b+m6NkHnDWz3Gskg13DMgdcdEge7czpPkRnXWW8QnlGGNtBG1f6r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3AD740-562A-4B49-A086-140D151C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D12EE-910B-41B4-9A0E-18D01CAC4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AE698-FC08-4D8C-A016-CAF37CF87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Cunningham</dc:creator>
  <cp:lastModifiedBy>Ste Jenkins</cp:lastModifiedBy>
  <cp:revision>17</cp:revision>
  <dcterms:created xsi:type="dcterms:W3CDTF">2020-10-05T08:19:00Z</dcterms:created>
  <dcterms:modified xsi:type="dcterms:W3CDTF">2025-01-20T10:24:00Z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