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83"/>
        <w:gridCol w:w="1073"/>
      </w:tblGrid>
      <w:tr w:rsidR="006F26AC" w14:paraId="7DB68D82" w14:textId="77777777" w:rsidTr="00383CC2">
        <w:tc>
          <w:tcPr>
            <w:tcW w:w="10456" w:type="dxa"/>
            <w:gridSpan w:val="2"/>
          </w:tcPr>
          <w:p w14:paraId="21BD7ECF" w14:textId="77777777" w:rsidR="006F26AC" w:rsidRDefault="00D1367B" w:rsidP="006F26AC">
            <w:pPr>
              <w:jc w:val="center"/>
            </w:pPr>
            <w:r>
              <w:t>Philosophy</w:t>
            </w:r>
            <w:r w:rsidR="006F26AC">
              <w:t xml:space="preserve"> Revision List Summer 2025</w:t>
            </w:r>
          </w:p>
        </w:tc>
      </w:tr>
      <w:tr w:rsidR="006F26AC" w14:paraId="387FF861" w14:textId="77777777" w:rsidTr="00383CC2">
        <w:tc>
          <w:tcPr>
            <w:tcW w:w="10456" w:type="dxa"/>
            <w:gridSpan w:val="2"/>
          </w:tcPr>
          <w:p w14:paraId="5F5FAAE9" w14:textId="77777777" w:rsidR="006F26AC" w:rsidRDefault="006F26AC" w:rsidP="006F26AC">
            <w:r w:rsidRPr="006F26AC">
              <w:t>Exam information</w:t>
            </w:r>
            <w:r>
              <w:t>:</w:t>
            </w:r>
          </w:p>
          <w:p w14:paraId="742CA20E" w14:textId="77777777" w:rsidR="00D1367B" w:rsidRDefault="00D1367B" w:rsidP="006F26AC"/>
          <w:p w14:paraId="6F51E520" w14:textId="77777777" w:rsidR="006F26AC" w:rsidRDefault="00D1367B" w:rsidP="006F26AC">
            <w:r>
              <w:t>You will have two exam papers</w:t>
            </w:r>
          </w:p>
          <w:p w14:paraId="33CFE826" w14:textId="77777777" w:rsidR="00D1367B" w:rsidRPr="00D1367B" w:rsidRDefault="00D1367B" w:rsidP="006F26AC"/>
          <w:p w14:paraId="4A09C675" w14:textId="77777777" w:rsidR="00D1367B" w:rsidRPr="00B47B85" w:rsidRDefault="00D1367B" w:rsidP="00D1367B">
            <w:pPr>
              <w:shd w:val="clear" w:color="auto" w:fill="FFFFFF"/>
              <w:textAlignment w:val="baseline"/>
              <w:rPr>
                <w:rFonts w:ascii="Aptos" w:eastAsia="Times New Roman" w:hAnsi="Aptos" w:cs="Times New Roman"/>
                <w:b/>
                <w:bCs/>
                <w:color w:val="000000"/>
                <w:kern w:val="0"/>
                <w:lang w:eastAsia="en-GB"/>
                <w14:ligatures w14:val="none"/>
              </w:rPr>
            </w:pPr>
            <w:r w:rsidRPr="00B47B85">
              <w:rPr>
                <w:rFonts w:ascii="Aptos" w:eastAsia="Times New Roman" w:hAnsi="Aptos" w:cs="Times New Roman"/>
                <w:b/>
                <w:bCs/>
                <w:color w:val="000000"/>
                <w:kern w:val="0"/>
                <w:lang w:eastAsia="en-GB"/>
                <w14:ligatures w14:val="none"/>
              </w:rPr>
              <w:t>1. Paper 1- Philosophy and Ethics 90 mins</w:t>
            </w:r>
          </w:p>
          <w:p w14:paraId="740F495F" w14:textId="77777777" w:rsidR="00D1367B" w:rsidRPr="00B47B85" w:rsidRDefault="00D1367B" w:rsidP="00D1367B">
            <w:pPr>
              <w:shd w:val="clear" w:color="auto" w:fill="FFFFFF"/>
              <w:textAlignment w:val="baseline"/>
              <w:rPr>
                <w:rFonts w:ascii="Aptos" w:eastAsia="Times New Roman" w:hAnsi="Aptos" w:cs="Times New Roman"/>
                <w:b/>
                <w:bCs/>
                <w:color w:val="000000"/>
                <w:kern w:val="0"/>
                <w:lang w:eastAsia="en-GB"/>
                <w14:ligatures w14:val="none"/>
              </w:rPr>
            </w:pPr>
            <w:r w:rsidRPr="00B47B85">
              <w:rPr>
                <w:rFonts w:ascii="Aptos" w:eastAsia="Times New Roman" w:hAnsi="Aptos" w:cs="Times New Roman"/>
                <w:b/>
                <w:bCs/>
                <w:color w:val="000000"/>
                <w:kern w:val="0"/>
                <w:lang w:eastAsia="en-GB"/>
                <w14:ligatures w14:val="none"/>
              </w:rPr>
              <w:t xml:space="preserve">2. </w:t>
            </w:r>
            <w:r w:rsidRPr="00D1367B">
              <w:rPr>
                <w:rFonts w:ascii="Aptos" w:eastAsia="Times New Roman" w:hAnsi="Aptos" w:cs="Times New Roman"/>
                <w:b/>
                <w:bCs/>
                <w:color w:val="000000"/>
                <w:kern w:val="0"/>
                <w:lang w:eastAsia="en-GB"/>
                <w14:ligatures w14:val="none"/>
              </w:rPr>
              <w:t>Paper 2- Christianity 90 mins</w:t>
            </w:r>
          </w:p>
          <w:p w14:paraId="097EBDAC" w14:textId="77777777" w:rsidR="00D1367B" w:rsidRDefault="00D1367B" w:rsidP="00D1367B">
            <w:pPr>
              <w:shd w:val="clear" w:color="auto" w:fill="FFFFFF"/>
              <w:textAlignment w:val="baseline"/>
              <w:rPr>
                <w:rFonts w:ascii="Aptos" w:eastAsia="Times New Roman" w:hAnsi="Aptos" w:cs="Times New Roman"/>
                <w:color w:val="000000"/>
                <w:kern w:val="0"/>
                <w:lang w:eastAsia="en-GB"/>
                <w14:ligatures w14:val="none"/>
              </w:rPr>
            </w:pPr>
          </w:p>
          <w:p w14:paraId="5E3F2236" w14:textId="77777777" w:rsidR="00D1367B" w:rsidRDefault="00D1367B" w:rsidP="00D1367B">
            <w:pPr>
              <w:shd w:val="clear" w:color="auto" w:fill="FFFFFF"/>
              <w:textAlignment w:val="baseline"/>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 xml:space="preserve">The first part of each question tests </w:t>
            </w:r>
            <w:r w:rsidRPr="00B47B85">
              <w:rPr>
                <w:rFonts w:ascii="Aptos" w:eastAsia="Times New Roman" w:hAnsi="Aptos" w:cs="Times New Roman"/>
                <w:b/>
                <w:bCs/>
                <w:color w:val="000000"/>
                <w:kern w:val="0"/>
                <w:lang w:eastAsia="en-GB"/>
                <w14:ligatures w14:val="none"/>
              </w:rPr>
              <w:t>AO1</w:t>
            </w:r>
            <w:r w:rsidR="00B47B85">
              <w:rPr>
                <w:rFonts w:ascii="Aptos" w:eastAsia="Times New Roman" w:hAnsi="Aptos" w:cs="Times New Roman"/>
                <w:b/>
                <w:bCs/>
                <w:color w:val="000000"/>
                <w:kern w:val="0"/>
                <w:lang w:eastAsia="en-GB"/>
                <w14:ligatures w14:val="none"/>
              </w:rPr>
              <w:t xml:space="preserve"> </w:t>
            </w:r>
            <w:r w:rsidR="00B47B85">
              <w:rPr>
                <w:rFonts w:ascii="Aptos" w:eastAsia="Times New Roman" w:hAnsi="Aptos" w:cs="Times New Roman"/>
                <w:color w:val="000000"/>
                <w:kern w:val="0"/>
                <w:lang w:eastAsia="en-GB"/>
                <w14:ligatures w14:val="none"/>
              </w:rPr>
              <w:t xml:space="preserve">and is worth </w:t>
            </w:r>
            <w:r w:rsidR="00B47B85" w:rsidRPr="00B47B85">
              <w:rPr>
                <w:rFonts w:ascii="Aptos" w:eastAsia="Times New Roman" w:hAnsi="Aptos" w:cs="Times New Roman"/>
                <w:b/>
                <w:bCs/>
                <w:color w:val="000000"/>
                <w:kern w:val="0"/>
                <w:lang w:eastAsia="en-GB"/>
                <w14:ligatures w14:val="none"/>
              </w:rPr>
              <w:t>10 marks</w:t>
            </w:r>
            <w:r>
              <w:rPr>
                <w:rFonts w:ascii="Aptos" w:eastAsia="Times New Roman" w:hAnsi="Aptos" w:cs="Times New Roman"/>
                <w:color w:val="000000"/>
                <w:kern w:val="0"/>
                <w:lang w:eastAsia="en-GB"/>
                <w14:ligatures w14:val="none"/>
              </w:rPr>
              <w:t>. The command word for this question is ‘examine</w:t>
            </w:r>
            <w:r w:rsidR="00BF66A2">
              <w:rPr>
                <w:rFonts w:ascii="Aptos" w:eastAsia="Times New Roman" w:hAnsi="Aptos" w:cs="Times New Roman"/>
                <w:color w:val="000000"/>
                <w:kern w:val="0"/>
                <w:lang w:eastAsia="en-GB"/>
                <w14:ligatures w14:val="none"/>
              </w:rPr>
              <w:t xml:space="preserve">.’ AO1 tests knowledge and understanding. Your answer should not contain any evaluation. Do not give a general introduction stating your intent by repeating the question or setting out what you intend to cover in it. It will be a waste of valuable time. Develop each of the points you make with further comment and support them with evidence, including, as appropriate, reference to scripture. </w:t>
            </w:r>
          </w:p>
          <w:p w14:paraId="37104A55" w14:textId="77777777" w:rsidR="00B47B85" w:rsidRDefault="00B47B85" w:rsidP="00D1367B">
            <w:pPr>
              <w:shd w:val="clear" w:color="auto" w:fill="FFFFFF"/>
              <w:textAlignment w:val="baseline"/>
              <w:rPr>
                <w:rFonts w:ascii="Aptos" w:eastAsia="Times New Roman" w:hAnsi="Aptos" w:cs="Times New Roman"/>
                <w:color w:val="000000"/>
                <w:kern w:val="0"/>
                <w:lang w:eastAsia="en-GB"/>
                <w14:ligatures w14:val="none"/>
              </w:rPr>
            </w:pPr>
          </w:p>
          <w:p w14:paraId="07007B1F" w14:textId="77777777" w:rsidR="006F26AC" w:rsidRPr="00B47B85" w:rsidRDefault="00B47B85" w:rsidP="00B47B85">
            <w:pPr>
              <w:shd w:val="clear" w:color="auto" w:fill="FFFFFF"/>
              <w:textAlignment w:val="baseline"/>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 xml:space="preserve">The second part of each question tests </w:t>
            </w:r>
            <w:r w:rsidRPr="00B47B85">
              <w:rPr>
                <w:rFonts w:ascii="Aptos" w:eastAsia="Times New Roman" w:hAnsi="Aptos" w:cs="Times New Roman"/>
                <w:b/>
                <w:bCs/>
                <w:color w:val="000000"/>
                <w:kern w:val="0"/>
                <w:lang w:eastAsia="en-GB"/>
                <w14:ligatures w14:val="none"/>
              </w:rPr>
              <w:t xml:space="preserve">AO2 </w:t>
            </w:r>
            <w:r>
              <w:rPr>
                <w:rFonts w:ascii="Aptos" w:eastAsia="Times New Roman" w:hAnsi="Aptos" w:cs="Times New Roman"/>
                <w:color w:val="000000"/>
                <w:kern w:val="0"/>
                <w:lang w:eastAsia="en-GB"/>
                <w14:ligatures w14:val="none"/>
              </w:rPr>
              <w:t xml:space="preserve">and is worth </w:t>
            </w:r>
            <w:r w:rsidRPr="00B47B85">
              <w:rPr>
                <w:rFonts w:ascii="Aptos" w:eastAsia="Times New Roman" w:hAnsi="Aptos" w:cs="Times New Roman"/>
                <w:b/>
                <w:bCs/>
                <w:color w:val="000000"/>
                <w:kern w:val="0"/>
                <w:lang w:eastAsia="en-GB"/>
                <w14:ligatures w14:val="none"/>
              </w:rPr>
              <w:t>15 marks.</w:t>
            </w:r>
            <w:r>
              <w:rPr>
                <w:rFonts w:ascii="Aptos" w:eastAsia="Times New Roman" w:hAnsi="Aptos" w:cs="Times New Roman"/>
                <w:color w:val="000000"/>
                <w:kern w:val="0"/>
                <w:lang w:eastAsia="en-GB"/>
                <w14:ligatures w14:val="none"/>
              </w:rPr>
              <w:t xml:space="preserve">  The structure of this question consists of a statement followed by the command ‘Evaluate this claim’. This tests your ability to analyse arguments or viewpoints and to evaluate them. AO2 is not about giving one set of views, then another set of views and finally giving your own view. This is AO1. It is about assessing the persuasiveness and reasonableness of an argument by examining the strengths of its claims and the strengths of the counterarguments. Use trigger words such as ‘however’, ‘additionally’ or ‘nevertheless’ to help the examiner see where you are making critical analysis.</w:t>
            </w:r>
          </w:p>
        </w:tc>
      </w:tr>
      <w:tr w:rsidR="006F26AC" w14:paraId="0F63D0BA" w14:textId="77777777" w:rsidTr="006F26AC">
        <w:tc>
          <w:tcPr>
            <w:tcW w:w="9383" w:type="dxa"/>
          </w:tcPr>
          <w:p w14:paraId="206869D9" w14:textId="77777777" w:rsidR="006F26AC" w:rsidRDefault="006F26AC" w:rsidP="006F26AC">
            <w:pPr>
              <w:jc w:val="center"/>
            </w:pPr>
            <w:r>
              <w:t>Topic</w:t>
            </w:r>
          </w:p>
        </w:tc>
        <w:tc>
          <w:tcPr>
            <w:tcW w:w="1073" w:type="dxa"/>
          </w:tcPr>
          <w:p w14:paraId="60B15DAE" w14:textId="77777777" w:rsidR="006F26AC" w:rsidRDefault="006F26AC" w:rsidP="006F26AC">
            <w:pPr>
              <w:jc w:val="center"/>
            </w:pPr>
            <w:r>
              <w:t>Revised?</w:t>
            </w:r>
          </w:p>
        </w:tc>
      </w:tr>
      <w:tr w:rsidR="006F26AC" w14:paraId="48307A0B" w14:textId="77777777" w:rsidTr="006F26AC">
        <w:tc>
          <w:tcPr>
            <w:tcW w:w="9383" w:type="dxa"/>
          </w:tcPr>
          <w:p w14:paraId="034B345C" w14:textId="77777777" w:rsidR="006F26AC" w:rsidRPr="00B47B85" w:rsidRDefault="00B47B85">
            <w:pPr>
              <w:rPr>
                <w:b/>
                <w:bCs/>
                <w:color w:val="0070C0"/>
              </w:rPr>
            </w:pPr>
            <w:r w:rsidRPr="00B47B85">
              <w:rPr>
                <w:b/>
                <w:bCs/>
                <w:color w:val="0070C0"/>
              </w:rPr>
              <w:t>Design Argument</w:t>
            </w:r>
          </w:p>
        </w:tc>
        <w:tc>
          <w:tcPr>
            <w:tcW w:w="1073" w:type="dxa"/>
          </w:tcPr>
          <w:p w14:paraId="77245727" w14:textId="77777777" w:rsidR="006F26AC" w:rsidRDefault="006F26AC" w:rsidP="006F26AC">
            <w:pPr>
              <w:jc w:val="center"/>
            </w:pPr>
          </w:p>
        </w:tc>
      </w:tr>
      <w:tr w:rsidR="006F26AC" w14:paraId="76CDFCD3" w14:textId="77777777" w:rsidTr="006F26AC">
        <w:tc>
          <w:tcPr>
            <w:tcW w:w="9383" w:type="dxa"/>
          </w:tcPr>
          <w:p w14:paraId="06C6C0C1" w14:textId="77777777" w:rsidR="006F26AC" w:rsidRPr="00B47B85" w:rsidRDefault="00B47B85">
            <w:pPr>
              <w:rPr>
                <w:b/>
                <w:bCs/>
                <w:color w:val="0070C0"/>
              </w:rPr>
            </w:pPr>
            <w:r w:rsidRPr="00B47B85">
              <w:rPr>
                <w:b/>
                <w:bCs/>
                <w:color w:val="0070C0"/>
              </w:rPr>
              <w:t>Causation Argument</w:t>
            </w:r>
          </w:p>
        </w:tc>
        <w:tc>
          <w:tcPr>
            <w:tcW w:w="1073" w:type="dxa"/>
          </w:tcPr>
          <w:p w14:paraId="11DD6DE7" w14:textId="77777777" w:rsidR="006F26AC" w:rsidRDefault="006F26AC" w:rsidP="006F26AC">
            <w:pPr>
              <w:jc w:val="center"/>
            </w:pPr>
          </w:p>
        </w:tc>
      </w:tr>
      <w:tr w:rsidR="006F26AC" w14:paraId="1FE5C975" w14:textId="77777777" w:rsidTr="006F26AC">
        <w:tc>
          <w:tcPr>
            <w:tcW w:w="9383" w:type="dxa"/>
          </w:tcPr>
          <w:p w14:paraId="5769168C" w14:textId="77777777" w:rsidR="006F26AC" w:rsidRPr="00B47B85" w:rsidRDefault="00B47B85">
            <w:pPr>
              <w:rPr>
                <w:b/>
                <w:bCs/>
                <w:color w:val="0070C0"/>
              </w:rPr>
            </w:pPr>
            <w:r w:rsidRPr="00B47B85">
              <w:rPr>
                <w:b/>
                <w:bCs/>
                <w:color w:val="0070C0"/>
              </w:rPr>
              <w:t>Ontological Argument</w:t>
            </w:r>
          </w:p>
        </w:tc>
        <w:tc>
          <w:tcPr>
            <w:tcW w:w="1073" w:type="dxa"/>
          </w:tcPr>
          <w:p w14:paraId="7592E846" w14:textId="77777777" w:rsidR="006F26AC" w:rsidRDefault="006F26AC" w:rsidP="006F26AC">
            <w:pPr>
              <w:jc w:val="center"/>
            </w:pPr>
          </w:p>
        </w:tc>
      </w:tr>
      <w:tr w:rsidR="006F26AC" w14:paraId="795775E2" w14:textId="77777777" w:rsidTr="006F26AC">
        <w:tc>
          <w:tcPr>
            <w:tcW w:w="9383" w:type="dxa"/>
          </w:tcPr>
          <w:p w14:paraId="4D6E4314" w14:textId="77777777" w:rsidR="006F26AC" w:rsidRPr="00B47B85" w:rsidRDefault="00B47B85">
            <w:pPr>
              <w:rPr>
                <w:b/>
                <w:bCs/>
                <w:color w:val="0070C0"/>
              </w:rPr>
            </w:pPr>
            <w:r w:rsidRPr="00B47B85">
              <w:rPr>
                <w:b/>
                <w:bCs/>
                <w:color w:val="0070C0"/>
              </w:rPr>
              <w:t>Evil and Suffering</w:t>
            </w:r>
          </w:p>
        </w:tc>
        <w:tc>
          <w:tcPr>
            <w:tcW w:w="1073" w:type="dxa"/>
          </w:tcPr>
          <w:p w14:paraId="1A102B3D" w14:textId="77777777" w:rsidR="006F26AC" w:rsidRDefault="006F26AC" w:rsidP="006F26AC">
            <w:pPr>
              <w:jc w:val="center"/>
            </w:pPr>
          </w:p>
        </w:tc>
      </w:tr>
      <w:tr w:rsidR="006F26AC" w14:paraId="54EFC2C1" w14:textId="77777777" w:rsidTr="006F26AC">
        <w:tc>
          <w:tcPr>
            <w:tcW w:w="9383" w:type="dxa"/>
          </w:tcPr>
          <w:p w14:paraId="2B525E2E" w14:textId="77777777" w:rsidR="006F26AC" w:rsidRPr="00B47B85" w:rsidRDefault="00B47B85">
            <w:pPr>
              <w:rPr>
                <w:b/>
                <w:bCs/>
                <w:color w:val="0070C0"/>
              </w:rPr>
            </w:pPr>
            <w:r w:rsidRPr="00B47B85">
              <w:rPr>
                <w:b/>
                <w:bCs/>
                <w:color w:val="0070C0"/>
              </w:rPr>
              <w:t>Religious Experience</w:t>
            </w:r>
          </w:p>
        </w:tc>
        <w:tc>
          <w:tcPr>
            <w:tcW w:w="1073" w:type="dxa"/>
          </w:tcPr>
          <w:p w14:paraId="11F3E6F3" w14:textId="77777777" w:rsidR="006F26AC" w:rsidRDefault="006F26AC" w:rsidP="006F26AC">
            <w:pPr>
              <w:jc w:val="center"/>
            </w:pPr>
          </w:p>
        </w:tc>
      </w:tr>
      <w:tr w:rsidR="006F26AC" w14:paraId="4DA18C9E" w14:textId="77777777" w:rsidTr="006F26AC">
        <w:tc>
          <w:tcPr>
            <w:tcW w:w="9383" w:type="dxa"/>
          </w:tcPr>
          <w:p w14:paraId="0D0F5516" w14:textId="77777777" w:rsidR="006F26AC" w:rsidRPr="00B47B85" w:rsidRDefault="00B47B85">
            <w:pPr>
              <w:rPr>
                <w:b/>
                <w:bCs/>
                <w:color w:val="FF00FF"/>
              </w:rPr>
            </w:pPr>
            <w:r w:rsidRPr="00B47B85">
              <w:rPr>
                <w:b/>
                <w:bCs/>
                <w:color w:val="FF00FF"/>
              </w:rPr>
              <w:t>Situation Ethics</w:t>
            </w:r>
          </w:p>
        </w:tc>
        <w:tc>
          <w:tcPr>
            <w:tcW w:w="1073" w:type="dxa"/>
          </w:tcPr>
          <w:p w14:paraId="203FE0D8" w14:textId="77777777" w:rsidR="006F26AC" w:rsidRDefault="006F26AC" w:rsidP="006F26AC">
            <w:pPr>
              <w:jc w:val="center"/>
            </w:pPr>
          </w:p>
        </w:tc>
      </w:tr>
      <w:tr w:rsidR="006F26AC" w14:paraId="53EF0D83" w14:textId="77777777" w:rsidTr="006F26AC">
        <w:tc>
          <w:tcPr>
            <w:tcW w:w="9383" w:type="dxa"/>
          </w:tcPr>
          <w:p w14:paraId="499C748C" w14:textId="77777777" w:rsidR="006F26AC" w:rsidRPr="00B47B85" w:rsidRDefault="00B47B85">
            <w:pPr>
              <w:rPr>
                <w:b/>
                <w:bCs/>
              </w:rPr>
            </w:pPr>
            <w:r w:rsidRPr="00B47B85">
              <w:rPr>
                <w:b/>
                <w:bCs/>
                <w:color w:val="FF00FF"/>
              </w:rPr>
              <w:t>Natural Moral Law</w:t>
            </w:r>
          </w:p>
        </w:tc>
        <w:tc>
          <w:tcPr>
            <w:tcW w:w="1073" w:type="dxa"/>
          </w:tcPr>
          <w:p w14:paraId="122FEEF6" w14:textId="77777777" w:rsidR="006F26AC" w:rsidRDefault="006F26AC" w:rsidP="006F26AC">
            <w:pPr>
              <w:jc w:val="center"/>
            </w:pPr>
          </w:p>
        </w:tc>
      </w:tr>
      <w:tr w:rsidR="006F26AC" w14:paraId="20C0FFDE" w14:textId="77777777" w:rsidTr="006F26AC">
        <w:tc>
          <w:tcPr>
            <w:tcW w:w="9383" w:type="dxa"/>
          </w:tcPr>
          <w:p w14:paraId="14E632A2" w14:textId="77777777" w:rsidR="006F26AC" w:rsidRPr="00B47B85" w:rsidRDefault="00B47B85">
            <w:pPr>
              <w:rPr>
                <w:b/>
                <w:bCs/>
                <w:color w:val="FF00FF"/>
              </w:rPr>
            </w:pPr>
            <w:r w:rsidRPr="00B47B85">
              <w:rPr>
                <w:b/>
                <w:bCs/>
                <w:color w:val="FF00FF"/>
              </w:rPr>
              <w:t>Virtue Ethics</w:t>
            </w:r>
          </w:p>
        </w:tc>
        <w:tc>
          <w:tcPr>
            <w:tcW w:w="1073" w:type="dxa"/>
          </w:tcPr>
          <w:p w14:paraId="5E3134BC" w14:textId="77777777" w:rsidR="006F26AC" w:rsidRDefault="006F26AC" w:rsidP="006F26AC">
            <w:pPr>
              <w:jc w:val="center"/>
            </w:pPr>
          </w:p>
        </w:tc>
      </w:tr>
      <w:tr w:rsidR="006F26AC" w14:paraId="0C290117" w14:textId="77777777" w:rsidTr="006F26AC">
        <w:tc>
          <w:tcPr>
            <w:tcW w:w="9383" w:type="dxa"/>
          </w:tcPr>
          <w:p w14:paraId="2724ACE2" w14:textId="77777777" w:rsidR="006F26AC" w:rsidRPr="00B47B85" w:rsidRDefault="00B47B85">
            <w:pPr>
              <w:rPr>
                <w:b/>
                <w:bCs/>
                <w:color w:val="FF00FF"/>
              </w:rPr>
            </w:pPr>
            <w:r w:rsidRPr="00B47B85">
              <w:rPr>
                <w:b/>
                <w:bCs/>
                <w:color w:val="FF00FF"/>
              </w:rPr>
              <w:t>Application to human life and non-human life</w:t>
            </w:r>
          </w:p>
        </w:tc>
        <w:tc>
          <w:tcPr>
            <w:tcW w:w="1073" w:type="dxa"/>
          </w:tcPr>
          <w:p w14:paraId="45092DA6" w14:textId="77777777" w:rsidR="006F26AC" w:rsidRDefault="006F26AC" w:rsidP="006F26AC">
            <w:pPr>
              <w:jc w:val="center"/>
            </w:pPr>
          </w:p>
        </w:tc>
      </w:tr>
      <w:tr w:rsidR="006F26AC" w14:paraId="12970276" w14:textId="77777777" w:rsidTr="006F26AC">
        <w:tc>
          <w:tcPr>
            <w:tcW w:w="9383" w:type="dxa"/>
          </w:tcPr>
          <w:p w14:paraId="1C1B8349" w14:textId="77777777" w:rsidR="006F26AC" w:rsidRPr="00B47B85" w:rsidRDefault="00B47B85">
            <w:pPr>
              <w:rPr>
                <w:b/>
                <w:bCs/>
                <w:color w:val="00B050"/>
              </w:rPr>
            </w:pPr>
            <w:r w:rsidRPr="00B47B85">
              <w:rPr>
                <w:b/>
                <w:bCs/>
                <w:color w:val="00B050"/>
              </w:rPr>
              <w:t xml:space="preserve">Sources of </w:t>
            </w:r>
            <w:r>
              <w:rPr>
                <w:b/>
                <w:bCs/>
                <w:color w:val="00B050"/>
              </w:rPr>
              <w:t>wisdom and authority</w:t>
            </w:r>
          </w:p>
        </w:tc>
        <w:tc>
          <w:tcPr>
            <w:tcW w:w="1073" w:type="dxa"/>
          </w:tcPr>
          <w:p w14:paraId="66883646" w14:textId="77777777" w:rsidR="006F26AC" w:rsidRDefault="006F26AC" w:rsidP="006F26AC">
            <w:pPr>
              <w:jc w:val="center"/>
            </w:pPr>
          </w:p>
        </w:tc>
      </w:tr>
      <w:tr w:rsidR="006F26AC" w14:paraId="4B1411A2" w14:textId="77777777" w:rsidTr="006F26AC">
        <w:tc>
          <w:tcPr>
            <w:tcW w:w="9383" w:type="dxa"/>
          </w:tcPr>
          <w:p w14:paraId="464612FA" w14:textId="77777777" w:rsidR="006F26AC" w:rsidRPr="00B47B85" w:rsidRDefault="00B47B85">
            <w:pPr>
              <w:rPr>
                <w:b/>
                <w:bCs/>
              </w:rPr>
            </w:pPr>
            <w:r w:rsidRPr="00564115">
              <w:rPr>
                <w:b/>
                <w:bCs/>
                <w:color w:val="00B050"/>
              </w:rPr>
              <w:t>God</w:t>
            </w:r>
          </w:p>
        </w:tc>
        <w:tc>
          <w:tcPr>
            <w:tcW w:w="1073" w:type="dxa"/>
          </w:tcPr>
          <w:p w14:paraId="0952DDCF" w14:textId="77777777" w:rsidR="006F26AC" w:rsidRDefault="006F26AC" w:rsidP="006F26AC">
            <w:pPr>
              <w:jc w:val="center"/>
            </w:pPr>
          </w:p>
        </w:tc>
      </w:tr>
      <w:tr w:rsidR="006F26AC" w14:paraId="2AF6272B" w14:textId="77777777" w:rsidTr="006F26AC">
        <w:tc>
          <w:tcPr>
            <w:tcW w:w="9383" w:type="dxa"/>
          </w:tcPr>
          <w:p w14:paraId="5BF55FF9" w14:textId="77777777" w:rsidR="006F26AC" w:rsidRPr="00564115" w:rsidRDefault="00B47B85">
            <w:pPr>
              <w:rPr>
                <w:b/>
                <w:bCs/>
                <w:color w:val="00B050"/>
              </w:rPr>
            </w:pPr>
            <w:r w:rsidRPr="00564115">
              <w:rPr>
                <w:b/>
                <w:bCs/>
                <w:color w:val="00B050"/>
              </w:rPr>
              <w:t>Self, death and the afterlife</w:t>
            </w:r>
          </w:p>
        </w:tc>
        <w:tc>
          <w:tcPr>
            <w:tcW w:w="1073" w:type="dxa"/>
          </w:tcPr>
          <w:p w14:paraId="6F6FB16A" w14:textId="77777777" w:rsidR="006F26AC" w:rsidRDefault="006F26AC" w:rsidP="006F26AC">
            <w:pPr>
              <w:jc w:val="center"/>
            </w:pPr>
          </w:p>
        </w:tc>
      </w:tr>
      <w:tr w:rsidR="006F26AC" w14:paraId="538F0CEE" w14:textId="77777777" w:rsidTr="006F26AC">
        <w:tc>
          <w:tcPr>
            <w:tcW w:w="9383" w:type="dxa"/>
          </w:tcPr>
          <w:p w14:paraId="4049799B" w14:textId="77777777" w:rsidR="006F26AC" w:rsidRPr="00564115" w:rsidRDefault="00564115">
            <w:pPr>
              <w:rPr>
                <w:b/>
                <w:bCs/>
                <w:color w:val="00B050"/>
              </w:rPr>
            </w:pPr>
            <w:r w:rsidRPr="00564115">
              <w:rPr>
                <w:b/>
                <w:bCs/>
                <w:color w:val="00B050"/>
              </w:rPr>
              <w:t>Good conduct and key moral principles</w:t>
            </w:r>
          </w:p>
        </w:tc>
        <w:tc>
          <w:tcPr>
            <w:tcW w:w="1073" w:type="dxa"/>
          </w:tcPr>
          <w:p w14:paraId="5DCB191B" w14:textId="77777777" w:rsidR="006F26AC" w:rsidRDefault="006F26AC" w:rsidP="006F26AC">
            <w:pPr>
              <w:jc w:val="center"/>
            </w:pPr>
          </w:p>
        </w:tc>
      </w:tr>
      <w:tr w:rsidR="006F26AC" w14:paraId="2F584252" w14:textId="77777777" w:rsidTr="006F26AC">
        <w:tc>
          <w:tcPr>
            <w:tcW w:w="9383" w:type="dxa"/>
          </w:tcPr>
          <w:p w14:paraId="31EFE46C" w14:textId="77777777" w:rsidR="006F26AC" w:rsidRPr="00564115" w:rsidRDefault="00564115">
            <w:pPr>
              <w:rPr>
                <w:b/>
                <w:bCs/>
                <w:color w:val="00B050"/>
              </w:rPr>
            </w:pPr>
            <w:r w:rsidRPr="00564115">
              <w:rPr>
                <w:b/>
                <w:bCs/>
                <w:color w:val="00B050"/>
              </w:rPr>
              <w:t>Expressions of religious identity</w:t>
            </w:r>
          </w:p>
        </w:tc>
        <w:tc>
          <w:tcPr>
            <w:tcW w:w="1073" w:type="dxa"/>
          </w:tcPr>
          <w:p w14:paraId="5B1AD488" w14:textId="77777777" w:rsidR="006F26AC" w:rsidRDefault="006F26AC" w:rsidP="006F26AC">
            <w:pPr>
              <w:jc w:val="center"/>
            </w:pPr>
          </w:p>
        </w:tc>
      </w:tr>
      <w:tr w:rsidR="006F26AC" w14:paraId="3D17ADDB" w14:textId="77777777" w:rsidTr="00273C2C">
        <w:tc>
          <w:tcPr>
            <w:tcW w:w="10456" w:type="dxa"/>
            <w:gridSpan w:val="2"/>
          </w:tcPr>
          <w:p w14:paraId="67F50041" w14:textId="77777777" w:rsidR="006F26AC" w:rsidRDefault="006F26AC" w:rsidP="006F26AC">
            <w:pPr>
              <w:jc w:val="center"/>
            </w:pPr>
            <w:r>
              <w:t>Revision Links</w:t>
            </w:r>
          </w:p>
        </w:tc>
      </w:tr>
      <w:tr w:rsidR="006F26AC" w14:paraId="181ACCFB" w14:textId="77777777" w:rsidTr="00273C2C">
        <w:tc>
          <w:tcPr>
            <w:tcW w:w="10456" w:type="dxa"/>
            <w:gridSpan w:val="2"/>
          </w:tcPr>
          <w:p w14:paraId="50758825" w14:textId="77777777" w:rsidR="006F26AC" w:rsidRDefault="006F26AC" w:rsidP="006F26AC">
            <w:pPr>
              <w:jc w:val="center"/>
            </w:pPr>
          </w:p>
          <w:p w14:paraId="47F4C843" w14:textId="77777777" w:rsidR="00564115" w:rsidRDefault="00564115" w:rsidP="00564115">
            <w:pPr>
              <w:pStyle w:val="paragraph"/>
              <w:numPr>
                <w:ilvl w:val="0"/>
                <w:numId w:val="2"/>
              </w:numPr>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You have been loaned revision guides for both Paper 1 and Paper 2- please make good use of them!</w:t>
            </w:r>
            <w:r>
              <w:rPr>
                <w:rStyle w:val="eop"/>
                <w:rFonts w:ascii="Calibri" w:eastAsiaTheme="majorEastAsia" w:hAnsi="Calibri" w:cs="Calibri"/>
                <w:sz w:val="22"/>
                <w:szCs w:val="22"/>
              </w:rPr>
              <w:t> </w:t>
            </w:r>
          </w:p>
          <w:p w14:paraId="14B37D7F" w14:textId="77777777" w:rsidR="00564115" w:rsidRDefault="00C51174" w:rsidP="00564115">
            <w:pPr>
              <w:pStyle w:val="paragraph"/>
              <w:numPr>
                <w:ilvl w:val="0"/>
                <w:numId w:val="2"/>
              </w:numPr>
              <w:spacing w:before="0" w:beforeAutospacing="0" w:after="0" w:afterAutospacing="0"/>
              <w:textAlignment w:val="baseline"/>
              <w:rPr>
                <w:rStyle w:val="eop"/>
                <w:rFonts w:ascii="Calibri" w:eastAsiaTheme="majorEastAsia" w:hAnsi="Calibri" w:cs="Calibri"/>
                <w:sz w:val="22"/>
                <w:szCs w:val="22"/>
              </w:rPr>
            </w:pPr>
            <w:hyperlink r:id="rId8" w:history="1">
              <w:r w:rsidR="00564115" w:rsidRPr="00285672">
                <w:rPr>
                  <w:rStyle w:val="Hyperlink"/>
                  <w:rFonts w:ascii="Calibri" w:eastAsiaTheme="majorEastAsia" w:hAnsi="Calibri" w:cs="Calibri"/>
                  <w:sz w:val="22"/>
                  <w:szCs w:val="22"/>
                </w:rPr>
                <w:t>https://revisionworld.com/a2-level-level-revision/religious-studies-level-revision</w:t>
              </w:r>
            </w:hyperlink>
            <w:r w:rsidR="00564115" w:rsidRPr="0072034F">
              <w:rPr>
                <w:rStyle w:val="normaltextrun"/>
                <w:rFonts w:ascii="Calibri" w:eastAsiaTheme="majorEastAsia" w:hAnsi="Calibri" w:cs="Calibri"/>
                <w:sz w:val="22"/>
                <w:szCs w:val="22"/>
              </w:rPr>
              <w:t>  </w:t>
            </w:r>
            <w:r w:rsidR="00564115" w:rsidRPr="0072034F">
              <w:rPr>
                <w:rStyle w:val="eop"/>
                <w:rFonts w:ascii="Calibri" w:eastAsiaTheme="majorEastAsia" w:hAnsi="Calibri" w:cs="Calibri"/>
                <w:sz w:val="22"/>
                <w:szCs w:val="22"/>
              </w:rPr>
              <w:t> </w:t>
            </w:r>
          </w:p>
          <w:p w14:paraId="44E22BBB" w14:textId="77777777" w:rsidR="00564115" w:rsidRDefault="00C51174" w:rsidP="00564115">
            <w:pPr>
              <w:pStyle w:val="paragraph"/>
              <w:numPr>
                <w:ilvl w:val="0"/>
                <w:numId w:val="2"/>
              </w:numPr>
              <w:spacing w:before="0" w:beforeAutospacing="0" w:after="0" w:afterAutospacing="0"/>
              <w:textAlignment w:val="baseline"/>
              <w:rPr>
                <w:rStyle w:val="normaltextrun"/>
                <w:rFonts w:ascii="Calibri" w:eastAsiaTheme="majorEastAsia" w:hAnsi="Calibri" w:cs="Calibri"/>
                <w:sz w:val="22"/>
                <w:szCs w:val="22"/>
              </w:rPr>
            </w:pPr>
            <w:hyperlink r:id="rId9" w:history="1">
              <w:r w:rsidR="00564115" w:rsidRPr="00285672">
                <w:rPr>
                  <w:rStyle w:val="Hyperlink"/>
                  <w:rFonts w:ascii="Calibri" w:eastAsiaTheme="majorEastAsia" w:hAnsi="Calibri" w:cs="Calibri"/>
                  <w:sz w:val="22"/>
                  <w:szCs w:val="22"/>
                </w:rPr>
                <w:t>https://www.aqa.org.uk/subjects/religious-studies/as-and-a-level/religious-studies-7062</w:t>
              </w:r>
            </w:hyperlink>
            <w:r w:rsidR="00564115" w:rsidRPr="0072034F">
              <w:rPr>
                <w:rStyle w:val="normaltextrun"/>
                <w:rFonts w:ascii="Calibri" w:eastAsiaTheme="majorEastAsia" w:hAnsi="Calibri" w:cs="Calibri"/>
                <w:sz w:val="22"/>
                <w:szCs w:val="22"/>
              </w:rPr>
              <w:t> (Past papers)</w:t>
            </w:r>
          </w:p>
          <w:p w14:paraId="33B4806C" w14:textId="77777777" w:rsidR="006F26AC" w:rsidRDefault="006F26AC" w:rsidP="006F26AC"/>
          <w:p w14:paraId="2EAF80C2" w14:textId="77777777" w:rsidR="006F26AC" w:rsidRDefault="006F26AC" w:rsidP="006F26AC">
            <w:pPr>
              <w:jc w:val="center"/>
            </w:pPr>
          </w:p>
          <w:p w14:paraId="1DEB5DEF" w14:textId="77777777" w:rsidR="006F26AC" w:rsidRDefault="006F26AC" w:rsidP="006F26AC">
            <w:pPr>
              <w:jc w:val="center"/>
            </w:pPr>
          </w:p>
          <w:p w14:paraId="697F49ED" w14:textId="77777777" w:rsidR="006F26AC" w:rsidRDefault="006F26AC" w:rsidP="006F26AC">
            <w:pPr>
              <w:jc w:val="center"/>
            </w:pPr>
          </w:p>
          <w:p w14:paraId="5343FA77" w14:textId="77777777" w:rsidR="006F26AC" w:rsidRDefault="006F26AC" w:rsidP="00564115"/>
          <w:p w14:paraId="71EC7A40" w14:textId="77777777" w:rsidR="006F26AC" w:rsidRDefault="006F26AC" w:rsidP="006F26AC">
            <w:pPr>
              <w:jc w:val="center"/>
            </w:pPr>
          </w:p>
        </w:tc>
      </w:tr>
    </w:tbl>
    <w:p w14:paraId="57368A08" w14:textId="77777777" w:rsidR="00A72902" w:rsidRDefault="00A72902"/>
    <w:sectPr w:rsidR="00A72902" w:rsidSect="006F26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C733C"/>
    <w:multiLevelType w:val="hybridMultilevel"/>
    <w:tmpl w:val="DD6AD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037C16"/>
    <w:multiLevelType w:val="hybridMultilevel"/>
    <w:tmpl w:val="77187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4987180">
    <w:abstractNumId w:val="0"/>
  </w:num>
  <w:num w:numId="2" w16cid:durableId="1794206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74"/>
    <w:rsid w:val="00251A49"/>
    <w:rsid w:val="00490018"/>
    <w:rsid w:val="00564115"/>
    <w:rsid w:val="006410D0"/>
    <w:rsid w:val="006F26AC"/>
    <w:rsid w:val="00921829"/>
    <w:rsid w:val="00A72902"/>
    <w:rsid w:val="00B47B85"/>
    <w:rsid w:val="00BF4A5D"/>
    <w:rsid w:val="00BF66A2"/>
    <w:rsid w:val="00C51174"/>
    <w:rsid w:val="00D13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3263"/>
  <w15:chartTrackingRefBased/>
  <w15:docId w15:val="{BAE4BB64-1ADB-47E3-8F11-07161914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6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6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6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6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6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6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6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6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6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6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6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6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6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6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6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6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6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6AC"/>
    <w:rPr>
      <w:rFonts w:eastAsiaTheme="majorEastAsia" w:cstheme="majorBidi"/>
      <w:color w:val="272727" w:themeColor="text1" w:themeTint="D8"/>
    </w:rPr>
  </w:style>
  <w:style w:type="paragraph" w:styleId="Title">
    <w:name w:val="Title"/>
    <w:basedOn w:val="Normal"/>
    <w:next w:val="Normal"/>
    <w:link w:val="TitleChar"/>
    <w:uiPriority w:val="10"/>
    <w:qFormat/>
    <w:rsid w:val="006F26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6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6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6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6AC"/>
    <w:pPr>
      <w:spacing w:before="160"/>
      <w:jc w:val="center"/>
    </w:pPr>
    <w:rPr>
      <w:i/>
      <w:iCs/>
      <w:color w:val="404040" w:themeColor="text1" w:themeTint="BF"/>
    </w:rPr>
  </w:style>
  <w:style w:type="character" w:customStyle="1" w:styleId="QuoteChar">
    <w:name w:val="Quote Char"/>
    <w:basedOn w:val="DefaultParagraphFont"/>
    <w:link w:val="Quote"/>
    <w:uiPriority w:val="29"/>
    <w:rsid w:val="006F26AC"/>
    <w:rPr>
      <w:i/>
      <w:iCs/>
      <w:color w:val="404040" w:themeColor="text1" w:themeTint="BF"/>
    </w:rPr>
  </w:style>
  <w:style w:type="paragraph" w:styleId="ListParagraph">
    <w:name w:val="List Paragraph"/>
    <w:basedOn w:val="Normal"/>
    <w:uiPriority w:val="34"/>
    <w:qFormat/>
    <w:rsid w:val="006F26AC"/>
    <w:pPr>
      <w:ind w:left="720"/>
      <w:contextualSpacing/>
    </w:pPr>
  </w:style>
  <w:style w:type="character" w:styleId="IntenseEmphasis">
    <w:name w:val="Intense Emphasis"/>
    <w:basedOn w:val="DefaultParagraphFont"/>
    <w:uiPriority w:val="21"/>
    <w:qFormat/>
    <w:rsid w:val="006F26AC"/>
    <w:rPr>
      <w:i/>
      <w:iCs/>
      <w:color w:val="0F4761" w:themeColor="accent1" w:themeShade="BF"/>
    </w:rPr>
  </w:style>
  <w:style w:type="paragraph" w:styleId="IntenseQuote">
    <w:name w:val="Intense Quote"/>
    <w:basedOn w:val="Normal"/>
    <w:next w:val="Normal"/>
    <w:link w:val="IntenseQuoteChar"/>
    <w:uiPriority w:val="30"/>
    <w:qFormat/>
    <w:rsid w:val="006F26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6AC"/>
    <w:rPr>
      <w:i/>
      <w:iCs/>
      <w:color w:val="0F4761" w:themeColor="accent1" w:themeShade="BF"/>
    </w:rPr>
  </w:style>
  <w:style w:type="character" w:styleId="IntenseReference">
    <w:name w:val="Intense Reference"/>
    <w:basedOn w:val="DefaultParagraphFont"/>
    <w:uiPriority w:val="32"/>
    <w:qFormat/>
    <w:rsid w:val="006F26AC"/>
    <w:rPr>
      <w:b/>
      <w:bCs/>
      <w:smallCaps/>
      <w:color w:val="0F4761" w:themeColor="accent1" w:themeShade="BF"/>
      <w:spacing w:val="5"/>
    </w:rPr>
  </w:style>
  <w:style w:type="table" w:styleId="TableGrid">
    <w:name w:val="Table Grid"/>
    <w:basedOn w:val="TableNormal"/>
    <w:uiPriority w:val="39"/>
    <w:rsid w:val="006F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4115"/>
    <w:rPr>
      <w:color w:val="467886" w:themeColor="hyperlink"/>
      <w:u w:val="single"/>
    </w:rPr>
  </w:style>
  <w:style w:type="paragraph" w:customStyle="1" w:styleId="paragraph">
    <w:name w:val="paragraph"/>
    <w:basedOn w:val="Normal"/>
    <w:rsid w:val="0056411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64115"/>
  </w:style>
  <w:style w:type="character" w:customStyle="1" w:styleId="eop">
    <w:name w:val="eop"/>
    <w:basedOn w:val="DefaultParagraphFont"/>
    <w:rsid w:val="00564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790842">
      <w:bodyDiv w:val="1"/>
      <w:marLeft w:val="0"/>
      <w:marRight w:val="0"/>
      <w:marTop w:val="0"/>
      <w:marBottom w:val="0"/>
      <w:divBdr>
        <w:top w:val="none" w:sz="0" w:space="0" w:color="auto"/>
        <w:left w:val="none" w:sz="0" w:space="0" w:color="auto"/>
        <w:bottom w:val="none" w:sz="0" w:space="0" w:color="auto"/>
        <w:right w:val="none" w:sz="0" w:space="0" w:color="auto"/>
      </w:divBdr>
      <w:divsChild>
        <w:div w:id="689187202">
          <w:marLeft w:val="0"/>
          <w:marRight w:val="0"/>
          <w:marTop w:val="0"/>
          <w:marBottom w:val="0"/>
          <w:divBdr>
            <w:top w:val="none" w:sz="0" w:space="0" w:color="auto"/>
            <w:left w:val="none" w:sz="0" w:space="0" w:color="auto"/>
            <w:bottom w:val="none" w:sz="0" w:space="0" w:color="auto"/>
            <w:right w:val="none" w:sz="0" w:space="0" w:color="auto"/>
          </w:divBdr>
        </w:div>
        <w:div w:id="1964647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ionworld.com/a2-level-level-revision/religious-studies-level-revis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qa.org.uk/subjects/religious-studies/as-and-a-level/religious-studies-70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eay\OneDrive%20-%20Omega%20Multi%20Academy%20Trust\2024%202025\ADHT\Revision\Philosophy%20June%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E2ADC1C59294E96312C994B18C9DC" ma:contentTypeVersion="6" ma:contentTypeDescription="Create a new document." ma:contentTypeScope="" ma:versionID="33bb2c767bfb4d5f103063fd84e3ac72">
  <xsd:schema xmlns:xsd="http://www.w3.org/2001/XMLSchema" xmlns:xs="http://www.w3.org/2001/XMLSchema" xmlns:p="http://schemas.microsoft.com/office/2006/metadata/properties" xmlns:ns2="3cc059da-c3a2-4306-b2aa-7cfdfbc83294" xmlns:ns3="4921c1ca-cec4-45cf-b6c0-a5651dc008fc" targetNamespace="http://schemas.microsoft.com/office/2006/metadata/properties" ma:root="true" ma:fieldsID="89a383988e95d3d3f30e5e782046694c" ns2:_="" ns3:_="">
    <xsd:import namespace="3cc059da-c3a2-4306-b2aa-7cfdfbc83294"/>
    <xsd:import namespace="4921c1ca-cec4-45cf-b6c0-a5651dc008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059da-c3a2-4306-b2aa-7cfdfbc83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21c1ca-cec4-45cf-b6c0-a5651dc008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E5C213-5546-4695-BBCB-5EE2CFE7B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059da-c3a2-4306-b2aa-7cfdfbc83294"/>
    <ds:schemaRef ds:uri="4921c1ca-cec4-45cf-b6c0-a5651dc00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4D781-D083-480C-8E59-FA977FF73012}">
  <ds:schemaRefs>
    <ds:schemaRef ds:uri="http://schemas.microsoft.com/sharepoint/v3/contenttype/forms"/>
  </ds:schemaRefs>
</ds:datastoreItem>
</file>

<file path=customXml/itemProps3.xml><?xml version="1.0" encoding="utf-8"?>
<ds:datastoreItem xmlns:ds="http://schemas.openxmlformats.org/officeDocument/2006/customXml" ds:itemID="{F9812D65-92B8-4F0E-908E-E1EE7B92F5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Philosophy June 2025</Template>
  <TotalTime>0</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Omega Multi Academy Trust</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Deay</dc:creator>
  <cp:keywords/>
  <dc:description/>
  <cp:lastModifiedBy>Paul Deay</cp:lastModifiedBy>
  <cp:revision>1</cp:revision>
  <dcterms:created xsi:type="dcterms:W3CDTF">2025-05-07T16:08:00Z</dcterms:created>
  <dcterms:modified xsi:type="dcterms:W3CDTF">2025-05-07T16:08:00Z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0x0101008BEE2ADC1C59294E96312C994B18C9DC</vt:lpwstr>
  </property>
</Properties>
</file>