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F26AC" w:rsidTr="5A91C609" w14:paraId="782F271B" w14:textId="77777777">
        <w:tc>
          <w:tcPr>
            <w:tcW w:w="10456" w:type="dxa"/>
            <w:shd w:val="clear" w:color="auto" w:fill="F2F2F2" w:themeFill="background1" w:themeFillShade="F2"/>
            <w:tcMar/>
          </w:tcPr>
          <w:p w:rsidRPr="001E3FFA" w:rsidR="006F26AC" w:rsidP="006F26AC" w:rsidRDefault="001E3FFA" w14:paraId="2617C00B" w14:textId="32F777A4">
            <w:pPr>
              <w:jc w:val="center"/>
              <w:rPr>
                <w:b w:val="1"/>
                <w:bCs w:val="1"/>
              </w:rPr>
            </w:pPr>
            <w:r w:rsidRPr="5A91C609" w:rsidR="18693398">
              <w:rPr>
                <w:b w:val="1"/>
                <w:bCs w:val="1"/>
              </w:rPr>
              <w:t xml:space="preserve">Y10 </w:t>
            </w:r>
            <w:r w:rsidRPr="5A91C609" w:rsidR="3C96EF53">
              <w:rPr>
                <w:b w:val="1"/>
                <w:bCs w:val="1"/>
              </w:rPr>
              <w:t>Statistics</w:t>
            </w:r>
            <w:r w:rsidRPr="5A91C609" w:rsidR="006F26AC">
              <w:rPr>
                <w:b w:val="1"/>
                <w:bCs w:val="1"/>
              </w:rPr>
              <w:t xml:space="preserve"> Revision List Summer 202</w:t>
            </w:r>
            <w:r w:rsidRPr="5A91C609" w:rsidR="3F0C48F0">
              <w:rPr>
                <w:b w:val="1"/>
                <w:bCs w:val="1"/>
              </w:rPr>
              <w:t>6</w:t>
            </w:r>
          </w:p>
        </w:tc>
      </w:tr>
      <w:tr w:rsidR="006F26AC" w:rsidTr="5A91C609" w14:paraId="5851FCBC" w14:textId="77777777">
        <w:trPr>
          <w:trHeight w:val="1122"/>
        </w:trPr>
        <w:tc>
          <w:tcPr>
            <w:tcW w:w="10456" w:type="dxa"/>
            <w:tcMar/>
          </w:tcPr>
          <w:p w:rsidRPr="001E3FFA" w:rsidR="006F26AC" w:rsidP="006F26AC" w:rsidRDefault="006F26AC" w14:paraId="43FC3117" w14:textId="77777777">
            <w:pPr>
              <w:rPr>
                <w:b/>
                <w:bCs/>
              </w:rPr>
            </w:pPr>
            <w:r w:rsidRPr="001E3FFA">
              <w:rPr>
                <w:b/>
                <w:bCs/>
              </w:rPr>
              <w:t>Exam information:</w:t>
            </w:r>
          </w:p>
          <w:p w:rsidR="001E3FFA" w:rsidP="006F26AC" w:rsidRDefault="001E3FFA" w14:paraId="5470314A" w14:textId="7F9CF048">
            <w:r>
              <w:t>One assessment based upon the material covered for AQA GCSE Statistics 8382.</w:t>
            </w:r>
          </w:p>
          <w:p w:rsidR="001E3FFA" w:rsidP="006F26AC" w:rsidRDefault="001E3FFA" w14:paraId="6D419DBD" w14:textId="18273B56">
            <w:r>
              <w:t xml:space="preserve">Calculators are allowed in line with the </w:t>
            </w:r>
            <w:hyperlink w:history="1" r:id="rId8">
              <w:r w:rsidRPr="001E3FFA">
                <w:rPr>
                  <w:rStyle w:val="Hyperlink"/>
                </w:rPr>
                <w:t>JCQ guidance</w:t>
              </w:r>
            </w:hyperlink>
            <w:r>
              <w:t xml:space="preserve"> document from 2023</w:t>
            </w:r>
          </w:p>
          <w:p w:rsidRPr="001E3FFA" w:rsidR="006F26AC" w:rsidP="006F26AC" w:rsidRDefault="001E3FFA" w14:paraId="22E2227E" w14:textId="12EDC30B">
            <w:r>
              <w:t xml:space="preserve">All the usual Mathematics equipment </w:t>
            </w:r>
            <w:proofErr w:type="gramStart"/>
            <w:r w:rsidR="00A02736">
              <w:t>are</w:t>
            </w:r>
            <w:proofErr w:type="gramEnd"/>
            <w:r>
              <w:t xml:space="preserve"> required</w:t>
            </w:r>
            <w:r w:rsidR="00A02736">
              <w:t>.</w:t>
            </w:r>
          </w:p>
        </w:tc>
      </w:tr>
    </w:tbl>
    <w:p w:rsidRPr="00F6116A" w:rsidR="00F6116A" w:rsidP="00F6116A" w:rsidRDefault="00F6116A" w14:paraId="0DFAEBCC" w14:textId="77777777">
      <w:pPr>
        <w:spacing w:after="0"/>
        <w:rPr>
          <w:sz w:val="11"/>
          <w:szCs w:val="1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34"/>
        <w:gridCol w:w="1122"/>
      </w:tblGrid>
      <w:tr w:rsidR="006F26AC" w:rsidTr="5A91C609" w14:paraId="16194C5A" w14:textId="77777777">
        <w:tc>
          <w:tcPr>
            <w:tcW w:w="9334" w:type="dxa"/>
            <w:shd w:val="clear" w:color="auto" w:fill="F2F2F2" w:themeFill="background1" w:themeFillShade="F2"/>
            <w:tcMar/>
          </w:tcPr>
          <w:p w:rsidRPr="00A02736" w:rsidR="006F26AC" w:rsidP="006F26AC" w:rsidRDefault="006F26AC" w14:paraId="5C59A4A4" w14:textId="77777777">
            <w:pPr>
              <w:jc w:val="center"/>
              <w:rPr>
                <w:b/>
                <w:bCs/>
              </w:rPr>
            </w:pPr>
            <w:r w:rsidRPr="00A02736">
              <w:rPr>
                <w:b/>
                <w:bCs/>
              </w:rPr>
              <w:t>Topic</w:t>
            </w:r>
          </w:p>
        </w:tc>
        <w:tc>
          <w:tcPr>
            <w:tcW w:w="1122" w:type="dxa"/>
            <w:shd w:val="clear" w:color="auto" w:fill="F2F2F2" w:themeFill="background1" w:themeFillShade="F2"/>
            <w:tcMar/>
          </w:tcPr>
          <w:p w:rsidRPr="00A02736" w:rsidR="006F26AC" w:rsidP="006F26AC" w:rsidRDefault="006F26AC" w14:paraId="760E1A71" w14:textId="77777777">
            <w:pPr>
              <w:jc w:val="center"/>
              <w:rPr>
                <w:b/>
                <w:bCs/>
              </w:rPr>
            </w:pPr>
            <w:r w:rsidRPr="00A02736">
              <w:rPr>
                <w:b/>
                <w:bCs/>
              </w:rPr>
              <w:t>Revised?</w:t>
            </w:r>
          </w:p>
        </w:tc>
      </w:tr>
      <w:tr w:rsidR="00F6116A" w:rsidTr="5A91C609" w14:paraId="350E814D" w14:textId="77777777">
        <w:tc>
          <w:tcPr>
            <w:tcW w:w="9334" w:type="dxa"/>
            <w:tcMar/>
            <w:vAlign w:val="bottom"/>
          </w:tcPr>
          <w:p w:rsidRPr="00F6116A" w:rsidR="00F6116A" w:rsidP="00F6116A" w:rsidRDefault="00F6116A" w14:paraId="6392D05D" w14:textId="7F9520E2">
            <w:r w:rsidRPr="5BA9008B" w:rsidR="0D173867">
              <w:rPr>
                <w:color w:val="000000" w:themeColor="text1" w:themeTint="FF" w:themeShade="FF"/>
              </w:rPr>
              <w:t>Fair Samples</w:t>
            </w:r>
          </w:p>
        </w:tc>
        <w:tc>
          <w:tcPr>
            <w:tcW w:w="1122" w:type="dxa"/>
            <w:tcMar/>
          </w:tcPr>
          <w:p w:rsidR="00F6116A" w:rsidP="00F6116A" w:rsidRDefault="00F6116A" w14:paraId="12507E6B" w14:textId="77777777">
            <w:pPr>
              <w:jc w:val="center"/>
            </w:pPr>
          </w:p>
        </w:tc>
      </w:tr>
      <w:tr w:rsidR="00F6116A" w:rsidTr="5A91C609" w14:paraId="2279EC80" w14:textId="77777777">
        <w:tc>
          <w:tcPr>
            <w:tcW w:w="9334" w:type="dxa"/>
            <w:tcMar/>
            <w:vAlign w:val="bottom"/>
          </w:tcPr>
          <w:p w:rsidRPr="00F6116A" w:rsidR="00F6116A" w:rsidP="00F6116A" w:rsidRDefault="00F6116A" w14:paraId="088323D1" w14:textId="392E718A">
            <w:r w:rsidRPr="5BA9008B" w:rsidR="0D173867">
              <w:rPr>
                <w:color w:val="000000" w:themeColor="text1" w:themeTint="FF" w:themeShade="FF"/>
              </w:rPr>
              <w:t>Choropleth</w:t>
            </w:r>
          </w:p>
        </w:tc>
        <w:tc>
          <w:tcPr>
            <w:tcW w:w="1122" w:type="dxa"/>
            <w:tcMar/>
          </w:tcPr>
          <w:p w:rsidR="00F6116A" w:rsidP="00F6116A" w:rsidRDefault="00F6116A" w14:paraId="2A01CF49" w14:textId="77777777">
            <w:pPr>
              <w:jc w:val="center"/>
            </w:pPr>
          </w:p>
        </w:tc>
      </w:tr>
      <w:tr w:rsidR="00F6116A" w:rsidTr="5A91C609" w14:paraId="0D4090C7" w14:textId="77777777">
        <w:tc>
          <w:tcPr>
            <w:tcW w:w="9334" w:type="dxa"/>
            <w:tcMar/>
            <w:vAlign w:val="bottom"/>
          </w:tcPr>
          <w:p w:rsidRPr="00F6116A" w:rsidR="00F6116A" w:rsidP="00F6116A" w:rsidRDefault="00F6116A" w14:paraId="3A72C131" w14:textId="0F0CF2BD">
            <w:r w:rsidRPr="5BA9008B" w:rsidR="0D173867">
              <w:rPr>
                <w:color w:val="000000" w:themeColor="text1" w:themeTint="FF" w:themeShade="FF"/>
              </w:rPr>
              <w:t>Probability from tables</w:t>
            </w:r>
          </w:p>
        </w:tc>
        <w:tc>
          <w:tcPr>
            <w:tcW w:w="1122" w:type="dxa"/>
            <w:tcMar/>
          </w:tcPr>
          <w:p w:rsidR="00F6116A" w:rsidP="00F6116A" w:rsidRDefault="00F6116A" w14:paraId="5F6A54B5" w14:textId="77777777">
            <w:pPr>
              <w:jc w:val="center"/>
            </w:pPr>
          </w:p>
        </w:tc>
      </w:tr>
      <w:tr w:rsidR="00F6116A" w:rsidTr="5A91C609" w14:paraId="6B26A37A" w14:textId="77777777">
        <w:tc>
          <w:tcPr>
            <w:tcW w:w="9334" w:type="dxa"/>
            <w:tcMar/>
            <w:vAlign w:val="bottom"/>
          </w:tcPr>
          <w:p w:rsidRPr="00F6116A" w:rsidR="00F6116A" w:rsidP="5BA9008B" w:rsidRDefault="00F6116A" w14:paraId="00FEE0CA" w14:noSpellErr="1" w14:textId="70369343">
            <w:pPr>
              <w:rPr>
                <w:color w:val="000000" w:themeColor="text1" w:themeTint="FF" w:themeShade="FF"/>
              </w:rPr>
            </w:pPr>
            <w:r w:rsidRPr="228A6A85" w:rsidR="0D173867">
              <w:rPr>
                <w:color w:val="000000" w:themeColor="text1" w:themeTint="FF" w:themeShade="FF"/>
              </w:rPr>
              <w:t>Time series graphs</w:t>
            </w:r>
          </w:p>
        </w:tc>
        <w:tc>
          <w:tcPr>
            <w:tcW w:w="1122" w:type="dxa"/>
            <w:tcMar/>
          </w:tcPr>
          <w:p w:rsidR="00F6116A" w:rsidP="00F6116A" w:rsidRDefault="00F6116A" w14:paraId="4D02453A" w14:textId="77777777">
            <w:pPr>
              <w:jc w:val="center"/>
            </w:pPr>
          </w:p>
        </w:tc>
      </w:tr>
      <w:tr w:rsidR="00F6116A" w:rsidTr="5A91C609" w14:paraId="39F83CE7" w14:textId="77777777">
        <w:tc>
          <w:tcPr>
            <w:tcW w:w="9334" w:type="dxa"/>
            <w:tcMar/>
            <w:vAlign w:val="bottom"/>
          </w:tcPr>
          <w:p w:rsidRPr="00F6116A" w:rsidR="00F6116A" w:rsidP="5BA9008B" w:rsidRDefault="00F6116A" w14:paraId="445A69B8" w14:noSpellErr="1" w14:textId="471150BC">
            <w:pPr>
              <w:rPr>
                <w:color w:val="000000" w:themeColor="text1" w:themeTint="FF" w:themeShade="FF"/>
              </w:rPr>
            </w:pPr>
            <w:r w:rsidRPr="228A6A85" w:rsidR="0D173867">
              <w:rPr>
                <w:color w:val="000000" w:themeColor="text1" w:themeTint="FF" w:themeShade="FF"/>
              </w:rPr>
              <w:t>Moving averages</w:t>
            </w:r>
          </w:p>
        </w:tc>
        <w:tc>
          <w:tcPr>
            <w:tcW w:w="1122" w:type="dxa"/>
            <w:tcMar/>
          </w:tcPr>
          <w:p w:rsidR="00F6116A" w:rsidP="00F6116A" w:rsidRDefault="00F6116A" w14:paraId="5B968EFC" w14:textId="77777777">
            <w:pPr>
              <w:jc w:val="center"/>
            </w:pPr>
          </w:p>
        </w:tc>
      </w:tr>
      <w:tr w:rsidR="00F6116A" w:rsidTr="5A91C609" w14:paraId="01A05E4B" w14:textId="77777777">
        <w:tc>
          <w:tcPr>
            <w:tcW w:w="9334" w:type="dxa"/>
            <w:tcMar/>
            <w:vAlign w:val="bottom"/>
          </w:tcPr>
          <w:p w:rsidRPr="00F6116A" w:rsidR="00F6116A" w:rsidP="5BA9008B" w:rsidRDefault="00F6116A" w14:paraId="03453E37" w14:noSpellErr="1" w14:textId="08BEDC13">
            <w:pPr/>
            <w:r w:rsidRPr="5A91C609" w:rsidR="0D173867">
              <w:rPr>
                <w:color w:val="000000" w:themeColor="text1" w:themeTint="FF" w:themeShade="FF"/>
              </w:rPr>
              <w:t>T</w:t>
            </w:r>
            <w:r w:rsidRPr="5A91C609" w:rsidR="0D173867">
              <w:rPr>
                <w:color w:val="000000" w:themeColor="text1" w:themeTint="FF" w:themeShade="FF"/>
              </w:rPr>
              <w:t>r</w:t>
            </w:r>
            <w:r w:rsidRPr="5A91C609" w:rsidR="0D173867">
              <w:rPr>
                <w:color w:val="000000" w:themeColor="text1" w:themeTint="FF" w:themeShade="FF"/>
              </w:rPr>
              <w:t>e</w:t>
            </w:r>
            <w:r w:rsidRPr="5A91C609" w:rsidR="0D173867">
              <w:rPr>
                <w:color w:val="000000" w:themeColor="text1" w:themeTint="FF" w:themeShade="FF"/>
              </w:rPr>
              <w:t>n</w:t>
            </w:r>
            <w:r w:rsidRPr="5A91C609" w:rsidR="0D173867">
              <w:rPr>
                <w:color w:val="000000" w:themeColor="text1" w:themeTint="FF" w:themeShade="FF"/>
              </w:rPr>
              <w:t>d</w:t>
            </w:r>
            <w:r w:rsidRPr="5A91C609" w:rsidR="0D173867">
              <w:rPr>
                <w:color w:val="000000" w:themeColor="text1" w:themeTint="FF" w:themeShade="FF"/>
              </w:rPr>
              <w:t xml:space="preserve"> </w:t>
            </w:r>
            <w:r w:rsidRPr="5A91C609" w:rsidR="0D173867">
              <w:rPr>
                <w:color w:val="000000" w:themeColor="text1" w:themeTint="FF" w:themeShade="FF"/>
              </w:rPr>
              <w:t>l</w:t>
            </w:r>
            <w:r w:rsidRPr="5A91C609" w:rsidR="0D173867">
              <w:rPr>
                <w:color w:val="000000" w:themeColor="text1" w:themeTint="FF" w:themeShade="FF"/>
              </w:rPr>
              <w:t>i</w:t>
            </w:r>
            <w:r w:rsidRPr="5A91C609" w:rsidR="0D173867">
              <w:rPr>
                <w:color w:val="000000" w:themeColor="text1" w:themeTint="FF" w:themeShade="FF"/>
              </w:rPr>
              <w:t>n</w:t>
            </w:r>
            <w:r w:rsidRPr="5A91C609" w:rsidR="0D173867">
              <w:rPr>
                <w:color w:val="000000" w:themeColor="text1" w:themeTint="FF" w:themeShade="FF"/>
              </w:rPr>
              <w:t>e</w:t>
            </w:r>
            <w:r w:rsidRPr="5A91C609" w:rsidR="0D173867">
              <w:rPr>
                <w:color w:val="000000" w:themeColor="text1" w:themeTint="FF" w:themeShade="FF"/>
              </w:rPr>
              <w:t>s</w:t>
            </w:r>
          </w:p>
        </w:tc>
        <w:tc>
          <w:tcPr>
            <w:tcW w:w="1122" w:type="dxa"/>
            <w:tcMar/>
          </w:tcPr>
          <w:p w:rsidR="00F6116A" w:rsidP="00F6116A" w:rsidRDefault="00F6116A" w14:paraId="127084B9" w14:textId="77777777">
            <w:pPr>
              <w:jc w:val="center"/>
            </w:pPr>
          </w:p>
        </w:tc>
      </w:tr>
      <w:tr w:rsidR="00F6116A" w:rsidTr="5A91C609" w14:paraId="62FBD876" w14:textId="77777777">
        <w:tc>
          <w:tcPr>
            <w:tcW w:w="9334" w:type="dxa"/>
            <w:tcMar/>
            <w:vAlign w:val="bottom"/>
          </w:tcPr>
          <w:p w:rsidRPr="00F6116A" w:rsidR="00F6116A" w:rsidP="5BA9008B" w:rsidRDefault="00F6116A" w14:paraId="004E0664" w14:textId="7A4E8E5E">
            <w:pPr/>
            <w:r w:rsidRPr="5A91C609" w:rsidR="0D173867">
              <w:rPr>
                <w:color w:val="000000" w:themeColor="text1" w:themeTint="FF" w:themeShade="FF"/>
              </w:rPr>
              <w:t>Quartiles and IQR</w:t>
            </w:r>
          </w:p>
        </w:tc>
        <w:tc>
          <w:tcPr>
            <w:tcW w:w="1122" w:type="dxa"/>
            <w:tcMar/>
          </w:tcPr>
          <w:p w:rsidR="00F6116A" w:rsidP="00F6116A" w:rsidRDefault="00F6116A" w14:paraId="4C57E513" w14:textId="77777777">
            <w:pPr>
              <w:jc w:val="center"/>
            </w:pPr>
          </w:p>
        </w:tc>
      </w:tr>
      <w:tr w:rsidR="00F6116A" w:rsidTr="5A91C609" w14:paraId="5367E827" w14:textId="77777777">
        <w:tc>
          <w:tcPr>
            <w:tcW w:w="9334" w:type="dxa"/>
            <w:tcMar/>
            <w:vAlign w:val="bottom"/>
          </w:tcPr>
          <w:p w:rsidRPr="00F6116A" w:rsidR="00F6116A" w:rsidP="5BA9008B" w:rsidRDefault="00F6116A" w14:paraId="72AC110A" w14:textId="5DFF234D">
            <w:pPr/>
            <w:r w:rsidRPr="5A91C609" w:rsidR="0D173867">
              <w:rPr>
                <w:color w:val="000000" w:themeColor="text1" w:themeTint="FF" w:themeShade="FF"/>
              </w:rPr>
              <w:t>Comparing box plots</w:t>
            </w:r>
          </w:p>
        </w:tc>
        <w:tc>
          <w:tcPr>
            <w:tcW w:w="1122" w:type="dxa"/>
            <w:tcMar/>
          </w:tcPr>
          <w:p w:rsidR="00F6116A" w:rsidP="00F6116A" w:rsidRDefault="00F6116A" w14:paraId="4E16953B" w14:textId="77777777">
            <w:pPr>
              <w:jc w:val="center"/>
            </w:pPr>
          </w:p>
        </w:tc>
      </w:tr>
      <w:tr w:rsidR="00F6116A" w:rsidTr="5A91C609" w14:paraId="6E38822C" w14:textId="77777777">
        <w:tc>
          <w:tcPr>
            <w:tcW w:w="9334" w:type="dxa"/>
            <w:tcMar/>
            <w:vAlign w:val="bottom"/>
          </w:tcPr>
          <w:p w:rsidRPr="00F6116A" w:rsidR="00F6116A" w:rsidP="5BA9008B" w:rsidRDefault="00F6116A" w14:paraId="5441F356" w14:textId="698C06D2">
            <w:pPr/>
            <w:r w:rsidRPr="5A91C609" w:rsidR="0D173867">
              <w:rPr>
                <w:color w:val="000000" w:themeColor="text1" w:themeTint="FF" w:themeShade="FF"/>
              </w:rPr>
              <w:t>Stem and leaf diagrams</w:t>
            </w:r>
          </w:p>
        </w:tc>
        <w:tc>
          <w:tcPr>
            <w:tcW w:w="1122" w:type="dxa"/>
            <w:tcMar/>
          </w:tcPr>
          <w:p w:rsidR="00F6116A" w:rsidP="00F6116A" w:rsidRDefault="00F6116A" w14:paraId="01211BEA" w14:textId="77777777">
            <w:pPr>
              <w:jc w:val="center"/>
            </w:pPr>
          </w:p>
        </w:tc>
      </w:tr>
      <w:tr w:rsidR="00F6116A" w:rsidTr="5A91C609" w14:paraId="17906A66" w14:textId="77777777">
        <w:tc>
          <w:tcPr>
            <w:tcW w:w="9334" w:type="dxa"/>
            <w:tcMar/>
            <w:vAlign w:val="bottom"/>
          </w:tcPr>
          <w:p w:rsidRPr="00F6116A" w:rsidR="00F6116A" w:rsidP="5BA9008B" w:rsidRDefault="00F6116A" w14:paraId="08E6CB99" w14:textId="2F5957DA">
            <w:pPr/>
            <w:r w:rsidRPr="5A91C609" w:rsidR="0D173867">
              <w:rPr>
                <w:color w:val="000000" w:themeColor="text1" w:themeTint="FF" w:themeShade="FF"/>
              </w:rPr>
              <w:t xml:space="preserve">Risk </w:t>
            </w:r>
          </w:p>
        </w:tc>
        <w:tc>
          <w:tcPr>
            <w:tcW w:w="1122" w:type="dxa"/>
            <w:tcMar/>
          </w:tcPr>
          <w:p w:rsidR="00F6116A" w:rsidP="00F6116A" w:rsidRDefault="00F6116A" w14:paraId="191D63F5" w14:textId="77777777">
            <w:pPr>
              <w:jc w:val="center"/>
            </w:pPr>
          </w:p>
        </w:tc>
      </w:tr>
      <w:tr w:rsidR="00F6116A" w:rsidTr="5A91C609" w14:paraId="3D018322" w14:textId="77777777">
        <w:tc>
          <w:tcPr>
            <w:tcW w:w="9334" w:type="dxa"/>
            <w:tcMar/>
            <w:vAlign w:val="bottom"/>
          </w:tcPr>
          <w:p w:rsidRPr="00F6116A" w:rsidR="00F6116A" w:rsidP="5BA9008B" w:rsidRDefault="00F6116A" w14:paraId="1A4E8DF8" w14:textId="217FBA89">
            <w:pPr/>
            <w:r w:rsidRPr="5A91C609" w:rsidR="0D173867">
              <w:rPr>
                <w:color w:val="000000" w:themeColor="text1" w:themeTint="FF" w:themeShade="FF"/>
              </w:rPr>
              <w:t xml:space="preserve">Probability </w:t>
            </w:r>
          </w:p>
        </w:tc>
        <w:tc>
          <w:tcPr>
            <w:tcW w:w="1122" w:type="dxa"/>
            <w:tcMar/>
          </w:tcPr>
          <w:p w:rsidR="00F6116A" w:rsidP="00F6116A" w:rsidRDefault="00F6116A" w14:paraId="52A91E70" w14:textId="77777777">
            <w:pPr>
              <w:jc w:val="center"/>
            </w:pPr>
          </w:p>
        </w:tc>
      </w:tr>
      <w:tr w:rsidR="00F6116A" w:rsidTr="5A91C609" w14:paraId="27ACCFB7" w14:textId="77777777">
        <w:tc>
          <w:tcPr>
            <w:tcW w:w="9334" w:type="dxa"/>
            <w:tcMar/>
            <w:vAlign w:val="bottom"/>
          </w:tcPr>
          <w:p w:rsidRPr="00F6116A" w:rsidR="00F6116A" w:rsidP="5BA9008B" w:rsidRDefault="00F6116A" w14:paraId="7E107E06" w14:textId="3CE6A369">
            <w:pPr/>
            <w:r w:rsidRPr="5A91C609" w:rsidR="0D173867">
              <w:rPr>
                <w:color w:val="000000" w:themeColor="text1" w:themeTint="FF" w:themeShade="FF"/>
              </w:rPr>
              <w:t>Cumulative frequency step polygons</w:t>
            </w:r>
          </w:p>
        </w:tc>
        <w:tc>
          <w:tcPr>
            <w:tcW w:w="1122" w:type="dxa"/>
            <w:tcMar/>
          </w:tcPr>
          <w:p w:rsidR="00F6116A" w:rsidP="00F6116A" w:rsidRDefault="00F6116A" w14:paraId="59BFA1BE" w14:textId="77777777">
            <w:pPr>
              <w:jc w:val="center"/>
            </w:pPr>
          </w:p>
        </w:tc>
      </w:tr>
      <w:tr w:rsidR="00F6116A" w:rsidTr="5A91C609" w14:paraId="47805283" w14:textId="77777777">
        <w:tc>
          <w:tcPr>
            <w:tcW w:w="9334" w:type="dxa"/>
            <w:tcMar/>
            <w:vAlign w:val="bottom"/>
          </w:tcPr>
          <w:p w:rsidRPr="00F6116A" w:rsidR="00F6116A" w:rsidP="5BA9008B" w:rsidRDefault="00F6116A" w14:paraId="2BA96338" w14:textId="6AA24A0E">
            <w:pPr/>
            <w:r w:rsidRPr="5A91C609" w:rsidR="0D173867">
              <w:rPr>
                <w:color w:val="000000" w:themeColor="text1" w:themeTint="FF" w:themeShade="FF"/>
              </w:rPr>
              <w:t>Index values</w:t>
            </w:r>
          </w:p>
        </w:tc>
        <w:tc>
          <w:tcPr>
            <w:tcW w:w="1122" w:type="dxa"/>
            <w:tcMar/>
          </w:tcPr>
          <w:p w:rsidR="00F6116A" w:rsidP="00F6116A" w:rsidRDefault="00F6116A" w14:paraId="1C50169D" w14:textId="77777777">
            <w:pPr>
              <w:jc w:val="center"/>
            </w:pPr>
          </w:p>
        </w:tc>
      </w:tr>
      <w:tr w:rsidR="00F6116A" w:rsidTr="5A91C609" w14:paraId="183E6485" w14:textId="77777777">
        <w:tc>
          <w:tcPr>
            <w:tcW w:w="9334" w:type="dxa"/>
            <w:tcMar/>
            <w:vAlign w:val="bottom"/>
          </w:tcPr>
          <w:p w:rsidRPr="00F6116A" w:rsidR="00F6116A" w:rsidP="5BA9008B" w:rsidRDefault="00F6116A" w14:paraId="20EA3E63" w14:textId="36E95F00">
            <w:pPr/>
            <w:r w:rsidRPr="5A91C609" w:rsidR="0D173867">
              <w:rPr>
                <w:color w:val="000000" w:themeColor="text1" w:themeTint="FF" w:themeShade="FF"/>
              </w:rPr>
              <w:t>Population pyramids</w:t>
            </w:r>
          </w:p>
        </w:tc>
        <w:tc>
          <w:tcPr>
            <w:tcW w:w="1122" w:type="dxa"/>
            <w:tcMar/>
          </w:tcPr>
          <w:p w:rsidR="00F6116A" w:rsidP="00F6116A" w:rsidRDefault="00F6116A" w14:paraId="55682ACA" w14:textId="77777777">
            <w:pPr>
              <w:jc w:val="center"/>
            </w:pPr>
          </w:p>
        </w:tc>
      </w:tr>
      <w:tr w:rsidR="5BA9008B" w:rsidTr="5A91C609" w14:paraId="6EBD3A38">
        <w:trPr>
          <w:trHeight w:val="300"/>
        </w:trPr>
        <w:tc>
          <w:tcPr>
            <w:tcW w:w="9334" w:type="dxa"/>
            <w:tcMar/>
            <w:vAlign w:val="bottom"/>
          </w:tcPr>
          <w:p w:rsidR="5BA9008B" w:rsidP="5BA9008B" w:rsidRDefault="5BA9008B" w14:paraId="7E4C78E3" w14:textId="3F35A747">
            <w:pPr>
              <w:pStyle w:val="Normal"/>
            </w:pPr>
            <w:r w:rsidRPr="5A91C609" w:rsidR="0D173867">
              <w:rPr>
                <w:color w:val="000000" w:themeColor="text1" w:themeTint="FF" w:themeShade="FF"/>
              </w:rPr>
              <w:t>Stratified samples</w:t>
            </w:r>
          </w:p>
        </w:tc>
        <w:tc>
          <w:tcPr>
            <w:tcW w:w="1122" w:type="dxa"/>
            <w:tcMar/>
          </w:tcPr>
          <w:p w:rsidR="5BA9008B" w:rsidP="5BA9008B" w:rsidRDefault="5BA9008B" w14:paraId="52B885ED" w14:textId="052AB423">
            <w:pPr>
              <w:pStyle w:val="Normal"/>
              <w:jc w:val="center"/>
            </w:pPr>
          </w:p>
        </w:tc>
      </w:tr>
      <w:tr w:rsidR="5BA9008B" w:rsidTr="5A91C609" w14:paraId="4C2E3E90">
        <w:trPr>
          <w:trHeight w:val="300"/>
        </w:trPr>
        <w:tc>
          <w:tcPr>
            <w:tcW w:w="9334" w:type="dxa"/>
            <w:tcMar/>
            <w:vAlign w:val="bottom"/>
          </w:tcPr>
          <w:p w:rsidR="5BA9008B" w:rsidP="5BA9008B" w:rsidRDefault="5BA9008B" w14:paraId="423E40C8" w14:textId="1741A506">
            <w:pPr>
              <w:pStyle w:val="Normal"/>
            </w:pPr>
            <w:r w:rsidRPr="5A91C609" w:rsidR="0D173867">
              <w:rPr>
                <w:color w:val="000000" w:themeColor="text1" w:themeTint="FF" w:themeShade="FF"/>
              </w:rPr>
              <w:t xml:space="preserve">Percentiles </w:t>
            </w:r>
          </w:p>
        </w:tc>
        <w:tc>
          <w:tcPr>
            <w:tcW w:w="1122" w:type="dxa"/>
            <w:tcMar/>
          </w:tcPr>
          <w:p w:rsidR="5BA9008B" w:rsidP="5BA9008B" w:rsidRDefault="5BA9008B" w14:paraId="580873C4" w14:textId="1145C32E">
            <w:pPr>
              <w:pStyle w:val="Normal"/>
              <w:jc w:val="center"/>
            </w:pPr>
          </w:p>
        </w:tc>
      </w:tr>
      <w:tr w:rsidR="5BA9008B" w:rsidTr="5A91C609" w14:paraId="3748F706">
        <w:trPr>
          <w:trHeight w:val="300"/>
        </w:trPr>
        <w:tc>
          <w:tcPr>
            <w:tcW w:w="9334" w:type="dxa"/>
            <w:tcMar/>
            <w:vAlign w:val="bottom"/>
          </w:tcPr>
          <w:p w:rsidR="5BA9008B" w:rsidP="5BA9008B" w:rsidRDefault="5BA9008B" w14:paraId="0EB417D9" w14:textId="0BCCDC82">
            <w:pPr>
              <w:pStyle w:val="Normal"/>
            </w:pPr>
            <w:r w:rsidRPr="5A91C609" w:rsidR="0D173867">
              <w:rPr>
                <w:color w:val="000000" w:themeColor="text1" w:themeTint="FF" w:themeShade="FF"/>
              </w:rPr>
              <w:t>Capture and recapture</w:t>
            </w:r>
          </w:p>
        </w:tc>
        <w:tc>
          <w:tcPr>
            <w:tcW w:w="1122" w:type="dxa"/>
            <w:tcMar/>
          </w:tcPr>
          <w:p w:rsidR="5BA9008B" w:rsidP="5BA9008B" w:rsidRDefault="5BA9008B" w14:paraId="31CF3E2D" w14:textId="11407EF1">
            <w:pPr>
              <w:pStyle w:val="Normal"/>
              <w:jc w:val="center"/>
            </w:pPr>
          </w:p>
        </w:tc>
      </w:tr>
      <w:tr w:rsidR="5BA9008B" w:rsidTr="5A91C609" w14:paraId="576A085C">
        <w:trPr>
          <w:trHeight w:val="300"/>
        </w:trPr>
        <w:tc>
          <w:tcPr>
            <w:tcW w:w="9334" w:type="dxa"/>
            <w:tcMar/>
            <w:vAlign w:val="bottom"/>
          </w:tcPr>
          <w:p w:rsidR="5BA9008B" w:rsidP="5BA9008B" w:rsidRDefault="5BA9008B" w14:paraId="03C2AB56" w14:textId="3701C328">
            <w:pPr>
              <w:pStyle w:val="Normal"/>
            </w:pPr>
            <w:r w:rsidRPr="5A91C609" w:rsidR="0D173867">
              <w:rPr>
                <w:color w:val="000000" w:themeColor="text1" w:themeTint="FF" w:themeShade="FF"/>
              </w:rPr>
              <w:t xml:space="preserve">Cumulative </w:t>
            </w:r>
            <w:r w:rsidRPr="5A91C609" w:rsidR="0D173867">
              <w:rPr>
                <w:color w:val="000000" w:themeColor="text1" w:themeTint="FF" w:themeShade="FF"/>
              </w:rPr>
              <w:t xml:space="preserve">frequency </w:t>
            </w:r>
          </w:p>
        </w:tc>
        <w:tc>
          <w:tcPr>
            <w:tcW w:w="1122" w:type="dxa"/>
            <w:tcMar/>
          </w:tcPr>
          <w:p w:rsidR="5BA9008B" w:rsidP="5BA9008B" w:rsidRDefault="5BA9008B" w14:paraId="604B69CE" w14:textId="23075D8D">
            <w:pPr>
              <w:pStyle w:val="Normal"/>
              <w:jc w:val="center"/>
            </w:pPr>
          </w:p>
        </w:tc>
      </w:tr>
      <w:tr w:rsidR="5BA9008B" w:rsidTr="5A91C609" w14:paraId="1EB418FA">
        <w:trPr>
          <w:trHeight w:val="300"/>
        </w:trPr>
        <w:tc>
          <w:tcPr>
            <w:tcW w:w="9334" w:type="dxa"/>
            <w:tcMar/>
            <w:vAlign w:val="bottom"/>
          </w:tcPr>
          <w:p w:rsidR="5BA9008B" w:rsidP="5BA9008B" w:rsidRDefault="5BA9008B" w14:paraId="05C8C096" w14:textId="1656476D">
            <w:pPr>
              <w:pStyle w:val="Normal"/>
            </w:pPr>
            <w:r w:rsidRPr="5A91C609" w:rsidR="0D173867">
              <w:rPr>
                <w:color w:val="000000" w:themeColor="text1" w:themeTint="FF" w:themeShade="FF"/>
              </w:rPr>
              <w:t>Binomial distribution</w:t>
            </w:r>
          </w:p>
        </w:tc>
        <w:tc>
          <w:tcPr>
            <w:tcW w:w="1122" w:type="dxa"/>
            <w:tcMar/>
          </w:tcPr>
          <w:p w:rsidR="5BA9008B" w:rsidP="5BA9008B" w:rsidRDefault="5BA9008B" w14:paraId="59E9721A" w14:textId="5D0B1068">
            <w:pPr>
              <w:pStyle w:val="Normal"/>
              <w:jc w:val="center"/>
            </w:pPr>
          </w:p>
        </w:tc>
      </w:tr>
      <w:tr w:rsidR="5BA9008B" w:rsidTr="5A91C609" w14:paraId="18E6D328">
        <w:trPr>
          <w:trHeight w:val="300"/>
        </w:trPr>
        <w:tc>
          <w:tcPr>
            <w:tcW w:w="9334" w:type="dxa"/>
            <w:tcMar/>
            <w:vAlign w:val="bottom"/>
          </w:tcPr>
          <w:p w:rsidR="5BA9008B" w:rsidP="5BA9008B" w:rsidRDefault="5BA9008B" w14:paraId="0BC7D4C8" w14:textId="25553687">
            <w:pPr>
              <w:pStyle w:val="Normal"/>
            </w:pPr>
            <w:r w:rsidRPr="5A91C609" w:rsidR="0D173867">
              <w:rPr>
                <w:color w:val="000000" w:themeColor="text1" w:themeTint="FF" w:themeShade="FF"/>
              </w:rPr>
              <w:t>Warning/Action diagrams</w:t>
            </w:r>
          </w:p>
        </w:tc>
        <w:tc>
          <w:tcPr>
            <w:tcW w:w="1122" w:type="dxa"/>
            <w:tcMar/>
          </w:tcPr>
          <w:p w:rsidR="5BA9008B" w:rsidP="5BA9008B" w:rsidRDefault="5BA9008B" w14:paraId="4938315B" w14:textId="0DCE012F">
            <w:pPr>
              <w:pStyle w:val="Normal"/>
              <w:jc w:val="center"/>
            </w:pPr>
          </w:p>
        </w:tc>
      </w:tr>
      <w:tr w:rsidR="5BA9008B" w:rsidTr="5A91C609" w14:paraId="719B305B">
        <w:trPr>
          <w:trHeight w:val="300"/>
        </w:trPr>
        <w:tc>
          <w:tcPr>
            <w:tcW w:w="9334" w:type="dxa"/>
            <w:tcMar/>
            <w:vAlign w:val="bottom"/>
          </w:tcPr>
          <w:p w:rsidR="5BA9008B" w:rsidP="5BA9008B" w:rsidRDefault="5BA9008B" w14:paraId="151B6B80" w14:textId="39048580">
            <w:pPr>
              <w:pStyle w:val="Normal"/>
            </w:pPr>
            <w:r w:rsidRPr="5A91C609" w:rsidR="0D173867">
              <w:rPr>
                <w:color w:val="000000" w:themeColor="text1" w:themeTint="FF" w:themeShade="FF"/>
              </w:rPr>
              <w:t>Percentage increase</w:t>
            </w:r>
          </w:p>
        </w:tc>
        <w:tc>
          <w:tcPr>
            <w:tcW w:w="1122" w:type="dxa"/>
            <w:tcMar/>
          </w:tcPr>
          <w:p w:rsidR="5BA9008B" w:rsidP="5BA9008B" w:rsidRDefault="5BA9008B" w14:paraId="16A053B3" w14:textId="4A9836EE">
            <w:pPr>
              <w:pStyle w:val="Normal"/>
              <w:jc w:val="center"/>
            </w:pPr>
          </w:p>
        </w:tc>
      </w:tr>
      <w:tr w:rsidR="5A91C609" w:rsidTr="5A91C609" w14:paraId="3F0B328B">
        <w:trPr>
          <w:trHeight w:val="300"/>
        </w:trPr>
        <w:tc>
          <w:tcPr>
            <w:tcW w:w="9334" w:type="dxa"/>
            <w:tcMar/>
            <w:vAlign w:val="bottom"/>
          </w:tcPr>
          <w:p w:rsidR="0D173867" w:rsidP="5A91C609" w:rsidRDefault="0D173867" w14:paraId="4A5D92FE" w14:textId="49F57DC7">
            <w:pPr>
              <w:pStyle w:val="Normal"/>
            </w:pPr>
            <w:r w:rsidRPr="5A91C609" w:rsidR="0D173867">
              <w:rPr>
                <w:color w:val="000000" w:themeColor="text1" w:themeTint="FF" w:themeShade="FF"/>
              </w:rPr>
              <w:t>Investigating data</w:t>
            </w:r>
          </w:p>
        </w:tc>
        <w:tc>
          <w:tcPr>
            <w:tcW w:w="1122" w:type="dxa"/>
            <w:tcMar/>
          </w:tcPr>
          <w:p w:rsidR="5A91C609" w:rsidP="5A91C609" w:rsidRDefault="5A91C609" w14:paraId="34542AA8" w14:textId="07C19DE8">
            <w:pPr>
              <w:pStyle w:val="Normal"/>
              <w:jc w:val="center"/>
            </w:pPr>
          </w:p>
        </w:tc>
      </w:tr>
      <w:tr w:rsidR="5A91C609" w:rsidTr="5A91C609" w14:paraId="3061A9CC">
        <w:trPr>
          <w:trHeight w:val="300"/>
        </w:trPr>
        <w:tc>
          <w:tcPr>
            <w:tcW w:w="9334" w:type="dxa"/>
            <w:tcMar/>
            <w:vAlign w:val="bottom"/>
          </w:tcPr>
          <w:p w:rsidR="0D173867" w:rsidP="5A91C609" w:rsidRDefault="0D173867" w14:paraId="7A869C01" w14:textId="7773F7CA">
            <w:pPr>
              <w:pStyle w:val="Normal"/>
            </w:pPr>
            <w:r w:rsidRPr="5A91C609" w:rsidR="0D173867">
              <w:rPr>
                <w:color w:val="000000" w:themeColor="text1" w:themeTint="FF" w:themeShade="FF"/>
              </w:rPr>
              <w:t>Standard deviation outlier test</w:t>
            </w:r>
          </w:p>
        </w:tc>
        <w:tc>
          <w:tcPr>
            <w:tcW w:w="1122" w:type="dxa"/>
            <w:tcMar/>
          </w:tcPr>
          <w:p w:rsidR="5A91C609" w:rsidP="5A91C609" w:rsidRDefault="5A91C609" w14:paraId="5F4325F5" w14:textId="4C9AD33D">
            <w:pPr>
              <w:pStyle w:val="Normal"/>
              <w:jc w:val="center"/>
            </w:pPr>
          </w:p>
        </w:tc>
      </w:tr>
      <w:tr w:rsidR="5A91C609" w:rsidTr="5A91C609" w14:paraId="529EE94B">
        <w:trPr>
          <w:trHeight w:val="300"/>
        </w:trPr>
        <w:tc>
          <w:tcPr>
            <w:tcW w:w="9334" w:type="dxa"/>
            <w:tcMar/>
            <w:vAlign w:val="bottom"/>
          </w:tcPr>
          <w:p w:rsidR="0D173867" w:rsidP="5A91C609" w:rsidRDefault="0D173867" w14:paraId="28D238A6" w14:textId="35DD87E5">
            <w:pPr>
              <w:pStyle w:val="Normal"/>
            </w:pPr>
            <w:r w:rsidRPr="5A91C609" w:rsidR="0D173867">
              <w:rPr>
                <w:color w:val="000000" w:themeColor="text1" w:themeTint="FF" w:themeShade="FF"/>
              </w:rPr>
              <w:t>Standardised scores</w:t>
            </w:r>
          </w:p>
        </w:tc>
        <w:tc>
          <w:tcPr>
            <w:tcW w:w="1122" w:type="dxa"/>
            <w:tcMar/>
          </w:tcPr>
          <w:p w:rsidR="5A91C609" w:rsidP="5A91C609" w:rsidRDefault="5A91C609" w14:paraId="1A5F7C4A" w14:textId="488C99C7">
            <w:pPr>
              <w:pStyle w:val="Normal"/>
              <w:jc w:val="center"/>
            </w:pPr>
          </w:p>
        </w:tc>
      </w:tr>
      <w:tr w:rsidR="5A91C609" w:rsidTr="5A91C609" w14:paraId="230397DE">
        <w:trPr>
          <w:trHeight w:val="300"/>
        </w:trPr>
        <w:tc>
          <w:tcPr>
            <w:tcW w:w="9334" w:type="dxa"/>
            <w:tcMar/>
            <w:vAlign w:val="bottom"/>
          </w:tcPr>
          <w:p w:rsidR="5A91C609" w:rsidP="5A91C609" w:rsidRDefault="5A91C609" w14:paraId="2ABCB711" w14:textId="5D56D6EC">
            <w:pPr>
              <w:pStyle w:val="Normal"/>
              <w:rPr>
                <w:color w:val="000000" w:themeColor="text1" w:themeTint="FF" w:themeShade="FF"/>
              </w:rPr>
            </w:pPr>
          </w:p>
        </w:tc>
        <w:tc>
          <w:tcPr>
            <w:tcW w:w="1122" w:type="dxa"/>
            <w:tcMar/>
          </w:tcPr>
          <w:p w:rsidR="5A91C609" w:rsidP="5A91C609" w:rsidRDefault="5A91C609" w14:paraId="15B47677" w14:textId="7B6E9553">
            <w:pPr>
              <w:pStyle w:val="Normal"/>
              <w:jc w:val="center"/>
            </w:pPr>
          </w:p>
        </w:tc>
      </w:tr>
      <w:tr w:rsidR="5A91C609" w:rsidTr="5A91C609" w14:paraId="30215673">
        <w:trPr>
          <w:trHeight w:val="300"/>
        </w:trPr>
        <w:tc>
          <w:tcPr>
            <w:tcW w:w="9334" w:type="dxa"/>
            <w:tcMar/>
            <w:vAlign w:val="bottom"/>
          </w:tcPr>
          <w:p w:rsidR="5A91C609" w:rsidP="5A91C609" w:rsidRDefault="5A91C609" w14:paraId="43FB8B3F" w14:textId="53FAF280">
            <w:pPr>
              <w:pStyle w:val="Normal"/>
              <w:rPr>
                <w:color w:val="000000" w:themeColor="text1" w:themeTint="FF" w:themeShade="FF"/>
              </w:rPr>
            </w:pPr>
          </w:p>
        </w:tc>
        <w:tc>
          <w:tcPr>
            <w:tcW w:w="1122" w:type="dxa"/>
            <w:tcMar/>
          </w:tcPr>
          <w:p w:rsidR="5A91C609" w:rsidP="5A91C609" w:rsidRDefault="5A91C609" w14:paraId="38F26958" w14:textId="1BE984A8">
            <w:pPr>
              <w:pStyle w:val="Normal"/>
              <w:jc w:val="center"/>
            </w:pPr>
          </w:p>
        </w:tc>
      </w:tr>
      <w:tr w:rsidR="5BA9008B" w:rsidTr="5A91C609" w14:paraId="14C01A24">
        <w:trPr>
          <w:trHeight w:val="300"/>
        </w:trPr>
        <w:tc>
          <w:tcPr>
            <w:tcW w:w="9334" w:type="dxa"/>
            <w:tcMar/>
            <w:vAlign w:val="bottom"/>
          </w:tcPr>
          <w:p w:rsidR="5BA9008B" w:rsidP="5BA9008B" w:rsidRDefault="5BA9008B" w14:paraId="651E75E5" w14:textId="764B864B">
            <w:pPr>
              <w:pStyle w:val="Normal"/>
              <w:rPr>
                <w:color w:val="000000" w:themeColor="text1" w:themeTint="FF" w:themeShade="FF"/>
              </w:rPr>
            </w:pPr>
          </w:p>
        </w:tc>
        <w:tc>
          <w:tcPr>
            <w:tcW w:w="1122" w:type="dxa"/>
            <w:tcMar/>
          </w:tcPr>
          <w:p w:rsidR="5BA9008B" w:rsidP="5BA9008B" w:rsidRDefault="5BA9008B" w14:paraId="3DA188B7" w14:textId="268D1347">
            <w:pPr>
              <w:pStyle w:val="Normal"/>
              <w:jc w:val="center"/>
            </w:pPr>
          </w:p>
        </w:tc>
      </w:tr>
      <w:tr w:rsidR="00F6116A" w:rsidTr="5A91C609" w14:paraId="6A7272A2" w14:textId="77777777">
        <w:tc>
          <w:tcPr>
            <w:tcW w:w="9334" w:type="dxa"/>
            <w:tcMar/>
            <w:vAlign w:val="bottom"/>
          </w:tcPr>
          <w:p w:rsidRPr="00F6116A" w:rsidR="00F6116A" w:rsidP="5BA9008B" w:rsidRDefault="00F6116A" w14:paraId="2CA313B1" w14:textId="6DBE70C6">
            <w:pPr>
              <w:rPr>
                <w:color w:val="000000" w:themeColor="text1" w:themeTint="FF" w:themeShade="FF"/>
              </w:rPr>
            </w:pPr>
          </w:p>
        </w:tc>
        <w:tc>
          <w:tcPr>
            <w:tcW w:w="1122" w:type="dxa"/>
            <w:tcMar/>
          </w:tcPr>
          <w:p w:rsidR="00F6116A" w:rsidP="00F6116A" w:rsidRDefault="00F6116A" w14:paraId="07372AD2" w14:textId="77777777">
            <w:pPr>
              <w:jc w:val="center"/>
            </w:pPr>
          </w:p>
        </w:tc>
      </w:tr>
    </w:tbl>
    <w:p w:rsidRPr="00F6116A" w:rsidR="00F6116A" w:rsidP="00F6116A" w:rsidRDefault="00F6116A" w14:paraId="43722B7B" w14:textId="77777777">
      <w:pPr>
        <w:spacing w:after="0"/>
        <w:rPr>
          <w:sz w:val="11"/>
          <w:szCs w:val="1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0"/>
        <w:gridCol w:w="8626"/>
      </w:tblGrid>
      <w:tr w:rsidR="006F26AC" w:rsidTr="00F6116A" w14:paraId="33168061" w14:textId="77777777">
        <w:tc>
          <w:tcPr>
            <w:tcW w:w="10456" w:type="dxa"/>
            <w:gridSpan w:val="2"/>
            <w:shd w:val="clear" w:color="auto" w:fill="F2F2F2" w:themeFill="background1" w:themeFillShade="F2"/>
          </w:tcPr>
          <w:p w:rsidRPr="00A02736" w:rsidR="006F26AC" w:rsidP="006F26AC" w:rsidRDefault="006F26AC" w14:paraId="3B4076B3" w14:textId="77777777">
            <w:pPr>
              <w:jc w:val="center"/>
              <w:rPr>
                <w:b/>
                <w:bCs/>
              </w:rPr>
            </w:pPr>
            <w:r w:rsidRPr="00A02736">
              <w:rPr>
                <w:b/>
                <w:bCs/>
              </w:rPr>
              <w:t>Revision Links</w:t>
            </w:r>
          </w:p>
        </w:tc>
      </w:tr>
      <w:tr w:rsidR="001E3FFA" w:rsidTr="00F6116A" w14:paraId="57795CA5" w14:textId="4074D9E5">
        <w:trPr>
          <w:trHeight w:val="1049"/>
        </w:trPr>
        <w:tc>
          <w:tcPr>
            <w:tcW w:w="1830" w:type="dxa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:rsidR="001E3FFA" w:rsidP="001E3FFA" w:rsidRDefault="001E3FFA" w14:paraId="09247A6D" w14:textId="1CB9B352">
            <w:pPr>
              <w:jc w:val="center"/>
            </w:pPr>
            <w:r w:rsidRPr="001E3FFA">
              <w:rPr>
                <w:rFonts w:cs="Calibri"/>
                <w:b/>
                <w:bCs/>
              </w:rPr>
              <w:t>Stats Academy</w:t>
            </w:r>
          </w:p>
        </w:tc>
        <w:tc>
          <w:tcPr>
            <w:tcW w:w="8626" w:type="dxa"/>
            <w:tcMar>
              <w:left w:w="57" w:type="dxa"/>
              <w:right w:w="57" w:type="dxa"/>
            </w:tcMar>
            <w:vAlign w:val="center"/>
          </w:tcPr>
          <w:p w:rsidRPr="001E3FFA" w:rsidR="001E3FFA" w:rsidP="001E3FFA" w:rsidRDefault="001E3FFA" w14:paraId="1B21108E" w14:textId="77777777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eastAsia="Calibri" w:cs="Calibri"/>
              </w:rPr>
            </w:pPr>
            <w:hyperlink w:history="1" r:id="rId9">
              <w:r w:rsidRPr="001E3FFA">
                <w:rPr>
                  <w:rStyle w:val="Hyperlink"/>
                  <w:rFonts w:eastAsia="Calibri" w:cs="Calibri"/>
                </w:rPr>
                <w:t>https://www.statsacademy.co.uk/chapter-notes</w:t>
              </w:r>
            </w:hyperlink>
          </w:p>
          <w:p w:rsidRPr="001E3FFA" w:rsidR="001E3FFA" w:rsidP="001E3FFA" w:rsidRDefault="001E3FFA" w14:paraId="5E84E12A" w14:textId="77777777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eastAsia="Calibri" w:cs="Calibri"/>
              </w:rPr>
            </w:pPr>
            <w:hyperlink w:history="1" r:id="rId10">
              <w:r w:rsidRPr="001E3FFA">
                <w:rPr>
                  <w:rStyle w:val="Hyperlink"/>
                  <w:rFonts w:eastAsia="Calibri" w:cs="Calibri"/>
                </w:rPr>
                <w:t>https://www.statsacademy.co.uk/copy-of-revision-notes</w:t>
              </w:r>
            </w:hyperlink>
          </w:p>
          <w:p w:rsidRPr="001E3FFA" w:rsidR="001E3FFA" w:rsidP="001E3FFA" w:rsidRDefault="001E3FFA" w14:paraId="22FEF276" w14:textId="77777777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eastAsia="Calibri" w:cs="Calibri"/>
              </w:rPr>
            </w:pPr>
            <w:r w:rsidRPr="001E3FFA">
              <w:rPr>
                <w:rFonts w:eastAsia="Calibri" w:cs="Calibri"/>
              </w:rPr>
              <w:t xml:space="preserve">A3 Stats Overview is </w:t>
            </w:r>
            <w:hyperlink w:history="1" r:id="rId11">
              <w:r w:rsidRPr="001E3FFA">
                <w:rPr>
                  <w:rStyle w:val="Hyperlink"/>
                  <w:rFonts w:eastAsia="Calibri" w:cs="Calibri"/>
                </w:rPr>
                <w:t>here</w:t>
              </w:r>
            </w:hyperlink>
          </w:p>
          <w:p w:rsidRPr="001E3FFA" w:rsidR="001E3FFA" w:rsidP="001E3FFA" w:rsidRDefault="001E3FFA" w14:paraId="5DD7FAB6" w14:textId="32201257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eastAsia="Calibri" w:cs="Calibri"/>
              </w:rPr>
            </w:pPr>
            <w:hyperlink w:history="1" r:id="rId12">
              <w:r w:rsidRPr="00D353FF">
                <w:rPr>
                  <w:rStyle w:val="Hyperlink"/>
                  <w:rFonts w:eastAsia="Calibri" w:cs="Calibri"/>
                </w:rPr>
                <w:t>https://www.statsacademy.co.uk/exam-practice</w:t>
              </w:r>
            </w:hyperlink>
            <w:r w:rsidRPr="001E3FFA">
              <w:rPr>
                <w:rFonts w:eastAsia="Calibri" w:cs="Calibri"/>
              </w:rPr>
              <w:t xml:space="preserve"> </w:t>
            </w:r>
          </w:p>
        </w:tc>
      </w:tr>
      <w:tr w:rsidR="001E3FFA" w:rsidTr="00F6116A" w14:paraId="427DC005" w14:textId="77777777">
        <w:trPr>
          <w:trHeight w:val="546"/>
        </w:trPr>
        <w:tc>
          <w:tcPr>
            <w:tcW w:w="1830" w:type="dxa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:rsidR="001E3FFA" w:rsidP="001E3FFA" w:rsidRDefault="001E3FFA" w14:paraId="631BE6DF" w14:textId="588A1EBA">
            <w:pPr>
              <w:jc w:val="center"/>
            </w:pPr>
            <w:r w:rsidRPr="001E3FFA">
              <w:rPr>
                <w:rFonts w:eastAsia="Calibri" w:cs="Calibri"/>
                <w:b/>
                <w:bCs/>
              </w:rPr>
              <w:t>Maths Genie</w:t>
            </w:r>
          </w:p>
        </w:tc>
        <w:tc>
          <w:tcPr>
            <w:tcW w:w="8626" w:type="dxa"/>
            <w:tcMar>
              <w:left w:w="57" w:type="dxa"/>
              <w:right w:w="57" w:type="dxa"/>
            </w:tcMar>
            <w:vAlign w:val="center"/>
          </w:tcPr>
          <w:p w:rsidR="001E3FFA" w:rsidP="001E3FFA" w:rsidRDefault="001E3FFA" w14:paraId="78507AA3" w14:textId="45C9B4B0">
            <w:pPr>
              <w:pStyle w:val="ListParagraph"/>
              <w:numPr>
                <w:ilvl w:val="0"/>
                <w:numId w:val="3"/>
              </w:numPr>
            </w:pPr>
            <w:r w:rsidRPr="001E3FFA">
              <w:fldChar w:fldCharType="begin"/>
            </w:r>
            <w:r w:rsidRPr="001E3FFA">
              <w:instrText>HYPERLINK "https://www.mathsgenie.co.uk/statistics.php"</w:instrText>
            </w:r>
            <w:r w:rsidRPr="001E3FFA">
              <w:fldChar w:fldCharType="separate"/>
            </w:r>
            <w:r w:rsidRPr="001E3FFA">
              <w:rPr>
                <w:rStyle w:val="Hyperlink"/>
                <w:rFonts w:eastAsia="Calibri" w:cs="Calibri"/>
              </w:rPr>
              <w:t>https://www.mathsgenie.co.uk/statistics.php</w:t>
            </w:r>
            <w:r w:rsidRPr="001E3FFA">
              <w:fldChar w:fldCharType="end"/>
            </w:r>
            <w:r w:rsidRPr="001E3FFA">
              <w:rPr>
                <w:rFonts w:eastAsia="Calibri" w:cs="Calibri"/>
              </w:rPr>
              <w:t xml:space="preserve"> </w:t>
            </w:r>
          </w:p>
        </w:tc>
      </w:tr>
      <w:tr w:rsidR="001E3FFA" w:rsidTr="00F6116A" w14:paraId="3CA1F239" w14:textId="77777777">
        <w:trPr>
          <w:trHeight w:val="710"/>
        </w:trPr>
        <w:tc>
          <w:tcPr>
            <w:tcW w:w="1830" w:type="dxa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:rsidR="001E3FFA" w:rsidP="001E3FFA" w:rsidRDefault="001E3FFA" w14:paraId="236B3588" w14:textId="6F60971A">
            <w:pPr>
              <w:jc w:val="center"/>
            </w:pPr>
            <w:r>
              <w:rPr>
                <w:rFonts w:eastAsia="Calibri" w:cs="Calibri"/>
                <w:b/>
                <w:bCs/>
              </w:rPr>
              <w:t>Mrs Hodgetts</w:t>
            </w:r>
            <w:r>
              <w:rPr>
                <w:rFonts w:eastAsia="Calibri" w:cs="Calibri"/>
                <w:b/>
                <w:bCs/>
              </w:rPr>
              <w:t>’</w:t>
            </w:r>
            <w:r>
              <w:rPr>
                <w:rFonts w:eastAsia="Calibri" w:cs="Calibri"/>
                <w:b/>
                <w:bCs/>
              </w:rPr>
              <w:t xml:space="preserve"> Statistics </w:t>
            </w:r>
          </w:p>
        </w:tc>
        <w:tc>
          <w:tcPr>
            <w:tcW w:w="8626" w:type="dxa"/>
            <w:tcMar>
              <w:left w:w="57" w:type="dxa"/>
              <w:right w:w="57" w:type="dxa"/>
            </w:tcMar>
            <w:vAlign w:val="center"/>
          </w:tcPr>
          <w:p w:rsidR="001E3FFA" w:rsidP="001E3FFA" w:rsidRDefault="001E3FFA" w14:paraId="6D3C47F8" w14:textId="7777F1CA">
            <w:pPr>
              <w:pStyle w:val="ListParagraph"/>
              <w:numPr>
                <w:ilvl w:val="0"/>
                <w:numId w:val="3"/>
              </w:numPr>
            </w:pPr>
            <w:hyperlink w:history="1" r:id="rId13">
              <w:r w:rsidRPr="00D353FF">
                <w:rPr>
                  <w:rStyle w:val="Hyperlink"/>
                  <w:rFonts w:eastAsia="Calibri" w:cs="Calibri"/>
                </w:rPr>
                <w:t>https://mrshodgettsstatistics.com/edexcel-gcse-statistics-2018-onwards/</w:t>
              </w:r>
            </w:hyperlink>
          </w:p>
        </w:tc>
      </w:tr>
      <w:tr w:rsidR="001E3FFA" w:rsidTr="00F6116A" w14:paraId="59844C07" w14:textId="77777777">
        <w:trPr>
          <w:trHeight w:val="833"/>
        </w:trPr>
        <w:tc>
          <w:tcPr>
            <w:tcW w:w="1830" w:type="dxa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:rsidR="001E3FFA" w:rsidP="001E3FFA" w:rsidRDefault="001E3FFA" w14:paraId="23EB5B2B" w14:textId="2FDB5A3D">
            <w:pPr>
              <w:jc w:val="center"/>
            </w:pPr>
            <w:r w:rsidRPr="001E3FFA">
              <w:rPr>
                <w:rFonts w:eastAsia="Calibri" w:cs="Calibri"/>
                <w:b/>
                <w:bCs/>
              </w:rPr>
              <w:t>TL Maths</w:t>
            </w:r>
          </w:p>
        </w:tc>
        <w:tc>
          <w:tcPr>
            <w:tcW w:w="8626" w:type="dxa"/>
            <w:tcMar>
              <w:left w:w="57" w:type="dxa"/>
              <w:right w:w="57" w:type="dxa"/>
            </w:tcMar>
            <w:vAlign w:val="center"/>
          </w:tcPr>
          <w:p w:rsidRPr="001E3FFA" w:rsidR="001E3FFA" w:rsidP="001E3FFA" w:rsidRDefault="001E3FFA" w14:paraId="0D219F38" w14:textId="77777777">
            <w:pPr>
              <w:spacing w:line="259" w:lineRule="auto"/>
              <w:rPr>
                <w:rFonts w:eastAsia="Calibri" w:cs="Calibri"/>
              </w:rPr>
            </w:pPr>
            <w:r w:rsidRPr="001E3FFA">
              <w:rPr>
                <w:rFonts w:eastAsia="Calibri" w:cs="Calibri"/>
              </w:rPr>
              <w:t xml:space="preserve">A range of statistics videos can be found here </w:t>
            </w:r>
          </w:p>
          <w:p w:rsidR="001E3FFA" w:rsidP="001E3FFA" w:rsidRDefault="001E3FFA" w14:paraId="2BD65B96" w14:textId="781116C0">
            <w:r>
              <w:rPr>
                <w:rFonts w:eastAsia="Calibri" w:cs="Calibri"/>
              </w:rPr>
              <w:fldChar w:fldCharType="begin"/>
            </w:r>
            <w:r>
              <w:rPr>
                <w:rFonts w:eastAsia="Calibri" w:cs="Calibri"/>
              </w:rPr>
              <w:instrText>HYPERLINK "</w:instrText>
            </w:r>
            <w:r w:rsidRPr="001E3FFA">
              <w:rPr>
                <w:rFonts w:eastAsia="Calibri" w:cs="Calibri"/>
              </w:rPr>
              <w:instrText>https://sites.google.com/view/tlmaths/home/core-maths-level-3-certificate/teaching-videos/basics</w:instrText>
            </w:r>
            <w:r>
              <w:rPr>
                <w:rFonts w:eastAsia="Calibri" w:cs="Calibri"/>
              </w:rPr>
              <w:instrText>"</w:instrText>
            </w:r>
            <w:r>
              <w:rPr>
                <w:rFonts w:eastAsia="Calibri" w:cs="Calibri"/>
              </w:rPr>
              <w:fldChar w:fldCharType="separate"/>
            </w:r>
            <w:r w:rsidRPr="00D353FF">
              <w:rPr>
                <w:rStyle w:val="Hyperlink"/>
                <w:rFonts w:eastAsia="Calibri" w:cs="Calibri"/>
              </w:rPr>
              <w:t>https://sites.google.com/view/tlmaths/home/core-maths-level-3-certificate/teaching-videos/basics</w:t>
            </w:r>
            <w:r>
              <w:rPr>
                <w:rFonts w:eastAsia="Calibri" w:cs="Calibri"/>
              </w:rPr>
              <w:fldChar w:fldCharType="end"/>
            </w:r>
            <w:r w:rsidRPr="001E3FFA">
              <w:rPr>
                <w:rFonts w:eastAsia="Calibri" w:cs="Calibri"/>
              </w:rPr>
              <w:t xml:space="preserve"> </w:t>
            </w:r>
          </w:p>
        </w:tc>
      </w:tr>
      <w:tr w:rsidR="001E3FFA" w:rsidTr="00F6116A" w14:paraId="2F93D36E" w14:textId="77777777">
        <w:trPr>
          <w:trHeight w:val="845"/>
        </w:trPr>
        <w:tc>
          <w:tcPr>
            <w:tcW w:w="1830" w:type="dxa"/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:rsidRPr="001E3FFA" w:rsidR="001E3FFA" w:rsidP="001E3FFA" w:rsidRDefault="001E3FFA" w14:paraId="6BA640AA" w14:textId="6990C152">
            <w:pPr>
              <w:jc w:val="center"/>
              <w:rPr>
                <w:rFonts w:eastAsia="Calibri" w:cs="Calibri"/>
                <w:b/>
                <w:bCs/>
              </w:rPr>
            </w:pPr>
            <w:r>
              <w:rPr>
                <w:rFonts w:eastAsia="Calibri" w:cs="Calibri"/>
                <w:b/>
                <w:bCs/>
              </w:rPr>
              <w:t>Revision Guides and Workbook</w:t>
            </w:r>
          </w:p>
        </w:tc>
        <w:tc>
          <w:tcPr>
            <w:tcW w:w="8626" w:type="dxa"/>
            <w:tcMar>
              <w:left w:w="57" w:type="dxa"/>
              <w:right w:w="57" w:type="dxa"/>
            </w:tcMar>
            <w:vAlign w:val="center"/>
          </w:tcPr>
          <w:p w:rsidRPr="001E3FFA" w:rsidR="001E3FFA" w:rsidP="001E3FFA" w:rsidRDefault="001E3FFA" w14:paraId="640BB10B" w14:textId="7A7A0835">
            <w:pPr>
              <w:rPr>
                <w:rFonts w:eastAsia="Calibri" w:cs="Calibri"/>
              </w:rPr>
            </w:pPr>
            <w:r>
              <w:rPr>
                <w:rFonts w:eastAsia="Calibri" w:cs="Calibri"/>
              </w:rPr>
              <w:t xml:space="preserve">Available on </w:t>
            </w:r>
            <w:proofErr w:type="spellStart"/>
            <w:r>
              <w:rPr>
                <w:rFonts w:eastAsia="Calibri" w:cs="Calibri"/>
              </w:rPr>
              <w:t>Wisepay</w:t>
            </w:r>
            <w:proofErr w:type="spellEnd"/>
            <w:r>
              <w:rPr>
                <w:rFonts w:eastAsia="Calibri" w:cs="Calibri"/>
              </w:rPr>
              <w:t>, these are the CGP versions for Statistics</w:t>
            </w:r>
          </w:p>
        </w:tc>
      </w:tr>
    </w:tbl>
    <w:p w:rsidR="00A72902" w:rsidRDefault="00A72902" w14:paraId="65E416DB" w14:textId="77777777"/>
    <w:sectPr w:rsidR="00A72902" w:rsidSect="006F26AC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E7E55"/>
    <w:multiLevelType w:val="hybridMultilevel"/>
    <w:tmpl w:val="DE68FE3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37546226"/>
    <w:multiLevelType w:val="hybridMultilevel"/>
    <w:tmpl w:val="1DF21AE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46D8219A"/>
    <w:multiLevelType w:val="hybridMultilevel"/>
    <w:tmpl w:val="81C266B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1244534293">
    <w:abstractNumId w:val="2"/>
  </w:num>
  <w:num w:numId="2" w16cid:durableId="1543247552">
    <w:abstractNumId w:val="0"/>
  </w:num>
  <w:num w:numId="3" w16cid:durableId="7791809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5"/>
  <w:proofState w:spelling="clean" w:grammar="dirty"/>
  <w:attachedTemplate r:id="rId1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FFA"/>
    <w:rsid w:val="001E3FFA"/>
    <w:rsid w:val="00251A49"/>
    <w:rsid w:val="006410D0"/>
    <w:rsid w:val="006F26AC"/>
    <w:rsid w:val="00A02736"/>
    <w:rsid w:val="00A72902"/>
    <w:rsid w:val="00B23D14"/>
    <w:rsid w:val="00BF4A5D"/>
    <w:rsid w:val="00F6116A"/>
    <w:rsid w:val="0D173867"/>
    <w:rsid w:val="146CD8A1"/>
    <w:rsid w:val="18693398"/>
    <w:rsid w:val="1A99ACA4"/>
    <w:rsid w:val="1DDA9A8D"/>
    <w:rsid w:val="228A6A85"/>
    <w:rsid w:val="34D93DDD"/>
    <w:rsid w:val="3628F4CF"/>
    <w:rsid w:val="371D226C"/>
    <w:rsid w:val="3C96EF53"/>
    <w:rsid w:val="3F0C48F0"/>
    <w:rsid w:val="4846A466"/>
    <w:rsid w:val="5A91C609"/>
    <w:rsid w:val="5BA079F4"/>
    <w:rsid w:val="5BA9008B"/>
    <w:rsid w:val="7406A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DF909"/>
  <w15:chartTrackingRefBased/>
  <w15:docId w15:val="{E32892D9-5F50-F740-83FF-1F381C011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26A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26A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26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26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26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26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26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26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26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F26AC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6F26A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6F26AC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6F26AC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6F26AC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6F26AC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F26AC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6F26AC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6F26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26AC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6F26A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26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6F26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26AC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6F26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26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26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26A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F26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26A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F26A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1E3FFA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E3FFA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3F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jcq.org.uk/wp-content/uploads/2023/08/FAQs-&#8211;-Using-Calculators_FINAL.pdf" TargetMode="External" Id="rId8" /><Relationship Type="http://schemas.openxmlformats.org/officeDocument/2006/relationships/hyperlink" Target="https://mrshodgettsstatistics.com/edexcel-gcse-statistics-2018-onwards/" TargetMode="Externa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s://www.statsacademy.co.uk/exam-practice" TargetMode="Externa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statsacademy.co.uk/_files/ugd/d7dae4_e12606110e7a42e38726be242dad14af.pdf?index=true" TargetMode="Externa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yperlink" Target="https://www.statsacademy.co.uk/copy-of-revision-notes" TargetMode="External" Id="rId10" /><Relationship Type="http://schemas.openxmlformats.org/officeDocument/2006/relationships/numbering" Target="numbering.xml" Id="rId4" /><Relationship Type="http://schemas.openxmlformats.org/officeDocument/2006/relationships/hyperlink" Target="https://www.statsacademy.co.uk/chapter-notes" TargetMode="External" Id="rId9" /><Relationship Type="http://schemas.openxmlformats.org/officeDocument/2006/relationships/fontTable" Target="fontTable.xml" Id="rId1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gh/Downloads/Revision%20List%20Template.dotx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EE2ADC1C59294E96312C994B18C9DC" ma:contentTypeVersion="6" ma:contentTypeDescription="Create a new document." ma:contentTypeScope="" ma:versionID="07d12d74f3c5772a218764afecbddf21">
  <xsd:schema xmlns:xsd="http://www.w3.org/2001/XMLSchema" xmlns:xs="http://www.w3.org/2001/XMLSchema" xmlns:p="http://schemas.microsoft.com/office/2006/metadata/properties" xmlns:ns2="3cc059da-c3a2-4306-b2aa-7cfdfbc83294" xmlns:ns3="4921c1ca-cec4-45cf-b6c0-a5651dc008fc" targetNamespace="http://schemas.microsoft.com/office/2006/metadata/properties" ma:root="true" ma:fieldsID="901e5478cd41484adc02ed800b863339" ns2:_="" ns3:_="">
    <xsd:import namespace="3cc059da-c3a2-4306-b2aa-7cfdfbc83294"/>
    <xsd:import namespace="4921c1ca-cec4-45cf-b6c0-a5651dc008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059da-c3a2-4306-b2aa-7cfdfbc832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1c1ca-cec4-45cf-b6c0-a5651dc008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812D65-92B8-4F0E-908E-E1EE7B92F5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64D781-D083-480C-8E59-FA977FF730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331BC8-70D4-4677-A12C-888540BE98F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Revision List Template.dotx</ap:Template>
  <ap:Application>Microsoft Word for the web</ap:Application>
  <ap:DocSecurity>0</ap:DocSecurity>
  <ap:ScaleCrop>false</ap:ScaleCrop>
  <ap:Company>Omega Multi Academy Trust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Hay</dc:creator>
  <cp:keywords/>
  <dc:description/>
  <cp:lastModifiedBy>Lewis Morgan</cp:lastModifiedBy>
  <cp:revision>4</cp:revision>
  <dcterms:created xsi:type="dcterms:W3CDTF">2025-03-29T22:06:00Z</dcterms:created>
  <dcterms:modified xsi:type="dcterms:W3CDTF">2026-04-16T13:35:40Z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0x0101008BEE2ADC1C59294E96312C994B18C9DC</vt:lpwstr>
  </property>
</Properties>
</file>