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15CC2" w14:textId="7408CAA8" w:rsidR="005E18CB" w:rsidRDefault="009D71E8" w:rsidP="0016496B">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 </w:t>
      </w:r>
      <w:r w:rsidR="00312BE6">
        <w:t>Greet</w:t>
      </w:r>
      <w:r w:rsidR="0016496B">
        <w:t xml:space="preserve"> Primary School</w:t>
      </w:r>
    </w:p>
    <w:p w14:paraId="16B48015" w14:textId="10C880C9"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CA4421">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191C4370" w:rsidR="002940F3" w:rsidRDefault="001D03C9">
            <w:pPr>
              <w:pStyle w:val="TableRow"/>
            </w:pPr>
            <w:r>
              <w:t>7</w:t>
            </w:r>
            <w:r w:rsidR="00D91F7C">
              <w:t>7</w:t>
            </w:r>
            <w:r w:rsidR="00C718D2">
              <w:t>4</w:t>
            </w: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42E8CE4D" w:rsidR="002940F3" w:rsidRDefault="00C718D2">
            <w:pPr>
              <w:pStyle w:val="TableRow"/>
            </w:pPr>
            <w:r>
              <w:t>43.9</w:t>
            </w:r>
            <w:r w:rsidR="00A80E93">
              <w:t>%</w:t>
            </w: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34215C6A" w:rsidR="002940F3" w:rsidRDefault="002940F3">
            <w:pPr>
              <w:pStyle w:val="TableRow"/>
            </w:pPr>
            <w:r>
              <w:t xml:space="preserve">Academic year/years that our current pupil premium strategy plan covers </w:t>
            </w:r>
            <w:r w:rsidRPr="1CBF4D92">
              <w:rPr>
                <w:b/>
              </w:rPr>
              <w:t>(</w:t>
            </w:r>
            <w:proofErr w:type="gramStart"/>
            <w:r w:rsidRPr="004B4D0A">
              <w:rPr>
                <w:b/>
              </w:rPr>
              <w:t>3 year</w:t>
            </w:r>
            <w:proofErr w:type="gramEnd"/>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10475E11" w:rsidR="002940F3" w:rsidRDefault="0016496B">
            <w:pPr>
              <w:pStyle w:val="TableRow"/>
            </w:pPr>
            <w:r>
              <w:t>202</w:t>
            </w:r>
            <w:r w:rsidR="00F548C7">
              <w:t>5</w:t>
            </w:r>
            <w:r>
              <w:t xml:space="preserve"> - 202</w:t>
            </w:r>
            <w:r w:rsidR="00F548C7">
              <w:t>8</w:t>
            </w: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3AA1E9E9" w:rsidR="002940F3" w:rsidRDefault="0016496B">
            <w:pPr>
              <w:pStyle w:val="TableRow"/>
            </w:pPr>
            <w:r>
              <w:t>September 202</w:t>
            </w:r>
            <w:r w:rsidR="002A0D25">
              <w:t>5</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7ACAD652" w:rsidR="002940F3" w:rsidRDefault="0016496B">
            <w:pPr>
              <w:pStyle w:val="TableRow"/>
            </w:pPr>
            <w:r>
              <w:t>July 202</w:t>
            </w:r>
            <w:r w:rsidR="002A0D25">
              <w:t>6</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4B2249DA" w:rsidR="002940F3" w:rsidRDefault="00F548C7">
            <w:pPr>
              <w:pStyle w:val="TableRow"/>
            </w:pPr>
            <w:r>
              <w:t>Chloe Williams</w:t>
            </w:r>
            <w:r w:rsidR="0016496B">
              <w:t xml:space="preserve">: </w:t>
            </w:r>
            <w:proofErr w:type="spellStart"/>
            <w:r w:rsidR="0016496B">
              <w:t>H</w:t>
            </w:r>
            <w:r>
              <w:t>oS</w:t>
            </w:r>
            <w:proofErr w:type="spellEnd"/>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63F4A9F8" w:rsidR="002940F3" w:rsidRDefault="002A0D25">
            <w:pPr>
              <w:pStyle w:val="TableRow"/>
            </w:pPr>
            <w:r>
              <w:t>C</w:t>
            </w:r>
            <w:r w:rsidR="00F548C7">
              <w:t>hloe Williams</w:t>
            </w:r>
            <w:r w:rsidR="0016496B">
              <w:t xml:space="preserve">: </w:t>
            </w:r>
            <w:proofErr w:type="spellStart"/>
            <w:r>
              <w:t>H</w:t>
            </w:r>
            <w:r w:rsidR="00F548C7">
              <w:t>oS</w:t>
            </w:r>
            <w:proofErr w:type="spellEnd"/>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4D3FB3D5" w:rsidR="002940F3" w:rsidRDefault="00F548C7">
            <w:pPr>
              <w:pStyle w:val="TableRow"/>
            </w:pPr>
            <w:r>
              <w:t>M Higgins</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00CA4421">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8" w14:textId="2B5BBEF3" w:rsidR="00E66558" w:rsidRDefault="009D71E8">
            <w:pPr>
              <w:pStyle w:val="TableRow"/>
            </w:pPr>
            <w:r>
              <w:t>£</w:t>
            </w:r>
            <w:r w:rsidR="00503B9D">
              <w:t>515,100.00</w:t>
            </w:r>
          </w:p>
        </w:tc>
      </w:tr>
      <w:tr w:rsidR="00E66558" w14:paraId="2A7D54DC"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1C9B95" w14:textId="77777777" w:rsidR="00E66558" w:rsidRDefault="009D71E8">
            <w:pPr>
              <w:pStyle w:val="TableRow"/>
            </w:pPr>
            <w:r>
              <w:t>Recovery premium funding allocation this academic year</w:t>
            </w:r>
          </w:p>
          <w:p w14:paraId="2A7D54DA" w14:textId="18734994" w:rsidR="00CA5363" w:rsidRPr="005F16B6" w:rsidRDefault="00CA5363" w:rsidP="00CA5363">
            <w:pPr>
              <w:pStyle w:val="TableRow"/>
              <w:rPr>
                <w:i/>
                <w:iCs/>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B" w14:textId="6F762CDB" w:rsidR="00E66558" w:rsidRDefault="009D71E8">
            <w:pPr>
              <w:pStyle w:val="TableRow"/>
            </w:pPr>
            <w:r>
              <w:t>£</w:t>
            </w:r>
            <w:r w:rsidR="00A80E93">
              <w:t>0</w:t>
            </w:r>
          </w:p>
        </w:tc>
      </w:tr>
      <w:tr w:rsidR="00E6655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74690F68" w:rsidR="007109F6" w:rsidRPr="005F16B6" w:rsidRDefault="009D71E8" w:rsidP="005F16B6">
            <w:pPr>
              <w:pStyle w:val="TableRow"/>
              <w:spacing w:after="12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23A3C359" w:rsidR="00E66558" w:rsidRDefault="009D71E8">
            <w:pPr>
              <w:pStyle w:val="TableRow"/>
            </w:pPr>
            <w:r>
              <w:t>£</w:t>
            </w:r>
            <w:r w:rsidR="00A80E93">
              <w:t>0</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0" w14:textId="77777777" w:rsidR="00E66558" w:rsidRDefault="009D71E8" w:rsidP="009C0914">
            <w:pPr>
              <w:pStyle w:val="TableRow"/>
              <w:spacing w:after="120"/>
              <w:rPr>
                <w:b/>
              </w:rPr>
            </w:pPr>
            <w:r>
              <w:rPr>
                <w:b/>
              </w:rPr>
              <w:t>Total budget for this academic year</w:t>
            </w:r>
          </w:p>
          <w:p w14:paraId="2A7D54E1" w14:textId="77777777" w:rsidR="00E66558" w:rsidRPr="003C4388" w:rsidRDefault="009D71E8">
            <w:pPr>
              <w:pStyle w:val="TableRow"/>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2" w14:textId="0AFDCD7B" w:rsidR="00E66558" w:rsidRDefault="009D71E8">
            <w:pPr>
              <w:pStyle w:val="TableRow"/>
            </w:pPr>
            <w:r>
              <w:t>£</w:t>
            </w:r>
            <w:r w:rsidR="00D91F7C">
              <w:t>515,100.00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EBE53" w14:textId="45B464D1" w:rsidR="00B84B24" w:rsidRPr="00B84B24" w:rsidRDefault="00B84B24" w:rsidP="00B84B24">
            <w:r w:rsidRPr="00B84B24">
              <w:rPr>
                <w:b/>
                <w:bCs/>
              </w:rPr>
              <w:t>Our Vision</w:t>
            </w:r>
            <w:r>
              <w:rPr>
                <w:b/>
                <w:bCs/>
              </w:rPr>
              <w:t>:</w:t>
            </w:r>
            <w:r w:rsidRPr="00B84B24">
              <w:br/>
              <w:t>At Greet Primary School, we are relentless in our commitment to equity. We use Pupil Premium funding to remove barriers, accelerate progress and enrich experiences so that every child—especially those facing disadvantage—achieves highly, thrives socially and emotionally, and loves learning.</w:t>
            </w:r>
          </w:p>
          <w:p w14:paraId="5CE86D36" w14:textId="348C8D67" w:rsidR="00B84B24" w:rsidRPr="00B84B24" w:rsidRDefault="00B84B24" w:rsidP="00B84B24">
            <w:r w:rsidRPr="00B84B24">
              <w:rPr>
                <w:b/>
                <w:bCs/>
              </w:rPr>
              <w:t>Key Principles</w:t>
            </w:r>
            <w:r>
              <w:rPr>
                <w:b/>
                <w:bCs/>
              </w:rPr>
              <w:t>:</w:t>
            </w:r>
          </w:p>
          <w:p w14:paraId="5BB2A295" w14:textId="77777777" w:rsidR="00B84B24" w:rsidRPr="00B84B24" w:rsidRDefault="00B84B24" w:rsidP="00B84B24">
            <w:pPr>
              <w:rPr>
                <w:sz w:val="22"/>
                <w:szCs w:val="22"/>
              </w:rPr>
            </w:pPr>
            <w:r w:rsidRPr="00B84B24">
              <w:rPr>
                <w:b/>
                <w:bCs/>
                <w:sz w:val="22"/>
                <w:szCs w:val="22"/>
              </w:rPr>
              <w:t>Addressing individual need and equality of opportunity</w:t>
            </w:r>
            <w:r w:rsidRPr="00B84B24">
              <w:rPr>
                <w:sz w:val="22"/>
                <w:szCs w:val="22"/>
              </w:rPr>
              <w:t>: We target support where circumstances are challenging, ensuring equitable access to learning and enrichment.</w:t>
            </w:r>
          </w:p>
          <w:p w14:paraId="6F141288" w14:textId="77777777" w:rsidR="00B84B24" w:rsidRPr="00B84B24" w:rsidRDefault="00B84B24" w:rsidP="00B84B24">
            <w:pPr>
              <w:rPr>
                <w:sz w:val="22"/>
                <w:szCs w:val="22"/>
              </w:rPr>
            </w:pPr>
            <w:r w:rsidRPr="00B84B24">
              <w:rPr>
                <w:b/>
                <w:bCs/>
                <w:sz w:val="22"/>
                <w:szCs w:val="22"/>
              </w:rPr>
              <w:t>Strong additional academic support</w:t>
            </w:r>
            <w:r w:rsidRPr="00B84B24">
              <w:rPr>
                <w:sz w:val="22"/>
                <w:szCs w:val="22"/>
              </w:rPr>
              <w:t>: We prioritise proven, high</w:t>
            </w:r>
            <w:r w:rsidRPr="00B84B24">
              <w:rPr>
                <w:sz w:val="22"/>
                <w:szCs w:val="22"/>
              </w:rPr>
              <w:noBreakHyphen/>
              <w:t>quality interventions that directly raise attainment.</w:t>
            </w:r>
          </w:p>
          <w:p w14:paraId="7017D487" w14:textId="46AF0BFD" w:rsidR="00B84B24" w:rsidRPr="00B84B24" w:rsidRDefault="00B84B24" w:rsidP="00B84B24">
            <w:pPr>
              <w:rPr>
                <w:sz w:val="22"/>
                <w:szCs w:val="22"/>
              </w:rPr>
            </w:pPr>
            <w:r w:rsidRPr="00B84B24">
              <w:rPr>
                <w:b/>
                <w:bCs/>
                <w:sz w:val="22"/>
                <w:szCs w:val="22"/>
              </w:rPr>
              <w:t>Ambition for outcomes</w:t>
            </w:r>
            <w:r w:rsidRPr="00B84B24">
              <w:rPr>
                <w:sz w:val="22"/>
                <w:szCs w:val="22"/>
              </w:rPr>
              <w:t xml:space="preserve">: We use Pupil Premium to improve educational outcomes for our disadvantaged pupils, </w:t>
            </w:r>
            <w:r w:rsidRPr="00B84B24">
              <w:rPr>
                <w:b/>
                <w:bCs/>
                <w:sz w:val="22"/>
                <w:szCs w:val="22"/>
              </w:rPr>
              <w:t>mitigating additional challenges</w:t>
            </w:r>
            <w:r w:rsidRPr="00B84B24">
              <w:rPr>
                <w:sz w:val="22"/>
                <w:szCs w:val="22"/>
              </w:rPr>
              <w:t xml:space="preserve"> so they reach their full potential and perform as well as other pupils.</w:t>
            </w:r>
          </w:p>
          <w:p w14:paraId="5D413940" w14:textId="77777777" w:rsidR="00B84B24" w:rsidRPr="00B84B24" w:rsidRDefault="00B84B24" w:rsidP="00B84B24">
            <w:pPr>
              <w:rPr>
                <w:sz w:val="22"/>
                <w:szCs w:val="22"/>
              </w:rPr>
            </w:pPr>
            <w:r w:rsidRPr="00B84B24">
              <w:rPr>
                <w:b/>
                <w:bCs/>
                <w:sz w:val="22"/>
                <w:szCs w:val="22"/>
              </w:rPr>
              <w:t>Evidence</w:t>
            </w:r>
            <w:r w:rsidRPr="00B84B24">
              <w:rPr>
                <w:b/>
                <w:bCs/>
                <w:sz w:val="22"/>
                <w:szCs w:val="22"/>
              </w:rPr>
              <w:noBreakHyphen/>
              <w:t>informed, impact</w:t>
            </w:r>
            <w:r w:rsidRPr="00B84B24">
              <w:rPr>
                <w:b/>
                <w:bCs/>
                <w:sz w:val="22"/>
                <w:szCs w:val="22"/>
              </w:rPr>
              <w:noBreakHyphen/>
              <w:t>driven</w:t>
            </w:r>
            <w:r w:rsidRPr="00B84B24">
              <w:rPr>
                <w:sz w:val="22"/>
                <w:szCs w:val="22"/>
              </w:rPr>
              <w:t>: We invest in approaches with strong evidence and evaluate them rigorously.</w:t>
            </w:r>
          </w:p>
          <w:p w14:paraId="2A7D54E9" w14:textId="7E8EC1F9" w:rsidR="007E13D5" w:rsidRPr="00B84B24" w:rsidRDefault="00B84B24" w:rsidP="00A80E93">
            <w:r w:rsidRPr="00B84B24">
              <w:rPr>
                <w:b/>
                <w:bCs/>
                <w:sz w:val="22"/>
                <w:szCs w:val="22"/>
              </w:rPr>
              <w:t>Tiered approach</w:t>
            </w:r>
            <w:r w:rsidRPr="00B84B24">
              <w:rPr>
                <w:sz w:val="22"/>
                <w:szCs w:val="22"/>
              </w:rPr>
              <w:t>: High</w:t>
            </w:r>
            <w:r w:rsidRPr="00B84B24">
              <w:rPr>
                <w:sz w:val="22"/>
                <w:szCs w:val="22"/>
              </w:rPr>
              <w:noBreakHyphen/>
              <w:t xml:space="preserve">quality teaching for all; targeted academic support; wider strategies for attendance, wellbeing and engagement. </w:t>
            </w:r>
          </w:p>
        </w:tc>
      </w:tr>
    </w:tbl>
    <w:p w14:paraId="2A7D54EB" w14:textId="77777777"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803F55" w14:paraId="2A7D54F2" w14:textId="77777777" w:rsidTr="002B3AE2">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197BACD2" w:rsidR="00803F55" w:rsidRDefault="00803F55" w:rsidP="00803F55">
            <w:pPr>
              <w:pStyle w:val="TableRow"/>
              <w:rPr>
                <w:sz w:val="22"/>
                <w:szCs w:val="22"/>
              </w:rPr>
            </w:pPr>
            <w:r>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1" w14:textId="38A1A930" w:rsidR="00803F55" w:rsidRPr="00C92F18" w:rsidRDefault="00803F55" w:rsidP="00803F55">
            <w:pPr>
              <w:pStyle w:val="TableRowCentered"/>
              <w:jc w:val="left"/>
              <w:rPr>
                <w:sz w:val="22"/>
                <w:szCs w:val="18"/>
              </w:rPr>
            </w:pPr>
            <w:r w:rsidRPr="00C92F18">
              <w:rPr>
                <w:sz w:val="22"/>
                <w:szCs w:val="18"/>
              </w:rPr>
              <w:t>Low levels of language on entry to school limit reading, comprehension and writing skills, particularly in EYFS and Year 1.</w:t>
            </w:r>
          </w:p>
        </w:tc>
      </w:tr>
      <w:tr w:rsidR="00803F55" w14:paraId="2A7D54F5" w14:textId="77777777" w:rsidTr="002B3AE2">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5412D5B0" w:rsidR="00803F55" w:rsidRDefault="00803F55" w:rsidP="00803F55">
            <w:pPr>
              <w:pStyle w:val="TableRow"/>
              <w:rPr>
                <w:sz w:val="22"/>
                <w:szCs w:val="22"/>
              </w:rPr>
            </w:pPr>
            <w:r>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4" w14:textId="52B8FE3B" w:rsidR="00803F55" w:rsidRPr="00C92F18" w:rsidRDefault="00803F55" w:rsidP="00803F55">
            <w:pPr>
              <w:suppressAutoHyphens w:val="0"/>
              <w:autoSpaceDN/>
              <w:spacing w:before="60" w:after="120" w:line="240" w:lineRule="auto"/>
              <w:ind w:left="57" w:right="57"/>
              <w:rPr>
                <w:color w:val="auto"/>
                <w:sz w:val="22"/>
                <w:szCs w:val="18"/>
                <w:lang w:val="en-US"/>
              </w:rPr>
            </w:pPr>
            <w:r w:rsidRPr="00C92F18">
              <w:rPr>
                <w:sz w:val="22"/>
                <w:szCs w:val="18"/>
              </w:rPr>
              <w:t xml:space="preserve">Attainment gaps in </w:t>
            </w:r>
            <w:r w:rsidR="006C4104">
              <w:rPr>
                <w:sz w:val="22"/>
                <w:szCs w:val="18"/>
              </w:rPr>
              <w:t xml:space="preserve">phonics, </w:t>
            </w:r>
            <w:r w:rsidRPr="00C92F18">
              <w:rPr>
                <w:sz w:val="22"/>
                <w:szCs w:val="18"/>
              </w:rPr>
              <w:t>reading, writing and maths among disadvantaged pupils vs. non-disadvantaged.</w:t>
            </w:r>
          </w:p>
        </w:tc>
      </w:tr>
      <w:tr w:rsidR="00803F55" w14:paraId="2A7D54F8" w14:textId="77777777" w:rsidTr="002B3AE2">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2D072CD5" w:rsidR="00803F55" w:rsidRDefault="00803F55" w:rsidP="00803F55">
            <w:pPr>
              <w:pStyle w:val="TableRow"/>
              <w:rPr>
                <w:sz w:val="22"/>
                <w:szCs w:val="22"/>
              </w:rPr>
            </w:pPr>
            <w:r>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7" w14:textId="074FAD11" w:rsidR="00803F55" w:rsidRPr="00C92F18" w:rsidRDefault="00803F55" w:rsidP="00803F55">
            <w:pPr>
              <w:pStyle w:val="TableRowCentered"/>
              <w:jc w:val="left"/>
              <w:rPr>
                <w:sz w:val="22"/>
                <w:szCs w:val="18"/>
              </w:rPr>
            </w:pPr>
            <w:r w:rsidRPr="00C92F18">
              <w:rPr>
                <w:sz w:val="22"/>
                <w:szCs w:val="18"/>
              </w:rPr>
              <w:t>High mobility and newly arrived pupils with EAL or SEND needs.</w:t>
            </w:r>
          </w:p>
        </w:tc>
      </w:tr>
      <w:tr w:rsidR="00803F55" w14:paraId="2A7D54FB" w14:textId="77777777" w:rsidTr="002B3AE2">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55E45541" w:rsidR="00803F55" w:rsidRDefault="00803F55" w:rsidP="00803F55">
            <w:pPr>
              <w:pStyle w:val="TableRow"/>
              <w:rPr>
                <w:sz w:val="22"/>
                <w:szCs w:val="22"/>
              </w:rPr>
            </w:pPr>
            <w:r>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A" w14:textId="33A77B27" w:rsidR="00803F55" w:rsidRPr="00C92F18" w:rsidRDefault="00803F55" w:rsidP="00803F55">
            <w:pPr>
              <w:pStyle w:val="TableRowCentered"/>
              <w:jc w:val="left"/>
              <w:rPr>
                <w:iCs/>
                <w:sz w:val="22"/>
                <w:szCs w:val="18"/>
              </w:rPr>
            </w:pPr>
            <w:r w:rsidRPr="00C92F18">
              <w:rPr>
                <w:sz w:val="22"/>
                <w:szCs w:val="18"/>
              </w:rPr>
              <w:t>Social, emotional and mental health (SEMH) needs affecting engagement and attainment.</w:t>
            </w:r>
          </w:p>
        </w:tc>
      </w:tr>
      <w:tr w:rsidR="00803F55" w14:paraId="2A7D54FE" w14:textId="77777777" w:rsidTr="002B3AE2">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C" w14:textId="2CB2A804" w:rsidR="00803F55" w:rsidRDefault="00803F55" w:rsidP="00803F55">
            <w:pPr>
              <w:pStyle w:val="TableRow"/>
              <w:rPr>
                <w:sz w:val="22"/>
                <w:szCs w:val="22"/>
              </w:rPr>
            </w:pPr>
            <w:r>
              <w:t>5</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D" w14:textId="5CE47D2A" w:rsidR="00803F55" w:rsidRPr="00C92F18" w:rsidRDefault="00803F55" w:rsidP="00803F55">
            <w:pPr>
              <w:pStyle w:val="TableRowCentered"/>
              <w:jc w:val="left"/>
              <w:rPr>
                <w:iCs/>
                <w:sz w:val="22"/>
                <w:szCs w:val="18"/>
              </w:rPr>
            </w:pPr>
            <w:r w:rsidRPr="00C92F18">
              <w:rPr>
                <w:sz w:val="22"/>
                <w:szCs w:val="18"/>
              </w:rPr>
              <w:t>Attendance, punctuality and variable home-learning engagement.</w:t>
            </w:r>
          </w:p>
        </w:tc>
      </w:tr>
      <w:tr w:rsidR="00803F55" w14:paraId="5B1258C5" w14:textId="77777777" w:rsidTr="002B3AE2">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76DA7" w14:textId="2D151107" w:rsidR="00803F55" w:rsidRDefault="00803F55" w:rsidP="00803F55">
            <w:pPr>
              <w:pStyle w:val="TableRow"/>
              <w:rPr>
                <w:sz w:val="22"/>
                <w:szCs w:val="22"/>
              </w:rPr>
            </w:pPr>
            <w:r>
              <w:t>6</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69155" w14:textId="1C3B1123" w:rsidR="00803F55" w:rsidRPr="00C92F18" w:rsidRDefault="00803F55" w:rsidP="00803F55">
            <w:pPr>
              <w:pStyle w:val="TableRowCentered"/>
              <w:jc w:val="left"/>
              <w:rPr>
                <w:iCs/>
                <w:sz w:val="22"/>
                <w:szCs w:val="18"/>
              </w:rPr>
            </w:pPr>
            <w:r w:rsidRPr="00C92F18">
              <w:rPr>
                <w:sz w:val="22"/>
                <w:szCs w:val="18"/>
              </w:rPr>
              <w:t>Financial hardship limiting access to enrichment, trips, and uniform.</w:t>
            </w:r>
          </w:p>
        </w:tc>
      </w:tr>
    </w:tbl>
    <w:p w14:paraId="2A7D54FF" w14:textId="77777777" w:rsidR="00E66558" w:rsidRDefault="009D71E8">
      <w:pPr>
        <w:pStyle w:val="Heading2"/>
        <w:spacing w:before="600"/>
      </w:pPr>
      <w:bookmarkStart w:id="16" w:name="_Toc443397160"/>
      <w:r>
        <w:lastRenderedPageBreak/>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pPr>
              <w:pStyle w:val="TableHeader"/>
              <w:jc w:val="left"/>
            </w:pPr>
            <w:r>
              <w:t>Success criteria</w:t>
            </w:r>
          </w:p>
        </w:tc>
      </w:tr>
      <w:tr w:rsidR="00E964E1" w14:paraId="2A7D550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4" w14:textId="150E204B" w:rsidR="00E964E1" w:rsidRDefault="00E964E1" w:rsidP="00E964E1">
            <w:pPr>
              <w:pStyle w:val="TableRow"/>
              <w:ind w:left="0"/>
            </w:pPr>
            <w:r>
              <w:t>Improved recall of key knowledge and vocabulary across all subjects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5" w14:textId="59F999A3" w:rsidR="00E964E1" w:rsidRDefault="00E964E1" w:rsidP="0049152B">
            <w:pPr>
              <w:pStyle w:val="TableRowCentered"/>
              <w:ind w:left="0"/>
              <w:jc w:val="left"/>
              <w:rPr>
                <w:sz w:val="22"/>
                <w:szCs w:val="22"/>
              </w:rPr>
            </w:pPr>
            <w:r>
              <w:t>Triangulated evidence (assessments, books, pupil voice) shows pupils learn and remember the curriculum; outcomes in all subjects meet or exceed national averages.</w:t>
            </w:r>
          </w:p>
        </w:tc>
      </w:tr>
      <w:tr w:rsidR="00E964E1" w14:paraId="2A7D5509"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7" w14:textId="5787EB7D" w:rsidR="00E964E1" w:rsidRDefault="00E964E1" w:rsidP="00E964E1">
            <w:pPr>
              <w:pStyle w:val="TableRow"/>
              <w:rPr>
                <w:sz w:val="22"/>
                <w:szCs w:val="22"/>
              </w:rPr>
            </w:pPr>
            <w:r>
              <w:t>Reading outcomes for disadvantaged pupils match chronological age expectations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8" w14:textId="1461FC1F" w:rsidR="00E964E1" w:rsidRDefault="00E964E1" w:rsidP="0049152B">
            <w:pPr>
              <w:pStyle w:val="TableRowCentered"/>
              <w:ind w:left="0"/>
              <w:jc w:val="left"/>
              <w:rPr>
                <w:sz w:val="22"/>
                <w:szCs w:val="22"/>
              </w:rPr>
            </w:pPr>
            <w:r>
              <w:t>KS2 reading: % disadvantaged at EXS at/above national; Y1 phonics: pass rate at/above national.</w:t>
            </w:r>
          </w:p>
        </w:tc>
      </w:tr>
      <w:tr w:rsidR="00E964E1" w14:paraId="2A7D550C"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A" w14:textId="0E11DF59" w:rsidR="00E964E1" w:rsidRDefault="00E964E1" w:rsidP="00E964E1">
            <w:pPr>
              <w:pStyle w:val="TableRow"/>
              <w:rPr>
                <w:sz w:val="22"/>
                <w:szCs w:val="22"/>
              </w:rPr>
            </w:pPr>
            <w:r>
              <w:t>Improved writing attainment (KS1 &amp; KS2)</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B" w14:textId="5EB201A4" w:rsidR="00E964E1" w:rsidRDefault="00E964E1" w:rsidP="0049152B">
            <w:pPr>
              <w:pStyle w:val="TableRowCentered"/>
              <w:ind w:left="0"/>
              <w:jc w:val="left"/>
              <w:rPr>
                <w:sz w:val="22"/>
                <w:szCs w:val="22"/>
              </w:rPr>
            </w:pPr>
            <w:r>
              <w:t>KS1 &amp; KS2 writing: % disadvantaged at EXS at/above national.</w:t>
            </w:r>
          </w:p>
        </w:tc>
      </w:tr>
      <w:tr w:rsidR="00E964E1" w14:paraId="2A7D550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D" w14:textId="6DF5E623" w:rsidR="00E964E1" w:rsidRDefault="00E964E1" w:rsidP="00E964E1">
            <w:pPr>
              <w:pStyle w:val="TableRow"/>
              <w:rPr>
                <w:sz w:val="22"/>
                <w:szCs w:val="22"/>
              </w:rPr>
            </w:pPr>
            <w:r>
              <w:t>Improved maths attainment (KS2)</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E" w14:textId="0D8ACCB2" w:rsidR="00E964E1" w:rsidRDefault="00E964E1" w:rsidP="0049152B">
            <w:pPr>
              <w:pStyle w:val="TableRowCentered"/>
              <w:ind w:left="0"/>
              <w:jc w:val="left"/>
              <w:rPr>
                <w:sz w:val="22"/>
                <w:szCs w:val="22"/>
              </w:rPr>
            </w:pPr>
            <w:r>
              <w:t>KS2 maths: % disadvantaged at EXS at/above national.</w:t>
            </w:r>
          </w:p>
        </w:tc>
      </w:tr>
      <w:tr w:rsidR="00E964E1" w14:paraId="7332B31E"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D93EC" w14:textId="20DB856F" w:rsidR="00E964E1" w:rsidRDefault="00E964E1" w:rsidP="00E964E1">
            <w:pPr>
              <w:pStyle w:val="TableRow"/>
              <w:rPr>
                <w:sz w:val="22"/>
                <w:szCs w:val="22"/>
              </w:rPr>
            </w:pPr>
            <w:r>
              <w:t>Increase EAL proficiency levels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092F5" w14:textId="209AB2B7" w:rsidR="00E964E1" w:rsidRDefault="00E964E1" w:rsidP="0049152B">
            <w:pPr>
              <w:pStyle w:val="TableRowCentered"/>
              <w:ind w:left="0"/>
              <w:jc w:val="left"/>
              <w:rPr>
                <w:sz w:val="22"/>
                <w:szCs w:val="22"/>
              </w:rPr>
            </w:pPr>
            <w:r>
              <w:t>EAL pupils make strong progress through proficiency bands.</w:t>
            </w:r>
          </w:p>
        </w:tc>
      </w:tr>
      <w:tr w:rsidR="00E964E1" w14:paraId="5A0A86D3"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64356" w14:textId="69C6E394" w:rsidR="00E964E1" w:rsidRDefault="00E964E1" w:rsidP="00E964E1">
            <w:pPr>
              <w:pStyle w:val="TableRow"/>
              <w:rPr>
                <w:sz w:val="22"/>
                <w:szCs w:val="22"/>
              </w:rPr>
            </w:pPr>
            <w:r>
              <w:t>Strengthen provision for SLCN</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1E853" w14:textId="0E15A173" w:rsidR="00E964E1" w:rsidRDefault="00E964E1" w:rsidP="0049152B">
            <w:pPr>
              <w:pStyle w:val="TableRowCentered"/>
              <w:ind w:left="0"/>
              <w:jc w:val="left"/>
              <w:rPr>
                <w:sz w:val="22"/>
                <w:szCs w:val="22"/>
              </w:rPr>
            </w:pPr>
            <w:r>
              <w:t>100% identified with SLCN receive intervention and make progress; staff trained to support SLCN.</w:t>
            </w:r>
          </w:p>
        </w:tc>
      </w:tr>
      <w:tr w:rsidR="00E964E1" w14:paraId="117AB419"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FD75A" w14:textId="6EDF75D7" w:rsidR="00E964E1" w:rsidRDefault="00E964E1" w:rsidP="00E964E1">
            <w:pPr>
              <w:pStyle w:val="TableRow"/>
              <w:rPr>
                <w:sz w:val="22"/>
                <w:szCs w:val="22"/>
              </w:rPr>
            </w:pPr>
            <w:r>
              <w:t>Improve parental engagement</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55716" w14:textId="0DB8BABC" w:rsidR="00E964E1" w:rsidRPr="00DE31AC" w:rsidRDefault="00E964E1" w:rsidP="0049152B">
            <w:pPr>
              <w:pStyle w:val="TableRowCentered"/>
              <w:ind w:left="0"/>
              <w:jc w:val="left"/>
              <w:rPr>
                <w:sz w:val="22"/>
                <w:szCs w:val="22"/>
              </w:rPr>
            </w:pPr>
            <w:r>
              <w:t>Parents feel confident to support learning; increased, positive survey feedback and participation.</w:t>
            </w:r>
          </w:p>
        </w:tc>
      </w:tr>
      <w:tr w:rsidR="00E964E1" w14:paraId="438037D8"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B254A" w14:textId="02E07B11" w:rsidR="00E964E1" w:rsidRDefault="00E964E1" w:rsidP="00E964E1">
            <w:pPr>
              <w:pStyle w:val="TableRow"/>
              <w:rPr>
                <w:sz w:val="22"/>
                <w:szCs w:val="22"/>
              </w:rPr>
            </w:pPr>
            <w:r>
              <w:t>Improve social and emotional wellbeing</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26B03" w14:textId="78DDFA90" w:rsidR="00E964E1" w:rsidRPr="00290583" w:rsidRDefault="00E964E1" w:rsidP="00290583">
            <w:pPr>
              <w:suppressAutoHyphens w:val="0"/>
              <w:autoSpaceDN/>
              <w:spacing w:before="60" w:after="120" w:line="240" w:lineRule="auto"/>
              <w:ind w:right="57"/>
              <w:rPr>
                <w:rFonts w:cs="Arial"/>
                <w:color w:val="auto"/>
              </w:rPr>
            </w:pPr>
            <w:r>
              <w:t>Sustained positive wellbeing (voice, surveys, observations); increased participation in enrichment among disadvantaged pupils.</w:t>
            </w:r>
          </w:p>
        </w:tc>
      </w:tr>
      <w:tr w:rsidR="00E964E1" w14:paraId="3C8EF677"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FD77D" w14:textId="76E259C7" w:rsidR="00E964E1" w:rsidRDefault="00E964E1" w:rsidP="00E964E1">
            <w:pPr>
              <w:pStyle w:val="TableRow"/>
              <w:rPr>
                <w:sz w:val="22"/>
                <w:szCs w:val="22"/>
              </w:rPr>
            </w:pPr>
            <w:r>
              <w:t>Improve attendance for disadvantaged pupils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AB1AD" w14:textId="649B149D" w:rsidR="00E964E1" w:rsidRPr="00290583" w:rsidRDefault="00E964E1" w:rsidP="00290583">
            <w:pPr>
              <w:suppressAutoHyphens w:val="0"/>
              <w:autoSpaceDN/>
              <w:spacing w:before="60" w:after="60" w:line="240" w:lineRule="auto"/>
              <w:ind w:right="57"/>
              <w:rPr>
                <w:rFonts w:cs="Arial"/>
                <w:color w:val="auto"/>
                <w:sz w:val="22"/>
                <w:szCs w:val="22"/>
              </w:rPr>
            </w:pPr>
            <w:r>
              <w:t>Overall attendance meets national; reduced persistent absence; minimal gap between disadvantaged and peers.</w:t>
            </w:r>
          </w:p>
        </w:tc>
      </w:tr>
    </w:tbl>
    <w:p w14:paraId="60BAD9F6" w14:textId="77777777" w:rsidR="00120AB1" w:rsidRDefault="00120AB1" w:rsidP="00ED5108"/>
    <w:p w14:paraId="2A06959E" w14:textId="2218981A" w:rsidR="00120AB1" w:rsidRDefault="00120AB1" w:rsidP="00BD4B12"/>
    <w:p w14:paraId="0EB9AAD5" w14:textId="77777777" w:rsidR="00DE31AC" w:rsidRDefault="00DE31AC">
      <w:pPr>
        <w:suppressAutoHyphens w:val="0"/>
        <w:spacing w:after="0" w:line="240" w:lineRule="auto"/>
        <w:rPr>
          <w:b/>
          <w:color w:val="104F75"/>
          <w:sz w:val="32"/>
          <w:szCs w:val="32"/>
        </w:rPr>
      </w:pPr>
      <w:r>
        <w:br w:type="page"/>
      </w:r>
    </w:p>
    <w:p w14:paraId="2A7D5512" w14:textId="0E9895DB" w:rsidR="00E66558" w:rsidRDefault="009D71E8">
      <w:pPr>
        <w:pStyle w:val="Heading2"/>
      </w:pPr>
      <w:r>
        <w:lastRenderedPageBreak/>
        <w:t>Activity in this academic year</w:t>
      </w:r>
    </w:p>
    <w:p w14:paraId="2A7D5513" w14:textId="603E7BD1"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5B625891" w:rsidR="00E66558" w:rsidRDefault="009D71E8">
      <w:r>
        <w:t xml:space="preserve">Budgeted cost: </w:t>
      </w:r>
      <w:r w:rsidR="00615B0C">
        <w:t>£</w:t>
      </w:r>
      <w:r w:rsidR="0043229C">
        <w:t>79,</w:t>
      </w:r>
      <w:r w:rsidR="00C373D1">
        <w:t>424.40</w:t>
      </w:r>
    </w:p>
    <w:tbl>
      <w:tblPr>
        <w:tblW w:w="5000" w:type="pct"/>
        <w:tblCellMar>
          <w:left w:w="10" w:type="dxa"/>
          <w:right w:w="10" w:type="dxa"/>
        </w:tblCellMar>
        <w:tblLook w:val="04A0" w:firstRow="1" w:lastRow="0" w:firstColumn="1" w:lastColumn="0" w:noHBand="0" w:noVBand="1"/>
      </w:tblPr>
      <w:tblGrid>
        <w:gridCol w:w="2546"/>
        <w:gridCol w:w="4493"/>
        <w:gridCol w:w="2447"/>
      </w:tblGrid>
      <w:tr w:rsidR="00E66558" w14:paraId="2A7D5519" w14:textId="77777777" w:rsidTr="007B44FE">
        <w:tc>
          <w:tcPr>
            <w:tcW w:w="254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pPr>
              <w:pStyle w:val="TableHeader"/>
              <w:jc w:val="left"/>
            </w:pPr>
            <w:r>
              <w:t>Activity</w:t>
            </w:r>
          </w:p>
        </w:tc>
        <w:tc>
          <w:tcPr>
            <w:tcW w:w="449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44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D112E4" w14:paraId="2A7D551D" w14:textId="77777777" w:rsidTr="007B44FE">
        <w:tc>
          <w:tcPr>
            <w:tcW w:w="2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A" w14:textId="764C4A38" w:rsidR="00D112E4" w:rsidRDefault="00D112E4" w:rsidP="00D112E4">
            <w:pPr>
              <w:shd w:val="clear" w:color="auto" w:fill="FFFFFF"/>
              <w:suppressAutoHyphens w:val="0"/>
              <w:autoSpaceDN/>
              <w:spacing w:after="0" w:line="240" w:lineRule="auto"/>
            </w:pPr>
            <w:r>
              <w:t>Develop high-quality teaching and responsive curriculum; SLT-led CPD/coaching.</w:t>
            </w:r>
          </w:p>
        </w:tc>
        <w:tc>
          <w:tcPr>
            <w:tcW w:w="4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B" w14:textId="67C83CE1" w:rsidR="00D112E4" w:rsidRDefault="00D112E4" w:rsidP="00D112E4">
            <w:pPr>
              <w:pStyle w:val="TableRowCentered"/>
              <w:jc w:val="left"/>
              <w:rPr>
                <w:sz w:val="22"/>
              </w:rPr>
            </w:pPr>
            <w:r>
              <w:t>EEF/DFE guidance on high-quality teaching and evidence-informed CPD.</w:t>
            </w:r>
          </w:p>
        </w:tc>
        <w:tc>
          <w:tcPr>
            <w:tcW w:w="2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C" w14:textId="07D46B5E" w:rsidR="00D112E4" w:rsidRDefault="00D112E4" w:rsidP="00D112E4">
            <w:pPr>
              <w:pStyle w:val="TableRowCentered"/>
              <w:jc w:val="left"/>
              <w:rPr>
                <w:sz w:val="22"/>
              </w:rPr>
            </w:pPr>
            <w:r>
              <w:t>1,2,3</w:t>
            </w:r>
          </w:p>
        </w:tc>
      </w:tr>
      <w:tr w:rsidR="00D112E4" w14:paraId="2A7D5521" w14:textId="77777777" w:rsidTr="007B44FE">
        <w:tc>
          <w:tcPr>
            <w:tcW w:w="2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E" w14:textId="7B27B0A3" w:rsidR="00D112E4" w:rsidRPr="00C3675B" w:rsidRDefault="00D112E4" w:rsidP="00D112E4">
            <w:pPr>
              <w:shd w:val="clear" w:color="auto" w:fill="FFFFFF"/>
              <w:suppressAutoHyphens w:val="0"/>
              <w:autoSpaceDN/>
              <w:spacing w:after="0" w:line="240" w:lineRule="auto"/>
              <w:rPr>
                <w:i/>
                <w:sz w:val="21"/>
                <w:szCs w:val="21"/>
              </w:rPr>
            </w:pPr>
            <w:r>
              <w:t>Strengthen English and writing through CPD and leadership release.</w:t>
            </w:r>
          </w:p>
        </w:tc>
        <w:tc>
          <w:tcPr>
            <w:tcW w:w="4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F" w14:textId="3CB065F6" w:rsidR="00D112E4" w:rsidRDefault="00D112E4" w:rsidP="00D112E4">
            <w:pPr>
              <w:pStyle w:val="TableRowCentered"/>
              <w:jc w:val="left"/>
              <w:rPr>
                <w:sz w:val="22"/>
              </w:rPr>
            </w:pPr>
            <w:r>
              <w:t>EEF guidance reports on literacy (KS1/KS2).</w:t>
            </w:r>
          </w:p>
        </w:tc>
        <w:tc>
          <w:tcPr>
            <w:tcW w:w="2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0" w14:textId="564454E0" w:rsidR="00D112E4" w:rsidRDefault="00D112E4" w:rsidP="00D112E4">
            <w:pPr>
              <w:pStyle w:val="TableRowCentered"/>
              <w:jc w:val="left"/>
              <w:rPr>
                <w:sz w:val="22"/>
              </w:rPr>
            </w:pPr>
            <w:r>
              <w:t>1,2,3</w:t>
            </w:r>
          </w:p>
        </w:tc>
      </w:tr>
      <w:tr w:rsidR="00D112E4" w14:paraId="0C65CE4F" w14:textId="77777777" w:rsidTr="007B44FE">
        <w:tc>
          <w:tcPr>
            <w:tcW w:w="2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E2A17" w14:textId="2C75644C" w:rsidR="00D112E4" w:rsidRDefault="00D112E4" w:rsidP="00D112E4">
            <w:pPr>
              <w:shd w:val="clear" w:color="auto" w:fill="FFFFFF"/>
              <w:suppressAutoHyphens w:val="0"/>
              <w:autoSpaceDN/>
              <w:spacing w:after="0" w:line="240" w:lineRule="auto"/>
              <w:rPr>
                <w:sz w:val="22"/>
                <w:szCs w:val="22"/>
              </w:rPr>
            </w:pPr>
            <w:r>
              <w:t xml:space="preserve">Implement and embed </w:t>
            </w:r>
            <w:r w:rsidR="00615B0C">
              <w:t>new whole school phonics and spelling scheme: Sounds Write</w:t>
            </w:r>
          </w:p>
        </w:tc>
        <w:tc>
          <w:tcPr>
            <w:tcW w:w="4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17AEF" w14:textId="380DC7B2" w:rsidR="00D112E4" w:rsidRDefault="00D112E4" w:rsidP="00D112E4">
            <w:pPr>
              <w:pStyle w:val="TableRowCentered"/>
              <w:ind w:left="0"/>
              <w:jc w:val="left"/>
              <w:rPr>
                <w:color w:val="auto"/>
                <w:sz w:val="22"/>
                <w:szCs w:val="22"/>
              </w:rPr>
            </w:pPr>
            <w:r>
              <w:t>Strong evidence for phonics improving word reading accuracy for disadvantaged pupils.</w:t>
            </w:r>
          </w:p>
        </w:tc>
        <w:tc>
          <w:tcPr>
            <w:tcW w:w="2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62713" w14:textId="03B2D853" w:rsidR="00D112E4" w:rsidRDefault="00D112E4" w:rsidP="00D112E4">
            <w:pPr>
              <w:pStyle w:val="TableRowCentered"/>
              <w:jc w:val="left"/>
              <w:rPr>
                <w:sz w:val="22"/>
              </w:rPr>
            </w:pPr>
            <w:r>
              <w:t>2,3</w:t>
            </w:r>
          </w:p>
        </w:tc>
      </w:tr>
      <w:tr w:rsidR="00D112E4" w14:paraId="239E2A75" w14:textId="77777777" w:rsidTr="007B44FE">
        <w:tc>
          <w:tcPr>
            <w:tcW w:w="2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09E91" w14:textId="7F21A7C3" w:rsidR="00D112E4" w:rsidRPr="00C3675B" w:rsidRDefault="00D112E4" w:rsidP="00D112E4">
            <w:pPr>
              <w:shd w:val="clear" w:color="auto" w:fill="FFFFFF"/>
              <w:suppressAutoHyphens w:val="0"/>
              <w:autoSpaceDN/>
              <w:spacing w:after="0" w:line="240" w:lineRule="auto"/>
              <w:rPr>
                <w:rFonts w:cs="Arial"/>
                <w:iCs/>
                <w:color w:val="auto"/>
                <w:sz w:val="21"/>
                <w:szCs w:val="21"/>
              </w:rPr>
            </w:pPr>
            <w:r>
              <w:t>Embed dialogic teaching and oral language routines across the curriculum.</w:t>
            </w:r>
          </w:p>
        </w:tc>
        <w:tc>
          <w:tcPr>
            <w:tcW w:w="4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FE085" w14:textId="492DEC36" w:rsidR="00D112E4" w:rsidRPr="009F71E4" w:rsidRDefault="00D112E4" w:rsidP="00D112E4">
            <w:pPr>
              <w:pStyle w:val="TableRowCentered"/>
              <w:jc w:val="left"/>
              <w:rPr>
                <w:rFonts w:cs="Arial"/>
                <w:color w:val="auto"/>
                <w:sz w:val="22"/>
                <w:szCs w:val="22"/>
              </w:rPr>
            </w:pPr>
            <w:r>
              <w:t>EEF evidence: oral language interventions yield high impact at low cost.</w:t>
            </w:r>
          </w:p>
        </w:tc>
        <w:tc>
          <w:tcPr>
            <w:tcW w:w="2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4F881" w14:textId="01CB9D93" w:rsidR="00D112E4" w:rsidRDefault="00D112E4" w:rsidP="00D112E4">
            <w:pPr>
              <w:pStyle w:val="TableRowCentered"/>
              <w:jc w:val="left"/>
              <w:rPr>
                <w:sz w:val="22"/>
              </w:rPr>
            </w:pPr>
            <w:r>
              <w:t>1,2,3</w:t>
            </w:r>
          </w:p>
        </w:tc>
      </w:tr>
    </w:tbl>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2760BDF2" w:rsidR="00E66558" w:rsidRDefault="009D71E8">
      <w:r>
        <w:t xml:space="preserve">Budgeted cost: </w:t>
      </w:r>
      <w:r w:rsidR="00033802">
        <w:t>£230,116.70</w:t>
      </w:r>
    </w:p>
    <w:tbl>
      <w:tblPr>
        <w:tblW w:w="5000" w:type="pct"/>
        <w:tblCellMar>
          <w:left w:w="10" w:type="dxa"/>
          <w:right w:w="10" w:type="dxa"/>
        </w:tblCellMar>
        <w:tblLook w:val="04A0" w:firstRow="1" w:lastRow="0" w:firstColumn="1" w:lastColumn="0" w:noHBand="0" w:noVBand="1"/>
      </w:tblPr>
      <w:tblGrid>
        <w:gridCol w:w="2528"/>
        <w:gridCol w:w="5420"/>
        <w:gridCol w:w="1538"/>
      </w:tblGrid>
      <w:tr w:rsidR="00E66558" w14:paraId="2A7D5528" w14:textId="77777777" w:rsidTr="00C44A24">
        <w:tc>
          <w:tcPr>
            <w:tcW w:w="176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pPr>
              <w:pStyle w:val="TableHeader"/>
              <w:jc w:val="left"/>
            </w:pPr>
            <w:r>
              <w:t>Activity</w:t>
            </w:r>
          </w:p>
        </w:tc>
        <w:tc>
          <w:tcPr>
            <w:tcW w:w="617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54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B777BC" w14:paraId="2A7D552C" w14:textId="77777777" w:rsidTr="00C44A24">
        <w:tc>
          <w:tcPr>
            <w:tcW w:w="1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9" w14:textId="00F3CA2D" w:rsidR="00B777BC" w:rsidRDefault="00B777BC" w:rsidP="00B777BC">
            <w:pPr>
              <w:pStyle w:val="TableRow"/>
            </w:pPr>
            <w:r>
              <w:t>Additional reading intervention for lowest 20% in KS2</w:t>
            </w:r>
          </w:p>
        </w:tc>
        <w:tc>
          <w:tcPr>
            <w:tcW w:w="6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A" w14:textId="239FDED7" w:rsidR="00B777BC" w:rsidRDefault="00B777BC" w:rsidP="00B777BC">
            <w:pPr>
              <w:pStyle w:val="TableRowCentered"/>
              <w:jc w:val="left"/>
              <w:rPr>
                <w:sz w:val="22"/>
              </w:rPr>
            </w:pPr>
            <w:r>
              <w:t>Targeted reading interventions accelerate catch-up.</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B" w14:textId="49907DF8" w:rsidR="00B777BC" w:rsidRDefault="00B777BC" w:rsidP="00B777BC">
            <w:pPr>
              <w:pStyle w:val="TableRowCentered"/>
              <w:jc w:val="left"/>
              <w:rPr>
                <w:sz w:val="22"/>
              </w:rPr>
            </w:pPr>
            <w:r>
              <w:t>1,2,3</w:t>
            </w:r>
          </w:p>
        </w:tc>
      </w:tr>
      <w:tr w:rsidR="00B777BC" w14:paraId="0153DC0B" w14:textId="77777777" w:rsidTr="00C44A24">
        <w:tc>
          <w:tcPr>
            <w:tcW w:w="1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9C3E6" w14:textId="1D7CDC7C" w:rsidR="00B777BC" w:rsidRPr="008620E0" w:rsidRDefault="00B777BC" w:rsidP="00B777BC">
            <w:pPr>
              <w:pStyle w:val="TableRow"/>
              <w:ind w:left="0"/>
              <w:rPr>
                <w:sz w:val="22"/>
                <w:szCs w:val="22"/>
              </w:rPr>
            </w:pPr>
            <w:r>
              <w:t>Targeted intervention teacher in Year 6</w:t>
            </w:r>
          </w:p>
        </w:tc>
        <w:tc>
          <w:tcPr>
            <w:tcW w:w="6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D4CCF" w14:textId="17DE7999" w:rsidR="00B777BC" w:rsidRDefault="00B777BC" w:rsidP="00B777BC">
            <w:pPr>
              <w:pStyle w:val="TableRowCentered"/>
              <w:jc w:val="left"/>
              <w:rPr>
                <w:sz w:val="22"/>
                <w:szCs w:val="22"/>
              </w:rPr>
            </w:pPr>
            <w:r>
              <w:t>Small-group tuition has strong evidence for progress gains.</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87D82" w14:textId="07BA0EAA" w:rsidR="00B777BC" w:rsidRDefault="00B777BC" w:rsidP="00B777BC">
            <w:pPr>
              <w:pStyle w:val="TableRowCentered"/>
              <w:jc w:val="left"/>
              <w:rPr>
                <w:sz w:val="22"/>
                <w:szCs w:val="22"/>
              </w:rPr>
            </w:pPr>
            <w:r>
              <w:t>1,2,3</w:t>
            </w:r>
          </w:p>
        </w:tc>
      </w:tr>
      <w:tr w:rsidR="00B777BC" w14:paraId="3985E0AA" w14:textId="77777777" w:rsidTr="00C44A24">
        <w:tc>
          <w:tcPr>
            <w:tcW w:w="1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BF3D7" w14:textId="023284CB" w:rsidR="00B777BC" w:rsidRDefault="00B777BC" w:rsidP="00B777BC">
            <w:pPr>
              <w:pStyle w:val="TableRow"/>
              <w:ind w:left="0"/>
              <w:rPr>
                <w:sz w:val="22"/>
                <w:szCs w:val="22"/>
              </w:rPr>
            </w:pPr>
            <w:r>
              <w:t>Targeted intervention groups across KS2</w:t>
            </w:r>
          </w:p>
        </w:tc>
        <w:tc>
          <w:tcPr>
            <w:tcW w:w="6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65919" w14:textId="5F1E7E69" w:rsidR="00B777BC" w:rsidRDefault="00B777BC" w:rsidP="00B777BC">
            <w:pPr>
              <w:pStyle w:val="TableRowCentered"/>
              <w:jc w:val="left"/>
              <w:rPr>
                <w:sz w:val="22"/>
                <w:szCs w:val="22"/>
              </w:rPr>
            </w:pPr>
            <w:r>
              <w:t>Small-group tuition supports feedback and access to curriculum.</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4CD54" w14:textId="66E321A1" w:rsidR="00B777BC" w:rsidRDefault="00B777BC" w:rsidP="00B777BC">
            <w:pPr>
              <w:pStyle w:val="TableRowCentered"/>
              <w:jc w:val="left"/>
              <w:rPr>
                <w:sz w:val="22"/>
                <w:szCs w:val="22"/>
              </w:rPr>
            </w:pPr>
            <w:r>
              <w:t>1,2,3</w:t>
            </w:r>
          </w:p>
        </w:tc>
      </w:tr>
      <w:tr w:rsidR="00B777BC" w14:paraId="0E5142AA" w14:textId="77777777" w:rsidTr="00C44A24">
        <w:tc>
          <w:tcPr>
            <w:tcW w:w="1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3735D" w14:textId="102A2B95" w:rsidR="00B777BC" w:rsidRPr="008620E0" w:rsidRDefault="00B777BC" w:rsidP="00B777BC">
            <w:pPr>
              <w:pStyle w:val="TableRow"/>
              <w:rPr>
                <w:rFonts w:cs="Arial"/>
                <w:iCs/>
                <w:color w:val="auto"/>
                <w:sz w:val="22"/>
                <w:szCs w:val="22"/>
                <w:lang w:val="en-US"/>
              </w:rPr>
            </w:pPr>
            <w:r>
              <w:lastRenderedPageBreak/>
              <w:t>Phonics CPD and targeted top-up sessions</w:t>
            </w:r>
          </w:p>
        </w:tc>
        <w:tc>
          <w:tcPr>
            <w:tcW w:w="6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DA261" w14:textId="1097676F" w:rsidR="00B777BC" w:rsidRPr="00B54DF6" w:rsidRDefault="00B777BC" w:rsidP="00B777BC">
            <w:pPr>
              <w:pStyle w:val="TableRowCentered"/>
              <w:jc w:val="left"/>
            </w:pPr>
            <w:r>
              <w:t xml:space="preserve">Phonics interventions effective when regular and </w:t>
            </w:r>
            <w:proofErr w:type="gramStart"/>
            <w:r>
              <w:t>time-limited</w:t>
            </w:r>
            <w:proofErr w:type="gramEnd"/>
            <w:r>
              <w:t>.</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B5D26" w14:textId="7747FF89" w:rsidR="00B777BC" w:rsidRDefault="00B777BC" w:rsidP="00B777BC">
            <w:pPr>
              <w:pStyle w:val="TableRowCentered"/>
              <w:jc w:val="left"/>
              <w:rPr>
                <w:sz w:val="22"/>
              </w:rPr>
            </w:pPr>
            <w:r>
              <w:t>1,2,3</w:t>
            </w:r>
          </w:p>
        </w:tc>
      </w:tr>
      <w:tr w:rsidR="00B777BC" w14:paraId="2A7D5530" w14:textId="77777777" w:rsidTr="00C44A24">
        <w:tc>
          <w:tcPr>
            <w:tcW w:w="1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D" w14:textId="6AD02EC6" w:rsidR="00B777BC" w:rsidRDefault="00B777BC" w:rsidP="00B777BC">
            <w:pPr>
              <w:pStyle w:val="TableRow"/>
              <w:rPr>
                <w:i/>
                <w:sz w:val="22"/>
              </w:rPr>
            </w:pPr>
            <w:r>
              <w:t xml:space="preserve">Maths catch-up interventions (e.g. </w:t>
            </w:r>
            <w:proofErr w:type="spellStart"/>
            <w:r w:rsidR="001550F5">
              <w:t>PowerMaths</w:t>
            </w:r>
            <w:proofErr w:type="spellEnd"/>
            <w:r w:rsidR="001550F5">
              <w:t xml:space="preserve"> catch up &amp; PSS Maths</w:t>
            </w:r>
            <w:r>
              <w:t xml:space="preserve"> approaches)</w:t>
            </w:r>
          </w:p>
        </w:tc>
        <w:tc>
          <w:tcPr>
            <w:tcW w:w="6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E" w14:textId="255DD703" w:rsidR="00B777BC" w:rsidRDefault="00B777BC" w:rsidP="00B777BC">
            <w:pPr>
              <w:pStyle w:val="TableRowCentered"/>
              <w:jc w:val="left"/>
              <w:rPr>
                <w:sz w:val="22"/>
              </w:rPr>
            </w:pPr>
            <w:r>
              <w:t>Targeted numeracy catch-up supports progress.</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F" w14:textId="6CD1B86F" w:rsidR="00B777BC" w:rsidRDefault="00B777BC" w:rsidP="00B777BC">
            <w:pPr>
              <w:pStyle w:val="TableRowCentered"/>
              <w:jc w:val="left"/>
              <w:rPr>
                <w:sz w:val="22"/>
              </w:rPr>
            </w:pPr>
            <w:r>
              <w:t>2,3</w:t>
            </w:r>
          </w:p>
        </w:tc>
      </w:tr>
      <w:tr w:rsidR="00B777BC" w14:paraId="10D0D7F7" w14:textId="77777777" w:rsidTr="00C44A24">
        <w:tc>
          <w:tcPr>
            <w:tcW w:w="1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031DF" w14:textId="070BC584" w:rsidR="00B777BC" w:rsidRPr="008620E0" w:rsidRDefault="00B777BC" w:rsidP="00B777BC">
            <w:pPr>
              <w:pStyle w:val="TableRow"/>
              <w:ind w:left="0"/>
              <w:rPr>
                <w:rFonts w:cs="Arial"/>
                <w:iCs/>
                <w:color w:val="auto"/>
                <w:sz w:val="22"/>
                <w:szCs w:val="22"/>
                <w:lang w:val="en-US"/>
              </w:rPr>
            </w:pPr>
            <w:r>
              <w:t>EAL interventions (e.g. vocabulary/academic language; CPD)</w:t>
            </w:r>
          </w:p>
        </w:tc>
        <w:tc>
          <w:tcPr>
            <w:tcW w:w="6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161812" w14:textId="6DE0B86B" w:rsidR="00B777BC" w:rsidRPr="008620E0" w:rsidRDefault="00B777BC" w:rsidP="00B777BC">
            <w:pPr>
              <w:pStyle w:val="TableRowCentered"/>
              <w:jc w:val="left"/>
              <w:rPr>
                <w:rFonts w:cs="Arial"/>
                <w:color w:val="auto"/>
                <w:sz w:val="22"/>
                <w:szCs w:val="22"/>
              </w:rPr>
            </w:pPr>
            <w:r>
              <w:t>Evidence that explicit vocabulary support improves EAL progress.</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63F21" w14:textId="38996EE4" w:rsidR="00B777BC" w:rsidRDefault="00B777BC" w:rsidP="00B777BC">
            <w:pPr>
              <w:pStyle w:val="TableRowCentered"/>
              <w:jc w:val="left"/>
              <w:rPr>
                <w:sz w:val="22"/>
              </w:rPr>
            </w:pPr>
            <w:r>
              <w:t>3</w:t>
            </w:r>
          </w:p>
        </w:tc>
      </w:tr>
      <w:tr w:rsidR="00B777BC" w14:paraId="4F6C3A36" w14:textId="77777777" w:rsidTr="00C44A24">
        <w:tc>
          <w:tcPr>
            <w:tcW w:w="1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49950" w14:textId="3F915782" w:rsidR="00B777BC" w:rsidRPr="00241C34" w:rsidRDefault="00B777BC" w:rsidP="00B777BC">
            <w:pPr>
              <w:pStyle w:val="TableRow"/>
              <w:ind w:left="0"/>
              <w:rPr>
                <w:rFonts w:cs="Arial"/>
                <w:iCs/>
                <w:color w:val="auto"/>
                <w:sz w:val="22"/>
                <w:szCs w:val="22"/>
                <w:lang w:val="en-US"/>
              </w:rPr>
            </w:pPr>
            <w:r>
              <w:t xml:space="preserve">SLCN support: </w:t>
            </w:r>
            <w:proofErr w:type="spellStart"/>
            <w:r>
              <w:t>TalkTherapy</w:t>
            </w:r>
            <w:proofErr w:type="spellEnd"/>
            <w:r>
              <w:t xml:space="preserve"> SALT and </w:t>
            </w:r>
            <w:proofErr w:type="spellStart"/>
            <w:r>
              <w:t>Wellcomm</w:t>
            </w:r>
            <w:proofErr w:type="spellEnd"/>
            <w:r>
              <w:t xml:space="preserve"> in EYFS &amp; KS1</w:t>
            </w:r>
          </w:p>
        </w:tc>
        <w:tc>
          <w:tcPr>
            <w:tcW w:w="6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A6BF9" w14:textId="60885C12" w:rsidR="00B777BC" w:rsidRPr="00241C34" w:rsidRDefault="00B777BC" w:rsidP="00B777BC">
            <w:pPr>
              <w:suppressAutoHyphens w:val="0"/>
              <w:autoSpaceDN/>
              <w:spacing w:before="60" w:after="60" w:line="240" w:lineRule="auto"/>
              <w:ind w:left="57" w:right="57"/>
              <w:rPr>
                <w:color w:val="auto"/>
                <w:sz w:val="22"/>
                <w:szCs w:val="22"/>
              </w:rPr>
            </w:pPr>
            <w:r>
              <w:t>Communication &amp; language approaches are high impact in EY/KS1.</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D2E77" w14:textId="5E25BDA0" w:rsidR="00B777BC" w:rsidRDefault="00B777BC" w:rsidP="00B777BC">
            <w:pPr>
              <w:pStyle w:val="TableRowCentered"/>
              <w:jc w:val="left"/>
              <w:rPr>
                <w:sz w:val="22"/>
              </w:rPr>
            </w:pPr>
            <w:r>
              <w:t>1,2,3</w:t>
            </w:r>
          </w:p>
        </w:tc>
      </w:tr>
      <w:tr w:rsidR="00AD5B92" w14:paraId="5735FAC2" w14:textId="77777777" w:rsidTr="00C44A24">
        <w:tc>
          <w:tcPr>
            <w:tcW w:w="1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A45E9" w14:textId="4CE1CA3B" w:rsidR="00AD5B92" w:rsidRPr="00706678" w:rsidRDefault="00AD5B92" w:rsidP="00AD5B92">
            <w:pPr>
              <w:pStyle w:val="TableRow"/>
              <w:ind w:left="0"/>
              <w:rPr>
                <w:sz w:val="22"/>
                <w:szCs w:val="22"/>
              </w:rPr>
            </w:pPr>
            <w:r>
              <w:rPr>
                <w:sz w:val="22"/>
                <w:szCs w:val="22"/>
              </w:rPr>
              <w:t>CPD for staff, targeted intervention (external &amp; internal) and purchasing resources for pupils with speech, communication and language difficulties.</w:t>
            </w:r>
          </w:p>
        </w:tc>
        <w:tc>
          <w:tcPr>
            <w:tcW w:w="6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18068A" w14:textId="77777777" w:rsidR="00AD5B92" w:rsidRDefault="00AD5B92" w:rsidP="00AD5B92">
            <w:pPr>
              <w:pStyle w:val="TableRowCentered"/>
              <w:jc w:val="left"/>
              <w:rPr>
                <w:rFonts w:cs="Arial"/>
                <w:color w:val="auto"/>
                <w:sz w:val="22"/>
                <w:szCs w:val="22"/>
                <w:shd w:val="clear" w:color="auto" w:fill="FFFFFF"/>
              </w:rPr>
            </w:pPr>
            <w:r w:rsidRPr="009008D6">
              <w:rPr>
                <w:rFonts w:cs="Arial"/>
                <w:color w:val="auto"/>
                <w:sz w:val="22"/>
                <w:szCs w:val="22"/>
                <w:shd w:val="clear" w:color="auto" w:fill="FFFFFF"/>
              </w:rPr>
              <w:t>Communication and </w:t>
            </w:r>
            <w:r w:rsidRPr="009008D6">
              <w:rPr>
                <w:rStyle w:val="Emphasis"/>
                <w:rFonts w:cs="Arial"/>
                <w:bCs/>
                <w:color w:val="auto"/>
                <w:sz w:val="22"/>
                <w:szCs w:val="22"/>
                <w:shd w:val="clear" w:color="auto" w:fill="FFFFFF"/>
              </w:rPr>
              <w:t>language</w:t>
            </w:r>
            <w:r w:rsidRPr="009008D6">
              <w:rPr>
                <w:rFonts w:cs="Arial"/>
                <w:color w:val="auto"/>
                <w:sz w:val="22"/>
                <w:szCs w:val="22"/>
                <w:shd w:val="clear" w:color="auto" w:fill="FFFFFF"/>
              </w:rPr>
              <w:t> approaches emphasise the importance of spoken </w:t>
            </w:r>
            <w:r w:rsidRPr="009008D6">
              <w:rPr>
                <w:rStyle w:val="Emphasis"/>
                <w:rFonts w:cs="Arial"/>
                <w:bCs/>
                <w:color w:val="auto"/>
                <w:sz w:val="22"/>
                <w:szCs w:val="22"/>
                <w:shd w:val="clear" w:color="auto" w:fill="FFFFFF"/>
              </w:rPr>
              <w:t>language</w:t>
            </w:r>
            <w:r w:rsidRPr="009008D6">
              <w:rPr>
                <w:rFonts w:cs="Arial"/>
                <w:color w:val="auto"/>
                <w:sz w:val="22"/>
                <w:szCs w:val="22"/>
                <w:shd w:val="clear" w:color="auto" w:fill="FFFFFF"/>
              </w:rPr>
              <w:t> and verbal interaction for young children</w:t>
            </w:r>
            <w:r>
              <w:rPr>
                <w:rFonts w:cs="Arial"/>
                <w:color w:val="auto"/>
                <w:sz w:val="22"/>
                <w:szCs w:val="22"/>
                <w:shd w:val="clear" w:color="auto" w:fill="FFFFFF"/>
              </w:rPr>
              <w:t>.</w:t>
            </w:r>
          </w:p>
          <w:p w14:paraId="6DBF8C16" w14:textId="77777777" w:rsidR="00AD5B92" w:rsidRPr="009008D6" w:rsidRDefault="00AD5B92" w:rsidP="00AD5B92">
            <w:pPr>
              <w:pStyle w:val="TableRowCentered"/>
              <w:jc w:val="left"/>
              <w:rPr>
                <w:color w:val="0070C0"/>
                <w:sz w:val="22"/>
                <w:szCs w:val="22"/>
                <w:u w:val="single"/>
              </w:rPr>
            </w:pPr>
            <w:hyperlink r:id="rId10" w:history="1">
              <w:r w:rsidRPr="009008D6">
                <w:rPr>
                  <w:rStyle w:val="Hyperlink"/>
                  <w:color w:val="0070C0"/>
                  <w:sz w:val="22"/>
                  <w:szCs w:val="22"/>
                </w:rPr>
                <w:t>https://educationendowmentfoundation.org.uk/</w:t>
              </w:r>
            </w:hyperlink>
          </w:p>
          <w:p w14:paraId="3968CAD8" w14:textId="686E0B6B" w:rsidR="00AD5B92" w:rsidRPr="00706678" w:rsidRDefault="00AD5B92" w:rsidP="00AD5B92">
            <w:pPr>
              <w:pStyle w:val="TableRowCentered"/>
              <w:jc w:val="left"/>
              <w:rPr>
                <w:sz w:val="22"/>
                <w:szCs w:val="22"/>
              </w:rPr>
            </w:pPr>
            <w:r w:rsidRPr="009008D6">
              <w:rPr>
                <w:color w:val="0070C0"/>
                <w:sz w:val="22"/>
                <w:szCs w:val="22"/>
                <w:u w:val="single"/>
              </w:rPr>
              <w:t>education-evidence/early-years-toolkit/communication-and-language-approaches</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A9A16" w14:textId="60B90992" w:rsidR="00AD5B92" w:rsidRPr="6730663F" w:rsidRDefault="00AD5B92" w:rsidP="00AD5B92">
            <w:pPr>
              <w:pStyle w:val="TableRowCentered"/>
              <w:jc w:val="left"/>
              <w:rPr>
                <w:sz w:val="22"/>
                <w:szCs w:val="22"/>
              </w:rPr>
            </w:pPr>
            <w:r w:rsidRPr="6730663F">
              <w:rPr>
                <w:sz w:val="22"/>
                <w:szCs w:val="22"/>
              </w:rPr>
              <w:t>1,2,3</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77342989" w:rsidR="00E66558" w:rsidRDefault="009D71E8">
      <w:pPr>
        <w:spacing w:before="240" w:after="120"/>
      </w:pPr>
      <w:r>
        <w:t xml:space="preserve">Budgeted cost: </w:t>
      </w:r>
      <w:r w:rsidR="00033802">
        <w:t>£</w:t>
      </w:r>
      <w:r w:rsidR="00AF66BC">
        <w:t>205,558.90</w:t>
      </w:r>
    </w:p>
    <w:tbl>
      <w:tblPr>
        <w:tblW w:w="5000" w:type="pct"/>
        <w:tblCellMar>
          <w:left w:w="10" w:type="dxa"/>
          <w:right w:w="10" w:type="dxa"/>
        </w:tblCellMar>
        <w:tblLook w:val="04A0" w:firstRow="1" w:lastRow="0" w:firstColumn="1" w:lastColumn="0" w:noHBand="0" w:noVBand="1"/>
      </w:tblPr>
      <w:tblGrid>
        <w:gridCol w:w="2827"/>
        <w:gridCol w:w="4115"/>
        <w:gridCol w:w="2544"/>
      </w:tblGrid>
      <w:tr w:rsidR="00E66558" w14:paraId="2A7D5537" w14:textId="77777777" w:rsidTr="00484431">
        <w:tc>
          <w:tcPr>
            <w:tcW w:w="282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pPr>
              <w:pStyle w:val="TableHeader"/>
              <w:jc w:val="left"/>
            </w:pPr>
            <w:r>
              <w:t>Activity</w:t>
            </w:r>
          </w:p>
        </w:tc>
        <w:tc>
          <w:tcPr>
            <w:tcW w:w="41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C5500D" w14:paraId="2A7D553B" w14:textId="77777777" w:rsidTr="00484431">
        <w:tc>
          <w:tcPr>
            <w:tcW w:w="2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8" w14:textId="6BC1520E" w:rsidR="00C5500D" w:rsidRPr="00FE2C54" w:rsidRDefault="00C5500D" w:rsidP="00C5500D">
            <w:pPr>
              <w:pStyle w:val="TableRow"/>
              <w:ind w:left="0"/>
              <w:rPr>
                <w:sz w:val="22"/>
                <w:szCs w:val="22"/>
              </w:rPr>
            </w:pPr>
            <w:r>
              <w:t xml:space="preserve">Financial support to remove cost barriers (uniform, trips, residentials, music tuition). </w:t>
            </w:r>
            <w:proofErr w:type="gramStart"/>
            <w:r>
              <w:t>Fully-funded</w:t>
            </w:r>
            <w:proofErr w:type="gramEnd"/>
            <w:r>
              <w:t xml:space="preserve"> annual trip for every child; subsidies for additional visits.</w:t>
            </w:r>
          </w:p>
        </w:tc>
        <w:tc>
          <w:tcPr>
            <w:tcW w:w="4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9" w14:textId="2F69A1F5" w:rsidR="00C5500D" w:rsidRDefault="00C5500D" w:rsidP="00C5500D">
            <w:pPr>
              <w:pStyle w:val="TableRowCentered"/>
              <w:jc w:val="left"/>
              <w:rPr>
                <w:sz w:val="22"/>
              </w:rPr>
            </w:pPr>
            <w:r>
              <w:t>Equity of access supports motivation and outcomes; parental engagement evidence base.</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A" w14:textId="2CF62229" w:rsidR="00C5500D" w:rsidRDefault="00C5500D" w:rsidP="00C5500D">
            <w:pPr>
              <w:pStyle w:val="TableRowCentered"/>
              <w:jc w:val="left"/>
              <w:rPr>
                <w:sz w:val="22"/>
              </w:rPr>
            </w:pPr>
            <w:r>
              <w:t>5,6</w:t>
            </w:r>
          </w:p>
        </w:tc>
      </w:tr>
      <w:tr w:rsidR="00C5500D" w14:paraId="2A7D553F" w14:textId="77777777" w:rsidTr="00484431">
        <w:tc>
          <w:tcPr>
            <w:tcW w:w="2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C" w14:textId="4D1FEEAF" w:rsidR="00C5500D" w:rsidRDefault="00C5500D" w:rsidP="00C5500D">
            <w:pPr>
              <w:pStyle w:val="TableRow"/>
              <w:rPr>
                <w:i/>
                <w:sz w:val="22"/>
              </w:rPr>
            </w:pPr>
            <w:r>
              <w:t>Embedding DfE attendance framework and targeted attendance support</w:t>
            </w:r>
            <w:r w:rsidR="00625D83">
              <w:t xml:space="preserve">: </w:t>
            </w:r>
            <w:r w:rsidR="00610B6B">
              <w:t>Inclusive At</w:t>
            </w:r>
            <w:r w:rsidR="00625D83">
              <w:t>t</w:t>
            </w:r>
            <w:r w:rsidR="00610B6B">
              <w:t>endance</w:t>
            </w:r>
            <w:r w:rsidR="00625D83">
              <w:t xml:space="preserve">; </w:t>
            </w:r>
            <w:r>
              <w:t xml:space="preserve">Family </w:t>
            </w:r>
            <w:r w:rsidR="00131105">
              <w:t>Support Worker</w:t>
            </w:r>
            <w:r>
              <w:t xml:space="preserve"> to improve SEMH and attendance; free </w:t>
            </w:r>
            <w:r>
              <w:lastRenderedPageBreak/>
              <w:t>Breakfast Club to support punctuality and readiness to learn.</w:t>
            </w:r>
          </w:p>
        </w:tc>
        <w:tc>
          <w:tcPr>
            <w:tcW w:w="4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D" w14:textId="58945F39" w:rsidR="00C5500D" w:rsidRDefault="00C5500D" w:rsidP="00C5500D">
            <w:pPr>
              <w:pStyle w:val="TableRowCentered"/>
              <w:jc w:val="left"/>
              <w:rPr>
                <w:sz w:val="22"/>
              </w:rPr>
            </w:pPr>
            <w:r>
              <w:lastRenderedPageBreak/>
              <w:t>DfE attendance framework; evidence linking routines and nutrition to readiness.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E" w14:textId="1A770876" w:rsidR="00C5500D" w:rsidRDefault="00C5500D" w:rsidP="00C5500D">
            <w:pPr>
              <w:pStyle w:val="TableRowCentered"/>
              <w:jc w:val="left"/>
              <w:rPr>
                <w:sz w:val="22"/>
              </w:rPr>
            </w:pPr>
            <w:r>
              <w:t>5,4</w:t>
            </w:r>
          </w:p>
        </w:tc>
      </w:tr>
      <w:tr w:rsidR="00C5500D" w14:paraId="54508DC2" w14:textId="77777777" w:rsidTr="00484431">
        <w:tc>
          <w:tcPr>
            <w:tcW w:w="2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9EB1E" w14:textId="638C45FF" w:rsidR="00C5500D" w:rsidRPr="009C1DE6" w:rsidRDefault="00C5500D" w:rsidP="00C5500D">
            <w:pPr>
              <w:pStyle w:val="TableRow"/>
              <w:spacing w:after="120"/>
              <w:ind w:left="29"/>
              <w:rPr>
                <w:iCs/>
                <w:color w:val="auto"/>
                <w:sz w:val="22"/>
                <w:szCs w:val="22"/>
                <w:lang w:val="en-US"/>
              </w:rPr>
            </w:pPr>
            <w:r>
              <w:t>Universal access to My Smart Lab for home learning; parent guidance and engagement.</w:t>
            </w:r>
          </w:p>
        </w:tc>
        <w:tc>
          <w:tcPr>
            <w:tcW w:w="4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DA860" w14:textId="4591E64F" w:rsidR="00C5500D" w:rsidRPr="009C1DE6" w:rsidRDefault="00C5500D" w:rsidP="00C5500D">
            <w:pPr>
              <w:pStyle w:val="TableRowCentered"/>
              <w:jc w:val="left"/>
              <w:rPr>
                <w:color w:val="auto"/>
                <w:sz w:val="22"/>
                <w:szCs w:val="22"/>
              </w:rPr>
            </w:pPr>
            <w:r>
              <w:t>Home–school partnership and retrieval practice improve consolidation.</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159D8" w14:textId="0E559D25" w:rsidR="00C5500D" w:rsidRDefault="00C5500D" w:rsidP="00C5500D">
            <w:pPr>
              <w:pStyle w:val="TableRowCentered"/>
              <w:jc w:val="left"/>
              <w:rPr>
                <w:sz w:val="22"/>
              </w:rPr>
            </w:pPr>
            <w:r>
              <w:t>5</w:t>
            </w:r>
          </w:p>
        </w:tc>
      </w:tr>
      <w:tr w:rsidR="00C5500D" w14:paraId="32EB5347" w14:textId="77777777" w:rsidTr="00484431">
        <w:tc>
          <w:tcPr>
            <w:tcW w:w="2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5336D" w14:textId="3DF241E2" w:rsidR="00C5500D" w:rsidRPr="003345E8" w:rsidRDefault="00C5500D" w:rsidP="00C5500D">
            <w:pPr>
              <w:suppressAutoHyphens w:val="0"/>
              <w:autoSpaceDN/>
              <w:spacing w:before="60" w:after="60" w:line="240" w:lineRule="auto"/>
              <w:ind w:left="29" w:right="57"/>
              <w:rPr>
                <w:iCs/>
                <w:color w:val="auto"/>
                <w:sz w:val="22"/>
                <w:szCs w:val="22"/>
                <w:lang w:val="en-US"/>
              </w:rPr>
            </w:pPr>
            <w:r>
              <w:t>After-school clubs (multi-sports, Football Academy, basketball, cricket) and external J&amp;J Sports clubs (Nerf Wars, Lazer Tag) with priority places for disadvantaged pupils.</w:t>
            </w:r>
          </w:p>
        </w:tc>
        <w:tc>
          <w:tcPr>
            <w:tcW w:w="4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2ADE5" w14:textId="638BB57E" w:rsidR="00C5500D" w:rsidRPr="003345E8" w:rsidRDefault="00C5500D" w:rsidP="00C5500D">
            <w:pPr>
              <w:pStyle w:val="TableRowCentered"/>
              <w:jc w:val="left"/>
              <w:rPr>
                <w:color w:val="auto"/>
                <w:sz w:val="22"/>
                <w:szCs w:val="22"/>
              </w:rPr>
            </w:pPr>
            <w:r>
              <w:t>Participation and belonging linked to wellbeing and aspiration.</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6071B" w14:textId="065D2694" w:rsidR="00C5500D" w:rsidRPr="003345E8" w:rsidRDefault="00C5500D" w:rsidP="00C5500D">
            <w:pPr>
              <w:pStyle w:val="TableRowCentered"/>
              <w:jc w:val="left"/>
              <w:rPr>
                <w:color w:val="auto"/>
                <w:sz w:val="22"/>
                <w:szCs w:val="22"/>
              </w:rPr>
            </w:pPr>
            <w:r>
              <w:t>4,6</w:t>
            </w:r>
          </w:p>
        </w:tc>
      </w:tr>
      <w:tr w:rsidR="00C5500D" w14:paraId="2C77D11F" w14:textId="77777777" w:rsidTr="00484431">
        <w:tc>
          <w:tcPr>
            <w:tcW w:w="2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09102" w14:textId="421C68E8" w:rsidR="00C5500D" w:rsidRPr="00254BB2" w:rsidRDefault="00C5500D" w:rsidP="00C5500D">
            <w:pPr>
              <w:suppressAutoHyphens w:val="0"/>
              <w:autoSpaceDN/>
              <w:spacing w:before="60" w:after="60" w:line="240" w:lineRule="auto"/>
              <w:ind w:left="29" w:right="57"/>
              <w:rPr>
                <w:iCs/>
                <w:color w:val="auto"/>
                <w:sz w:val="22"/>
                <w:szCs w:val="22"/>
                <w:lang w:val="en-US"/>
              </w:rPr>
            </w:pPr>
            <w:r>
              <w:t>Contingency fund for acute needs.</w:t>
            </w:r>
          </w:p>
        </w:tc>
        <w:tc>
          <w:tcPr>
            <w:tcW w:w="4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694B7" w14:textId="03A89ECE" w:rsidR="00C5500D" w:rsidRPr="007B44FE" w:rsidRDefault="00C5500D" w:rsidP="00B67DEA">
            <w:pPr>
              <w:pStyle w:val="TableRowCentered"/>
              <w:jc w:val="left"/>
              <w:rPr>
                <w:color w:val="auto"/>
                <w:sz w:val="22"/>
                <w:szCs w:val="22"/>
              </w:rPr>
            </w:pPr>
            <w:r>
              <w:t>Responsive support to emergent barriers.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3FEEF" w14:textId="2C9AC9A7" w:rsidR="00C5500D" w:rsidRPr="007B44FE" w:rsidRDefault="00C5500D" w:rsidP="00C5500D">
            <w:pPr>
              <w:pStyle w:val="TableRowCentered"/>
              <w:jc w:val="left"/>
              <w:rPr>
                <w:color w:val="auto"/>
                <w:sz w:val="22"/>
                <w:szCs w:val="22"/>
              </w:rPr>
            </w:pPr>
            <w:r>
              <w:t>All</w:t>
            </w:r>
          </w:p>
        </w:tc>
      </w:tr>
    </w:tbl>
    <w:p w14:paraId="2A7D5540" w14:textId="77777777" w:rsidR="00E66558" w:rsidRDefault="00E66558">
      <w:pPr>
        <w:spacing w:before="240" w:after="0"/>
        <w:rPr>
          <w:b/>
          <w:bCs/>
          <w:color w:val="104F75"/>
          <w:sz w:val="28"/>
          <w:szCs w:val="28"/>
        </w:rPr>
      </w:pPr>
    </w:p>
    <w:p w14:paraId="2A7D5541" w14:textId="4B826E5C" w:rsidR="00E66558" w:rsidRDefault="009D71E8" w:rsidP="00120AB1">
      <w:r>
        <w:rPr>
          <w:b/>
          <w:bCs/>
          <w:color w:val="104F75"/>
          <w:sz w:val="28"/>
          <w:szCs w:val="28"/>
        </w:rPr>
        <w:t>Total budgeted cost: £</w:t>
      </w:r>
      <w:r w:rsidR="00AF66BC">
        <w:rPr>
          <w:b/>
          <w:bCs/>
          <w:color w:val="104F75"/>
          <w:sz w:val="28"/>
          <w:szCs w:val="28"/>
        </w:rPr>
        <w:t>515,100.10</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p w14:paraId="28C2184C" w14:textId="77777777" w:rsidR="00750E3B" w:rsidRDefault="00750E3B" w:rsidP="00750E3B">
      <w:r>
        <w:t>Greet Primary serves 845 pupils, with 34% eligible for Pupil Premium. In 2024/25, the combined Pupil Premium and Recovery Premium budget was £457,600, and annual spending referenced for the period was approximately £427,000. Funding was directed to high-quality teaching, targeted academic support, and wider strategies in attendance and wellbeing. By the end of the period, disadvantaged pupils showed strong outcomes in Early Years and Key Stage 2, often outperforming in-school peers and, in places, meeting or exceeding national benchmarks.</w:t>
      </w:r>
    </w:p>
    <w:p w14:paraId="392AD5AE" w14:textId="77777777" w:rsidR="00750E3B" w:rsidRPr="00750E3B" w:rsidRDefault="00750E3B" w:rsidP="00750E3B">
      <w:pPr>
        <w:rPr>
          <w:color w:val="1F497D" w:themeColor="text2"/>
        </w:rPr>
      </w:pPr>
      <w:r w:rsidRPr="00750E3B">
        <w:rPr>
          <w:b/>
          <w:color w:val="1F497D" w:themeColor="text2"/>
        </w:rPr>
        <w:t>What we funded and why</w:t>
      </w:r>
    </w:p>
    <w:p w14:paraId="3B544549" w14:textId="02E93C0A" w:rsidR="00750E3B" w:rsidRDefault="00750E3B" w:rsidP="00750E3B">
      <w:pPr>
        <w:pStyle w:val="ListParagraph"/>
        <w:numPr>
          <w:ilvl w:val="0"/>
          <w:numId w:val="21"/>
        </w:numPr>
      </w:pPr>
      <w:r w:rsidRPr="00750E3B">
        <w:rPr>
          <w:b/>
        </w:rPr>
        <w:t xml:space="preserve">Quality First Teaching &amp; CPD: </w:t>
      </w:r>
      <w:r>
        <w:t>Whole-school pedagogy development (writing and reading frameworks, coaching, walk-throughs, curriculum coherence) to raise classroom consistency and ambition for all, with disadvantaged pupils prioritised.</w:t>
      </w:r>
    </w:p>
    <w:p w14:paraId="2AF2C987" w14:textId="197B80D4" w:rsidR="00750E3B" w:rsidRDefault="00750E3B" w:rsidP="00750E3B">
      <w:pPr>
        <w:pStyle w:val="ListParagraph"/>
        <w:numPr>
          <w:ilvl w:val="0"/>
          <w:numId w:val="21"/>
        </w:numPr>
      </w:pPr>
      <w:r w:rsidRPr="00750E3B">
        <w:rPr>
          <w:b/>
        </w:rPr>
        <w:t xml:space="preserve">Targeted academic support: </w:t>
      </w:r>
      <w:r>
        <w:t>FFT/NTP tutoring (Y3–Y4), senior-leader breakfast tutoring (Y6), and structured interventions (RWI phonics, Power Maths, speech &amp; language, EAL) to accelerate progress and close gaps.</w:t>
      </w:r>
    </w:p>
    <w:p w14:paraId="3F2A08E0" w14:textId="7D87B647" w:rsidR="00750E3B" w:rsidRDefault="00750E3B" w:rsidP="00750E3B">
      <w:pPr>
        <w:pStyle w:val="ListParagraph"/>
        <w:numPr>
          <w:ilvl w:val="0"/>
          <w:numId w:val="21"/>
        </w:numPr>
      </w:pPr>
      <w:r w:rsidRPr="00750E3B">
        <w:rPr>
          <w:b/>
        </w:rPr>
        <w:t xml:space="preserve">Wider strategies: </w:t>
      </w:r>
      <w:r>
        <w:t>Robust attendance escalation, clinics, and LA partnership; commissioned Place2Be counselling and a strengthened RHE curriculum to remove non-academic barriers to learning.</w:t>
      </w:r>
    </w:p>
    <w:p w14:paraId="4AA34221" w14:textId="77777777" w:rsidR="00750E3B" w:rsidRPr="00750E3B" w:rsidRDefault="00750E3B" w:rsidP="00750E3B">
      <w:pPr>
        <w:rPr>
          <w:color w:val="1F497D" w:themeColor="text2"/>
        </w:rPr>
      </w:pPr>
      <w:r w:rsidRPr="00750E3B">
        <w:rPr>
          <w:b/>
          <w:color w:val="1F497D" w:themeColor="text2"/>
        </w:rPr>
        <w:t>Evidence of impact</w:t>
      </w:r>
    </w:p>
    <w:p w14:paraId="76D32EFC" w14:textId="6FB327A6" w:rsidR="00750E3B" w:rsidRDefault="00750E3B" w:rsidP="00750E3B">
      <w:r>
        <w:rPr>
          <w:b/>
        </w:rPr>
        <w:t>Early Years (EYFSP)</w:t>
      </w:r>
      <w:r>
        <w:rPr>
          <w:b/>
        </w:rPr>
        <w:t>:</w:t>
      </w:r>
      <w:r>
        <w:t xml:space="preserve"> Disadvantaged 73% vs </w:t>
      </w:r>
      <w:proofErr w:type="gramStart"/>
      <w:r>
        <w:t>Non-disadvantaged</w:t>
      </w:r>
      <w:proofErr w:type="gramEnd"/>
      <w:r>
        <w:t xml:space="preserve"> 64% (+11pp in favour of disadvantaged); national (all pupils) 68% — disadvantaged cohort +5pp above national.</w:t>
      </w:r>
    </w:p>
    <w:p w14:paraId="1EBE6585" w14:textId="1FFABEFF" w:rsidR="00750E3B" w:rsidRDefault="00750E3B" w:rsidP="00750E3B">
      <w:r>
        <w:rPr>
          <w:b/>
        </w:rPr>
        <w:t>Phonics (Key Stage 1)</w:t>
      </w:r>
      <w:r>
        <w:rPr>
          <w:b/>
        </w:rPr>
        <w:t>:</w:t>
      </w:r>
    </w:p>
    <w:p w14:paraId="09496F6B" w14:textId="77777777" w:rsidR="00750E3B" w:rsidRDefault="00750E3B" w:rsidP="00750E3B">
      <w:r>
        <w:t xml:space="preserve">Year 1 phonics 2025: Disadvantaged 59% vs </w:t>
      </w:r>
      <w:proofErr w:type="gramStart"/>
      <w:r>
        <w:t>Non-disadvantaged</w:t>
      </w:r>
      <w:proofErr w:type="gramEnd"/>
      <w:r>
        <w:t xml:space="preserve"> 64%; national 80% — a significant gap remains.</w:t>
      </w:r>
    </w:p>
    <w:p w14:paraId="61441604" w14:textId="77777777" w:rsidR="00750E3B" w:rsidRDefault="00750E3B" w:rsidP="00750E3B">
      <w:r>
        <w:t>Year 2 phonics 2025: Disadvantaged 75% (in line with peers at 75%), though below national (91%). Internal all-pupil pass rate noted at 88% following sustained improvements in synthetic phonics teaching.</w:t>
      </w:r>
    </w:p>
    <w:p w14:paraId="0C0D6F7F" w14:textId="717E040A" w:rsidR="00750E3B" w:rsidRDefault="00750E3B" w:rsidP="00750E3B">
      <w:r>
        <w:rPr>
          <w:b/>
        </w:rPr>
        <w:t>Key Stage 2 attainment</w:t>
      </w:r>
      <w:r>
        <w:rPr>
          <w:b/>
        </w:rPr>
        <w:t>:</w:t>
      </w:r>
    </w:p>
    <w:p w14:paraId="7A7B1F05" w14:textId="77777777" w:rsidR="00750E3B" w:rsidRDefault="00750E3B" w:rsidP="00750E3B">
      <w:r>
        <w:t xml:space="preserve">Combined RWM 2025: Disadvantaged 62% vs </w:t>
      </w:r>
      <w:proofErr w:type="gramStart"/>
      <w:r>
        <w:t>Non-disadvantaged</w:t>
      </w:r>
      <w:proofErr w:type="gramEnd"/>
      <w:r>
        <w:t xml:space="preserve"> 53% (+9pp), in line with national (62%).</w:t>
      </w:r>
    </w:p>
    <w:p w14:paraId="6061F262" w14:textId="77777777" w:rsidR="00750E3B" w:rsidRDefault="00750E3B" w:rsidP="00750E3B">
      <w:r>
        <w:t xml:space="preserve">Reading 2025: Disadvantaged 73% vs </w:t>
      </w:r>
      <w:proofErr w:type="gramStart"/>
      <w:r>
        <w:t>Non-disadvantaged</w:t>
      </w:r>
      <w:proofErr w:type="gramEnd"/>
      <w:r>
        <w:t xml:space="preserve"> 67% (+6pp); national 75% (close to national).</w:t>
      </w:r>
    </w:p>
    <w:p w14:paraId="289C8546" w14:textId="77777777" w:rsidR="00750E3B" w:rsidRDefault="00750E3B" w:rsidP="00750E3B">
      <w:r>
        <w:lastRenderedPageBreak/>
        <w:t xml:space="preserve">Writing 2025: Disadvantaged 74% vs </w:t>
      </w:r>
      <w:proofErr w:type="gramStart"/>
      <w:r>
        <w:t>Non-disadvantaged</w:t>
      </w:r>
      <w:proofErr w:type="gramEnd"/>
      <w:r>
        <w:t xml:space="preserve"> 66% (+8pp); national 72% (+2pp above national).</w:t>
      </w:r>
    </w:p>
    <w:p w14:paraId="17B1A8F2" w14:textId="77777777" w:rsidR="00750E3B" w:rsidRDefault="00750E3B" w:rsidP="00750E3B">
      <w:r>
        <w:t xml:space="preserve">Maths 2025: Disadvantaged 65% vs </w:t>
      </w:r>
      <w:proofErr w:type="gramStart"/>
      <w:r>
        <w:t>Non-disadvantaged</w:t>
      </w:r>
      <w:proofErr w:type="gramEnd"/>
      <w:r>
        <w:t xml:space="preserve"> 52% (+13pp), though below national (74%).</w:t>
      </w:r>
    </w:p>
    <w:p w14:paraId="15AB0F94" w14:textId="37C88390" w:rsidR="00750E3B" w:rsidRPr="00750E3B" w:rsidRDefault="00750E3B" w:rsidP="00750E3B">
      <w:pPr>
        <w:rPr>
          <w:color w:val="1F497D" w:themeColor="text2"/>
        </w:rPr>
      </w:pPr>
      <w:r w:rsidRPr="00750E3B">
        <w:rPr>
          <w:b/>
          <w:color w:val="1F497D" w:themeColor="text2"/>
        </w:rPr>
        <w:t>Attendance &amp; Persistent Absence</w:t>
      </w:r>
    </w:p>
    <w:p w14:paraId="5E815510" w14:textId="77777777" w:rsidR="00750E3B" w:rsidRDefault="00750E3B" w:rsidP="00750E3B">
      <w:r>
        <w:t xml:space="preserve">Attendance 2024/25: Disadvantaged 93.4% vs </w:t>
      </w:r>
      <w:proofErr w:type="gramStart"/>
      <w:r>
        <w:t>Non-disadvantaged</w:t>
      </w:r>
      <w:proofErr w:type="gramEnd"/>
      <w:r>
        <w:t xml:space="preserve"> 93.1% (+0.3pp), in line with national (93.1%).</w:t>
      </w:r>
    </w:p>
    <w:p w14:paraId="22A93EC6" w14:textId="77777777" w:rsidR="00750E3B" w:rsidRDefault="00750E3B" w:rsidP="00750E3B">
      <w:r>
        <w:t xml:space="preserve">Persistent Absence 2024/25: Disadvantaged 19.6% vs </w:t>
      </w:r>
      <w:proofErr w:type="gramStart"/>
      <w:r>
        <w:t>Non-disadvantaged</w:t>
      </w:r>
      <w:proofErr w:type="gramEnd"/>
      <w:r>
        <w:t xml:space="preserve"> 21.6% (–2pp better than peers), but above national (13.5%) by +6.1pp.</w:t>
      </w:r>
    </w:p>
    <w:p w14:paraId="51DA045A" w14:textId="77777777" w:rsidR="00750E3B" w:rsidRPr="00750E3B" w:rsidRDefault="00750E3B" w:rsidP="00750E3B">
      <w:pPr>
        <w:rPr>
          <w:color w:val="1F497D" w:themeColor="text2"/>
        </w:rPr>
      </w:pPr>
      <w:r w:rsidRPr="00750E3B">
        <w:rPr>
          <w:b/>
          <w:color w:val="1F497D" w:themeColor="text2"/>
        </w:rPr>
        <w:t>Value for money (</w:t>
      </w:r>
      <w:proofErr w:type="spellStart"/>
      <w:r w:rsidRPr="00750E3B">
        <w:rPr>
          <w:b/>
          <w:color w:val="1F497D" w:themeColor="text2"/>
        </w:rPr>
        <w:t>VfM</w:t>
      </w:r>
      <w:proofErr w:type="spellEnd"/>
      <w:r w:rsidRPr="00750E3B">
        <w:rPr>
          <w:b/>
          <w:color w:val="1F497D" w:themeColor="text2"/>
        </w:rPr>
        <w:t>) narrative</w:t>
      </w:r>
    </w:p>
    <w:p w14:paraId="33E5C30B" w14:textId="77777777" w:rsidR="00750E3B" w:rsidRDefault="00750E3B" w:rsidP="00750E3B">
      <w:r>
        <w:t>Budget focus areas (2024/25): Teaching/CPD (~£100k), targeted academic support (~£194k), wider strategies (~£111.5k) from a £457.6k combined budget — balanced between universal classroom quality and precision tutoring where gaps were largest.</w:t>
      </w:r>
    </w:p>
    <w:p w14:paraId="10784861" w14:textId="226BEA1B" w:rsidR="00750E3B" w:rsidRPr="00750E3B" w:rsidRDefault="00750E3B" w:rsidP="00750E3B">
      <w:pPr>
        <w:rPr>
          <w:color w:val="1F497D" w:themeColor="text2"/>
        </w:rPr>
      </w:pPr>
      <w:r w:rsidRPr="00750E3B">
        <w:rPr>
          <w:b/>
          <w:color w:val="1F497D" w:themeColor="text2"/>
        </w:rPr>
        <w:t xml:space="preserve">Key data points </w:t>
      </w:r>
    </w:p>
    <w:tbl>
      <w:tblPr>
        <w:tblStyle w:val="TableGrid"/>
        <w:tblW w:w="0" w:type="auto"/>
        <w:tblLook w:val="04A0" w:firstRow="1" w:lastRow="0" w:firstColumn="1" w:lastColumn="0" w:noHBand="0" w:noVBand="1"/>
      </w:tblPr>
      <w:tblGrid>
        <w:gridCol w:w="1440"/>
        <w:gridCol w:w="1818"/>
        <w:gridCol w:w="1818"/>
        <w:gridCol w:w="1440"/>
        <w:gridCol w:w="1440"/>
        <w:gridCol w:w="1440"/>
      </w:tblGrid>
      <w:tr w:rsidR="00750E3B" w14:paraId="74164900" w14:textId="77777777" w:rsidTr="00C16893">
        <w:tc>
          <w:tcPr>
            <w:tcW w:w="1440" w:type="dxa"/>
          </w:tcPr>
          <w:p w14:paraId="717D5A5F" w14:textId="77777777" w:rsidR="00750E3B" w:rsidRDefault="00750E3B" w:rsidP="00C16893">
            <w:r>
              <w:t>Measure (2025)</w:t>
            </w:r>
          </w:p>
        </w:tc>
        <w:tc>
          <w:tcPr>
            <w:tcW w:w="1440" w:type="dxa"/>
          </w:tcPr>
          <w:p w14:paraId="7100E3FF" w14:textId="77777777" w:rsidR="00750E3B" w:rsidRDefault="00750E3B" w:rsidP="00C16893">
            <w:r>
              <w:t>Disadvantaged</w:t>
            </w:r>
          </w:p>
        </w:tc>
        <w:tc>
          <w:tcPr>
            <w:tcW w:w="1440" w:type="dxa"/>
          </w:tcPr>
          <w:p w14:paraId="4A37A6A5" w14:textId="77777777" w:rsidR="00750E3B" w:rsidRDefault="00750E3B" w:rsidP="00C16893">
            <w:r>
              <w:t>Non-Disadvantaged</w:t>
            </w:r>
          </w:p>
        </w:tc>
        <w:tc>
          <w:tcPr>
            <w:tcW w:w="1440" w:type="dxa"/>
          </w:tcPr>
          <w:p w14:paraId="5400EF44" w14:textId="77777777" w:rsidR="00750E3B" w:rsidRDefault="00750E3B" w:rsidP="00C16893">
            <w:r>
              <w:t>National (All)</w:t>
            </w:r>
          </w:p>
        </w:tc>
        <w:tc>
          <w:tcPr>
            <w:tcW w:w="1440" w:type="dxa"/>
          </w:tcPr>
          <w:p w14:paraId="42E7F00D" w14:textId="77777777" w:rsidR="00750E3B" w:rsidRDefault="00750E3B" w:rsidP="00C16893">
            <w:r>
              <w:t>Variance vs peers</w:t>
            </w:r>
          </w:p>
        </w:tc>
        <w:tc>
          <w:tcPr>
            <w:tcW w:w="1440" w:type="dxa"/>
          </w:tcPr>
          <w:p w14:paraId="56F0EF39" w14:textId="77777777" w:rsidR="00750E3B" w:rsidRDefault="00750E3B" w:rsidP="00C16893">
            <w:r>
              <w:t>Variance vs national</w:t>
            </w:r>
          </w:p>
        </w:tc>
      </w:tr>
      <w:tr w:rsidR="00750E3B" w14:paraId="0D2A364A" w14:textId="77777777" w:rsidTr="00C16893">
        <w:tc>
          <w:tcPr>
            <w:tcW w:w="1440" w:type="dxa"/>
          </w:tcPr>
          <w:p w14:paraId="15FB8967" w14:textId="77777777" w:rsidR="00750E3B" w:rsidRDefault="00750E3B" w:rsidP="00C16893">
            <w:r>
              <w:t>EYFSP GLD</w:t>
            </w:r>
          </w:p>
        </w:tc>
        <w:tc>
          <w:tcPr>
            <w:tcW w:w="1440" w:type="dxa"/>
          </w:tcPr>
          <w:p w14:paraId="6DD2E665" w14:textId="77777777" w:rsidR="00750E3B" w:rsidRDefault="00750E3B" w:rsidP="00C16893">
            <w:r>
              <w:t>73%</w:t>
            </w:r>
          </w:p>
        </w:tc>
        <w:tc>
          <w:tcPr>
            <w:tcW w:w="1440" w:type="dxa"/>
          </w:tcPr>
          <w:p w14:paraId="4EDD9073" w14:textId="77777777" w:rsidR="00750E3B" w:rsidRDefault="00750E3B" w:rsidP="00C16893">
            <w:r>
              <w:t>64%</w:t>
            </w:r>
          </w:p>
        </w:tc>
        <w:tc>
          <w:tcPr>
            <w:tcW w:w="1440" w:type="dxa"/>
          </w:tcPr>
          <w:p w14:paraId="24FB6B03" w14:textId="77777777" w:rsidR="00750E3B" w:rsidRDefault="00750E3B" w:rsidP="00C16893">
            <w:r>
              <w:t>68%</w:t>
            </w:r>
          </w:p>
        </w:tc>
        <w:tc>
          <w:tcPr>
            <w:tcW w:w="1440" w:type="dxa"/>
          </w:tcPr>
          <w:p w14:paraId="5C4526C2" w14:textId="77777777" w:rsidR="00750E3B" w:rsidRDefault="00750E3B" w:rsidP="00C16893">
            <w:r>
              <w:t>+9pp</w:t>
            </w:r>
          </w:p>
        </w:tc>
        <w:tc>
          <w:tcPr>
            <w:tcW w:w="1440" w:type="dxa"/>
          </w:tcPr>
          <w:p w14:paraId="63ECC40E" w14:textId="77777777" w:rsidR="00750E3B" w:rsidRDefault="00750E3B" w:rsidP="00C16893">
            <w:r>
              <w:t>+5pp</w:t>
            </w:r>
          </w:p>
        </w:tc>
      </w:tr>
      <w:tr w:rsidR="00750E3B" w14:paraId="7775FB15" w14:textId="77777777" w:rsidTr="00C16893">
        <w:tc>
          <w:tcPr>
            <w:tcW w:w="1440" w:type="dxa"/>
          </w:tcPr>
          <w:p w14:paraId="27716942" w14:textId="77777777" w:rsidR="00750E3B" w:rsidRDefault="00750E3B" w:rsidP="00C16893">
            <w:r>
              <w:t>Phonics Y1</w:t>
            </w:r>
          </w:p>
        </w:tc>
        <w:tc>
          <w:tcPr>
            <w:tcW w:w="1440" w:type="dxa"/>
          </w:tcPr>
          <w:p w14:paraId="44DFE18B" w14:textId="77777777" w:rsidR="00750E3B" w:rsidRDefault="00750E3B" w:rsidP="00C16893">
            <w:r>
              <w:t>59%</w:t>
            </w:r>
          </w:p>
        </w:tc>
        <w:tc>
          <w:tcPr>
            <w:tcW w:w="1440" w:type="dxa"/>
          </w:tcPr>
          <w:p w14:paraId="5BDC5FCB" w14:textId="77777777" w:rsidR="00750E3B" w:rsidRDefault="00750E3B" w:rsidP="00C16893">
            <w:r>
              <w:t>64%</w:t>
            </w:r>
          </w:p>
        </w:tc>
        <w:tc>
          <w:tcPr>
            <w:tcW w:w="1440" w:type="dxa"/>
          </w:tcPr>
          <w:p w14:paraId="3053E7D5" w14:textId="77777777" w:rsidR="00750E3B" w:rsidRDefault="00750E3B" w:rsidP="00C16893">
            <w:r>
              <w:t>80%</w:t>
            </w:r>
          </w:p>
        </w:tc>
        <w:tc>
          <w:tcPr>
            <w:tcW w:w="1440" w:type="dxa"/>
          </w:tcPr>
          <w:p w14:paraId="1DF19E3D" w14:textId="77777777" w:rsidR="00750E3B" w:rsidRDefault="00750E3B" w:rsidP="00C16893">
            <w:r>
              <w:t>-5pp</w:t>
            </w:r>
          </w:p>
        </w:tc>
        <w:tc>
          <w:tcPr>
            <w:tcW w:w="1440" w:type="dxa"/>
          </w:tcPr>
          <w:p w14:paraId="5950450D" w14:textId="77777777" w:rsidR="00750E3B" w:rsidRDefault="00750E3B" w:rsidP="00C16893">
            <w:r>
              <w:t>-21pp</w:t>
            </w:r>
          </w:p>
        </w:tc>
      </w:tr>
      <w:tr w:rsidR="00750E3B" w14:paraId="6AB38E53" w14:textId="77777777" w:rsidTr="00C16893">
        <w:tc>
          <w:tcPr>
            <w:tcW w:w="1440" w:type="dxa"/>
          </w:tcPr>
          <w:p w14:paraId="042E3C09" w14:textId="77777777" w:rsidR="00750E3B" w:rsidRDefault="00750E3B" w:rsidP="00C16893">
            <w:r>
              <w:t>Phonics Y2</w:t>
            </w:r>
          </w:p>
        </w:tc>
        <w:tc>
          <w:tcPr>
            <w:tcW w:w="1440" w:type="dxa"/>
          </w:tcPr>
          <w:p w14:paraId="7CC1CBDB" w14:textId="77777777" w:rsidR="00750E3B" w:rsidRDefault="00750E3B" w:rsidP="00C16893">
            <w:r>
              <w:t>75%</w:t>
            </w:r>
          </w:p>
        </w:tc>
        <w:tc>
          <w:tcPr>
            <w:tcW w:w="1440" w:type="dxa"/>
          </w:tcPr>
          <w:p w14:paraId="31B67F4E" w14:textId="77777777" w:rsidR="00750E3B" w:rsidRDefault="00750E3B" w:rsidP="00C16893">
            <w:r>
              <w:t>75%</w:t>
            </w:r>
          </w:p>
        </w:tc>
        <w:tc>
          <w:tcPr>
            <w:tcW w:w="1440" w:type="dxa"/>
          </w:tcPr>
          <w:p w14:paraId="413E98CB" w14:textId="77777777" w:rsidR="00750E3B" w:rsidRDefault="00750E3B" w:rsidP="00C16893">
            <w:r>
              <w:t>91%</w:t>
            </w:r>
          </w:p>
        </w:tc>
        <w:tc>
          <w:tcPr>
            <w:tcW w:w="1440" w:type="dxa"/>
          </w:tcPr>
          <w:p w14:paraId="19788C33" w14:textId="77777777" w:rsidR="00750E3B" w:rsidRDefault="00750E3B" w:rsidP="00C16893">
            <w:r>
              <w:t>0pp</w:t>
            </w:r>
          </w:p>
        </w:tc>
        <w:tc>
          <w:tcPr>
            <w:tcW w:w="1440" w:type="dxa"/>
          </w:tcPr>
          <w:p w14:paraId="40A73BF2" w14:textId="77777777" w:rsidR="00750E3B" w:rsidRDefault="00750E3B" w:rsidP="00C16893">
            <w:r>
              <w:t>-16pp</w:t>
            </w:r>
          </w:p>
        </w:tc>
      </w:tr>
      <w:tr w:rsidR="00750E3B" w14:paraId="0D37BD3C" w14:textId="77777777" w:rsidTr="00C16893">
        <w:tc>
          <w:tcPr>
            <w:tcW w:w="1440" w:type="dxa"/>
          </w:tcPr>
          <w:p w14:paraId="0567F713" w14:textId="77777777" w:rsidR="00750E3B" w:rsidRDefault="00750E3B" w:rsidP="00C16893">
            <w:r>
              <w:t>KS2 Reading</w:t>
            </w:r>
          </w:p>
        </w:tc>
        <w:tc>
          <w:tcPr>
            <w:tcW w:w="1440" w:type="dxa"/>
          </w:tcPr>
          <w:p w14:paraId="007E3D1E" w14:textId="77777777" w:rsidR="00750E3B" w:rsidRDefault="00750E3B" w:rsidP="00C16893">
            <w:r>
              <w:t>73%</w:t>
            </w:r>
          </w:p>
        </w:tc>
        <w:tc>
          <w:tcPr>
            <w:tcW w:w="1440" w:type="dxa"/>
          </w:tcPr>
          <w:p w14:paraId="05FB57A2" w14:textId="77777777" w:rsidR="00750E3B" w:rsidRDefault="00750E3B" w:rsidP="00C16893">
            <w:r>
              <w:t>67%</w:t>
            </w:r>
          </w:p>
        </w:tc>
        <w:tc>
          <w:tcPr>
            <w:tcW w:w="1440" w:type="dxa"/>
          </w:tcPr>
          <w:p w14:paraId="165D8A04" w14:textId="77777777" w:rsidR="00750E3B" w:rsidRDefault="00750E3B" w:rsidP="00C16893">
            <w:r>
              <w:t>75%</w:t>
            </w:r>
          </w:p>
        </w:tc>
        <w:tc>
          <w:tcPr>
            <w:tcW w:w="1440" w:type="dxa"/>
          </w:tcPr>
          <w:p w14:paraId="1D848837" w14:textId="77777777" w:rsidR="00750E3B" w:rsidRDefault="00750E3B" w:rsidP="00C16893">
            <w:r>
              <w:t>+6pp</w:t>
            </w:r>
          </w:p>
        </w:tc>
        <w:tc>
          <w:tcPr>
            <w:tcW w:w="1440" w:type="dxa"/>
          </w:tcPr>
          <w:p w14:paraId="006A6881" w14:textId="77777777" w:rsidR="00750E3B" w:rsidRDefault="00750E3B" w:rsidP="00C16893">
            <w:r>
              <w:t>-2pp</w:t>
            </w:r>
          </w:p>
        </w:tc>
      </w:tr>
      <w:tr w:rsidR="00750E3B" w14:paraId="29A92465" w14:textId="77777777" w:rsidTr="00C16893">
        <w:tc>
          <w:tcPr>
            <w:tcW w:w="1440" w:type="dxa"/>
          </w:tcPr>
          <w:p w14:paraId="2E636C42" w14:textId="77777777" w:rsidR="00750E3B" w:rsidRDefault="00750E3B" w:rsidP="00C16893">
            <w:r>
              <w:t>KS2 Writing</w:t>
            </w:r>
          </w:p>
        </w:tc>
        <w:tc>
          <w:tcPr>
            <w:tcW w:w="1440" w:type="dxa"/>
          </w:tcPr>
          <w:p w14:paraId="373CED91" w14:textId="77777777" w:rsidR="00750E3B" w:rsidRDefault="00750E3B" w:rsidP="00C16893">
            <w:r>
              <w:t>74%</w:t>
            </w:r>
          </w:p>
        </w:tc>
        <w:tc>
          <w:tcPr>
            <w:tcW w:w="1440" w:type="dxa"/>
          </w:tcPr>
          <w:p w14:paraId="37729DBE" w14:textId="77777777" w:rsidR="00750E3B" w:rsidRDefault="00750E3B" w:rsidP="00C16893">
            <w:r>
              <w:t>66%</w:t>
            </w:r>
          </w:p>
        </w:tc>
        <w:tc>
          <w:tcPr>
            <w:tcW w:w="1440" w:type="dxa"/>
          </w:tcPr>
          <w:p w14:paraId="431A5DE3" w14:textId="77777777" w:rsidR="00750E3B" w:rsidRDefault="00750E3B" w:rsidP="00C16893">
            <w:r>
              <w:t>72%</w:t>
            </w:r>
          </w:p>
        </w:tc>
        <w:tc>
          <w:tcPr>
            <w:tcW w:w="1440" w:type="dxa"/>
          </w:tcPr>
          <w:p w14:paraId="65909B77" w14:textId="77777777" w:rsidR="00750E3B" w:rsidRDefault="00750E3B" w:rsidP="00C16893">
            <w:r>
              <w:t>+8pp</w:t>
            </w:r>
          </w:p>
        </w:tc>
        <w:tc>
          <w:tcPr>
            <w:tcW w:w="1440" w:type="dxa"/>
          </w:tcPr>
          <w:p w14:paraId="77A90170" w14:textId="77777777" w:rsidR="00750E3B" w:rsidRDefault="00750E3B" w:rsidP="00C16893">
            <w:r>
              <w:t>+2pp</w:t>
            </w:r>
          </w:p>
        </w:tc>
      </w:tr>
      <w:tr w:rsidR="00750E3B" w14:paraId="0B5CE2CE" w14:textId="77777777" w:rsidTr="00C16893">
        <w:tc>
          <w:tcPr>
            <w:tcW w:w="1440" w:type="dxa"/>
          </w:tcPr>
          <w:p w14:paraId="58E5F029" w14:textId="77777777" w:rsidR="00750E3B" w:rsidRDefault="00750E3B" w:rsidP="00C16893">
            <w:r>
              <w:t>KS2 Maths</w:t>
            </w:r>
          </w:p>
        </w:tc>
        <w:tc>
          <w:tcPr>
            <w:tcW w:w="1440" w:type="dxa"/>
          </w:tcPr>
          <w:p w14:paraId="083B3AF3" w14:textId="77777777" w:rsidR="00750E3B" w:rsidRDefault="00750E3B" w:rsidP="00C16893">
            <w:r>
              <w:t>65%</w:t>
            </w:r>
          </w:p>
        </w:tc>
        <w:tc>
          <w:tcPr>
            <w:tcW w:w="1440" w:type="dxa"/>
          </w:tcPr>
          <w:p w14:paraId="63513EE3" w14:textId="77777777" w:rsidR="00750E3B" w:rsidRDefault="00750E3B" w:rsidP="00C16893">
            <w:r>
              <w:t>52%</w:t>
            </w:r>
          </w:p>
        </w:tc>
        <w:tc>
          <w:tcPr>
            <w:tcW w:w="1440" w:type="dxa"/>
          </w:tcPr>
          <w:p w14:paraId="3EE676A9" w14:textId="77777777" w:rsidR="00750E3B" w:rsidRDefault="00750E3B" w:rsidP="00C16893">
            <w:r>
              <w:t>74%</w:t>
            </w:r>
          </w:p>
        </w:tc>
        <w:tc>
          <w:tcPr>
            <w:tcW w:w="1440" w:type="dxa"/>
          </w:tcPr>
          <w:p w14:paraId="2A631653" w14:textId="77777777" w:rsidR="00750E3B" w:rsidRDefault="00750E3B" w:rsidP="00C16893">
            <w:r>
              <w:t>+13pp</w:t>
            </w:r>
          </w:p>
        </w:tc>
        <w:tc>
          <w:tcPr>
            <w:tcW w:w="1440" w:type="dxa"/>
          </w:tcPr>
          <w:p w14:paraId="365C3B54" w14:textId="77777777" w:rsidR="00750E3B" w:rsidRDefault="00750E3B" w:rsidP="00C16893">
            <w:r>
              <w:t>-9pp</w:t>
            </w:r>
          </w:p>
        </w:tc>
      </w:tr>
      <w:tr w:rsidR="00750E3B" w14:paraId="2ECCA756" w14:textId="77777777" w:rsidTr="00C16893">
        <w:tc>
          <w:tcPr>
            <w:tcW w:w="1440" w:type="dxa"/>
          </w:tcPr>
          <w:p w14:paraId="0575B1C9" w14:textId="77777777" w:rsidR="00750E3B" w:rsidRDefault="00750E3B" w:rsidP="00C16893">
            <w:r>
              <w:t>KS2 RWM</w:t>
            </w:r>
          </w:p>
        </w:tc>
        <w:tc>
          <w:tcPr>
            <w:tcW w:w="1440" w:type="dxa"/>
          </w:tcPr>
          <w:p w14:paraId="0F32214C" w14:textId="77777777" w:rsidR="00750E3B" w:rsidRDefault="00750E3B" w:rsidP="00C16893">
            <w:r>
              <w:t>62%</w:t>
            </w:r>
          </w:p>
        </w:tc>
        <w:tc>
          <w:tcPr>
            <w:tcW w:w="1440" w:type="dxa"/>
          </w:tcPr>
          <w:p w14:paraId="113419B5" w14:textId="77777777" w:rsidR="00750E3B" w:rsidRDefault="00750E3B" w:rsidP="00C16893">
            <w:r>
              <w:t>53%</w:t>
            </w:r>
          </w:p>
        </w:tc>
        <w:tc>
          <w:tcPr>
            <w:tcW w:w="1440" w:type="dxa"/>
          </w:tcPr>
          <w:p w14:paraId="16CAF7F8" w14:textId="77777777" w:rsidR="00750E3B" w:rsidRDefault="00750E3B" w:rsidP="00C16893">
            <w:r>
              <w:t>62%</w:t>
            </w:r>
          </w:p>
        </w:tc>
        <w:tc>
          <w:tcPr>
            <w:tcW w:w="1440" w:type="dxa"/>
          </w:tcPr>
          <w:p w14:paraId="039795F3" w14:textId="77777777" w:rsidR="00750E3B" w:rsidRDefault="00750E3B" w:rsidP="00C16893">
            <w:r>
              <w:t>+9pp</w:t>
            </w:r>
          </w:p>
        </w:tc>
        <w:tc>
          <w:tcPr>
            <w:tcW w:w="1440" w:type="dxa"/>
          </w:tcPr>
          <w:p w14:paraId="69604F3C" w14:textId="77777777" w:rsidR="00750E3B" w:rsidRDefault="00750E3B" w:rsidP="00C16893">
            <w:r>
              <w:t>0pp</w:t>
            </w:r>
          </w:p>
        </w:tc>
      </w:tr>
      <w:tr w:rsidR="00750E3B" w14:paraId="08766F33" w14:textId="77777777" w:rsidTr="00C16893">
        <w:tc>
          <w:tcPr>
            <w:tcW w:w="1440" w:type="dxa"/>
          </w:tcPr>
          <w:p w14:paraId="7C3C4F5A" w14:textId="77777777" w:rsidR="00750E3B" w:rsidRDefault="00750E3B" w:rsidP="00C16893">
            <w:r>
              <w:t>Attendance (2024/25)</w:t>
            </w:r>
          </w:p>
        </w:tc>
        <w:tc>
          <w:tcPr>
            <w:tcW w:w="1440" w:type="dxa"/>
          </w:tcPr>
          <w:p w14:paraId="30BD29FB" w14:textId="77777777" w:rsidR="00750E3B" w:rsidRDefault="00750E3B" w:rsidP="00C16893">
            <w:r>
              <w:t>93.4%</w:t>
            </w:r>
          </w:p>
        </w:tc>
        <w:tc>
          <w:tcPr>
            <w:tcW w:w="1440" w:type="dxa"/>
          </w:tcPr>
          <w:p w14:paraId="64004671" w14:textId="77777777" w:rsidR="00750E3B" w:rsidRDefault="00750E3B" w:rsidP="00C16893">
            <w:r>
              <w:t>93.1%</w:t>
            </w:r>
          </w:p>
        </w:tc>
        <w:tc>
          <w:tcPr>
            <w:tcW w:w="1440" w:type="dxa"/>
          </w:tcPr>
          <w:p w14:paraId="799B4918" w14:textId="77777777" w:rsidR="00750E3B" w:rsidRDefault="00750E3B" w:rsidP="00C16893">
            <w:r>
              <w:t>93.1%</w:t>
            </w:r>
          </w:p>
        </w:tc>
        <w:tc>
          <w:tcPr>
            <w:tcW w:w="1440" w:type="dxa"/>
          </w:tcPr>
          <w:p w14:paraId="55501B13" w14:textId="77777777" w:rsidR="00750E3B" w:rsidRDefault="00750E3B" w:rsidP="00C16893">
            <w:r>
              <w:t>+0.3pp</w:t>
            </w:r>
          </w:p>
        </w:tc>
        <w:tc>
          <w:tcPr>
            <w:tcW w:w="1440" w:type="dxa"/>
          </w:tcPr>
          <w:p w14:paraId="7D2B7D64" w14:textId="77777777" w:rsidR="00750E3B" w:rsidRDefault="00750E3B" w:rsidP="00C16893">
            <w:r>
              <w:t>+0.3pp</w:t>
            </w:r>
          </w:p>
        </w:tc>
      </w:tr>
      <w:tr w:rsidR="00750E3B" w14:paraId="73E19CA4" w14:textId="77777777" w:rsidTr="00C16893">
        <w:tc>
          <w:tcPr>
            <w:tcW w:w="1440" w:type="dxa"/>
          </w:tcPr>
          <w:p w14:paraId="4294B365" w14:textId="77777777" w:rsidR="00750E3B" w:rsidRDefault="00750E3B" w:rsidP="00C16893">
            <w:r>
              <w:lastRenderedPageBreak/>
              <w:t>Persistent Absence (2024/25)</w:t>
            </w:r>
          </w:p>
        </w:tc>
        <w:tc>
          <w:tcPr>
            <w:tcW w:w="1440" w:type="dxa"/>
          </w:tcPr>
          <w:p w14:paraId="5DB3088D" w14:textId="77777777" w:rsidR="00750E3B" w:rsidRDefault="00750E3B" w:rsidP="00C16893">
            <w:r>
              <w:t>19.6%</w:t>
            </w:r>
          </w:p>
        </w:tc>
        <w:tc>
          <w:tcPr>
            <w:tcW w:w="1440" w:type="dxa"/>
          </w:tcPr>
          <w:p w14:paraId="385BE16A" w14:textId="77777777" w:rsidR="00750E3B" w:rsidRDefault="00750E3B" w:rsidP="00C16893">
            <w:r>
              <w:t>21.6%</w:t>
            </w:r>
          </w:p>
        </w:tc>
        <w:tc>
          <w:tcPr>
            <w:tcW w:w="1440" w:type="dxa"/>
          </w:tcPr>
          <w:p w14:paraId="37E37155" w14:textId="77777777" w:rsidR="00750E3B" w:rsidRDefault="00750E3B" w:rsidP="00C16893">
            <w:r>
              <w:t>13.5%</w:t>
            </w:r>
          </w:p>
        </w:tc>
        <w:tc>
          <w:tcPr>
            <w:tcW w:w="1440" w:type="dxa"/>
          </w:tcPr>
          <w:p w14:paraId="2B7F8AD8" w14:textId="77777777" w:rsidR="00750E3B" w:rsidRDefault="00750E3B" w:rsidP="00C16893">
            <w:r>
              <w:t>-2pp</w:t>
            </w:r>
          </w:p>
        </w:tc>
        <w:tc>
          <w:tcPr>
            <w:tcW w:w="1440" w:type="dxa"/>
          </w:tcPr>
          <w:p w14:paraId="56FE4673" w14:textId="77777777" w:rsidR="00750E3B" w:rsidRDefault="00750E3B" w:rsidP="00C16893">
            <w:r>
              <w:t>+6.1pp</w:t>
            </w:r>
          </w:p>
        </w:tc>
      </w:tr>
    </w:tbl>
    <w:p w14:paraId="364010F7" w14:textId="77777777" w:rsidR="00750E3B" w:rsidRDefault="00750E3B" w:rsidP="00750E3B">
      <w:pPr>
        <w:rPr>
          <w:b/>
        </w:rPr>
      </w:pPr>
    </w:p>
    <w:p w14:paraId="31432AE0" w14:textId="2100C987" w:rsidR="00750E3B" w:rsidRPr="00750E3B" w:rsidRDefault="00750E3B" w:rsidP="00750E3B">
      <w:pPr>
        <w:rPr>
          <w:color w:val="1F497D" w:themeColor="text2"/>
        </w:rPr>
      </w:pPr>
      <w:r w:rsidRPr="00750E3B">
        <w:rPr>
          <w:b/>
          <w:color w:val="1F497D" w:themeColor="text2"/>
        </w:rPr>
        <w:t>Conclusions and next steps</w:t>
      </w:r>
    </w:p>
    <w:p w14:paraId="78D0B168" w14:textId="38278055" w:rsidR="00750E3B" w:rsidRDefault="00750E3B" w:rsidP="00750E3B">
      <w:r>
        <w:t>Clear positive impact: EYFS readiness, KS2 writing and combined attainment, and overall attendance improved. Disadvantaged pupils frequently outperformed peers and, in places, exceeded national benchmarks.</w:t>
      </w:r>
    </w:p>
    <w:p w14:paraId="338606B7" w14:textId="77777777" w:rsidR="00A36FB2" w:rsidRPr="00A36FB2" w:rsidRDefault="00750E3B" w:rsidP="00750E3B">
      <w:pPr>
        <w:rPr>
          <w:b/>
          <w:bCs/>
        </w:rPr>
      </w:pPr>
      <w:r w:rsidRPr="00A36FB2">
        <w:rPr>
          <w:b/>
          <w:bCs/>
        </w:rPr>
        <w:t>Focus for 2025</w:t>
      </w:r>
      <w:r w:rsidR="00A36FB2" w:rsidRPr="00A36FB2">
        <w:rPr>
          <w:b/>
          <w:bCs/>
        </w:rPr>
        <w:t>-2028</w:t>
      </w:r>
      <w:r w:rsidRPr="00A36FB2">
        <w:rPr>
          <w:b/>
          <w:bCs/>
        </w:rPr>
        <w:t xml:space="preserve">: </w:t>
      </w:r>
    </w:p>
    <w:p w14:paraId="14FAFDE2" w14:textId="7013B2EA" w:rsidR="00A36FB2" w:rsidRDefault="00750E3B" w:rsidP="00A36FB2">
      <w:pPr>
        <w:pStyle w:val="ListParagraph"/>
        <w:numPr>
          <w:ilvl w:val="0"/>
          <w:numId w:val="23"/>
        </w:numPr>
      </w:pPr>
      <w:r>
        <w:t>Year 1 phonics — intensify early decoding support and earlier tutoring triggers</w:t>
      </w:r>
    </w:p>
    <w:p w14:paraId="046D825E" w14:textId="3CD937C0" w:rsidR="00A36FB2" w:rsidRDefault="00750E3B" w:rsidP="00A36FB2">
      <w:pPr>
        <w:pStyle w:val="ListParagraph"/>
        <w:numPr>
          <w:ilvl w:val="0"/>
          <w:numId w:val="23"/>
        </w:numPr>
      </w:pPr>
      <w:r>
        <w:t>KS2 maths — continue mastery pedagogy/CPD and targeted problem-solving interventions to close the national gap</w:t>
      </w:r>
    </w:p>
    <w:p w14:paraId="7932E168" w14:textId="6FEA23D4" w:rsidR="00750E3B" w:rsidRDefault="00750E3B" w:rsidP="00A36FB2">
      <w:pPr>
        <w:pStyle w:val="ListParagraph"/>
        <w:numPr>
          <w:ilvl w:val="0"/>
          <w:numId w:val="23"/>
        </w:numPr>
      </w:pPr>
      <w:r>
        <w:t>Persistent absence — sustain escalation and deepen multi-agency work to reduce PA below national.</w:t>
      </w:r>
    </w:p>
    <w:p w14:paraId="5E7BFBAE" w14:textId="77777777" w:rsidR="00D024D7" w:rsidRDefault="00D024D7">
      <w:pPr>
        <w:suppressAutoHyphens w:val="0"/>
        <w:spacing w:after="0" w:line="240" w:lineRule="auto"/>
        <w:rPr>
          <w:b/>
          <w:color w:val="104F75"/>
          <w:sz w:val="32"/>
          <w:szCs w:val="32"/>
        </w:rPr>
      </w:pPr>
      <w:r>
        <w:br w:type="page"/>
      </w:r>
    </w:p>
    <w:p w14:paraId="2A7D5548" w14:textId="24EA880D" w:rsidR="00E66558" w:rsidRDefault="006D6372" w:rsidP="00A82A98">
      <w:pPr>
        <w:pStyle w:val="Heading2"/>
      </w:pPr>
      <w:r>
        <w:lastRenderedPageBreak/>
        <w:t>E</w:t>
      </w:r>
      <w:r w:rsidR="009D71E8">
        <w:t xml:space="preserve">xternally provided </w:t>
      </w:r>
      <w:r w:rsidR="009D71E8" w:rsidRPr="00781713">
        <w:t>programmes</w:t>
      </w:r>
      <w:r w:rsidR="0052229D">
        <w:t xml:space="preserve"> 2021- 2025</w:t>
      </w:r>
    </w:p>
    <w:p w14:paraId="2A7D5549" w14:textId="1DAEF3DE"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(or recovery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023270F7" w:rsidR="00E66558" w:rsidRDefault="00E41F2B">
            <w:pPr>
              <w:pStyle w:val="TableRow"/>
            </w:pPr>
            <w:r>
              <w:t>Lexia</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22DD5552" w:rsidR="00E66558" w:rsidRDefault="00E41F2B">
            <w:pPr>
              <w:pStyle w:val="TableRowCentered"/>
              <w:jc w:val="left"/>
            </w:pPr>
            <w:r>
              <w:t>Lexia</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0" w14:textId="606BC638" w:rsidR="00E66558" w:rsidRDefault="00E41F2B">
            <w:pPr>
              <w:pStyle w:val="TableRow"/>
            </w:pPr>
            <w:r>
              <w:t>Read Write Inc</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1" w14:textId="79B28D4E" w:rsidR="00E66558" w:rsidRDefault="00E41F2B">
            <w:pPr>
              <w:pStyle w:val="TableRowCentered"/>
              <w:jc w:val="left"/>
            </w:pPr>
            <w:r>
              <w:t>Ruth Miskin</w:t>
            </w:r>
          </w:p>
        </w:tc>
      </w:tr>
      <w:tr w:rsidR="00423D61" w14:paraId="6BBE0E44"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B8A11" w14:textId="0ADEC7F3" w:rsidR="00423D61" w:rsidRDefault="00423D61">
            <w:pPr>
              <w:pStyle w:val="TableRow"/>
            </w:pPr>
            <w:proofErr w:type="spellStart"/>
            <w:r>
              <w:t>LetterJoin</w:t>
            </w:r>
            <w:proofErr w:type="spellEnd"/>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C9D5E" w14:textId="40D62B97" w:rsidR="00423D61" w:rsidRDefault="00423D61">
            <w:pPr>
              <w:pStyle w:val="TableRowCentered"/>
              <w:jc w:val="left"/>
            </w:pPr>
            <w:proofErr w:type="spellStart"/>
            <w:r>
              <w:t>Letterjoin</w:t>
            </w:r>
            <w:proofErr w:type="spellEnd"/>
          </w:p>
        </w:tc>
      </w:tr>
      <w:tr w:rsidR="00423D61" w14:paraId="4BFBB9D0"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9E755" w14:textId="03D756CD" w:rsidR="00423D61" w:rsidRDefault="00406C3E">
            <w:pPr>
              <w:pStyle w:val="TableRow"/>
            </w:pPr>
            <w:r>
              <w:t>Times Tables Rockstars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C98B8" w14:textId="71888E2A" w:rsidR="00423D61" w:rsidRDefault="00406C3E">
            <w:pPr>
              <w:pStyle w:val="TableRowCentered"/>
              <w:jc w:val="left"/>
            </w:pPr>
            <w:r>
              <w:t>Maths Circle</w:t>
            </w:r>
          </w:p>
        </w:tc>
      </w:tr>
      <w:tr w:rsidR="0052229D" w14:paraId="3C91C9FD"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CCF83" w14:textId="2C593F42" w:rsidR="0052229D" w:rsidRDefault="0052229D">
            <w:pPr>
              <w:pStyle w:val="TableRow"/>
            </w:pPr>
            <w:r>
              <w:t>My Happy Minds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185AB" w14:textId="38751150" w:rsidR="0052229D" w:rsidRDefault="0052229D">
            <w:pPr>
              <w:pStyle w:val="TableRowCentered"/>
              <w:jc w:val="left"/>
            </w:pPr>
            <w:r>
              <w:t>My Happy Minds</w:t>
            </w:r>
          </w:p>
        </w:tc>
      </w:tr>
      <w:tr w:rsidR="0052229D" w14:paraId="3D641CF7"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84FC6" w14:textId="1A595B0E" w:rsidR="0052229D" w:rsidRDefault="0052229D">
            <w:pPr>
              <w:pStyle w:val="TableRow"/>
            </w:pPr>
            <w:r>
              <w:t>Inclusive Attendance</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90BBC" w14:textId="448EE22B" w:rsidR="0052229D" w:rsidRDefault="0052229D">
            <w:pPr>
              <w:pStyle w:val="TableRowCentered"/>
              <w:jc w:val="left"/>
            </w:pPr>
            <w:r>
              <w:t>Inclusive Attendance</w:t>
            </w:r>
          </w:p>
        </w:tc>
      </w:tr>
      <w:tr w:rsidR="00393903" w14:paraId="783B2D17"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F9C34" w14:textId="47F85A94" w:rsidR="00393903" w:rsidRDefault="00393903">
            <w:pPr>
              <w:pStyle w:val="TableRow"/>
            </w:pPr>
            <w:r>
              <w:t>TIAAS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86018" w14:textId="4E0B6E0D" w:rsidR="00393903" w:rsidRDefault="00393903">
            <w:pPr>
              <w:pStyle w:val="TableRowCentered"/>
              <w:jc w:val="left"/>
            </w:pPr>
            <w:r>
              <w:t>Educational Psychology Service</w:t>
            </w:r>
          </w:p>
        </w:tc>
      </w:tr>
    </w:tbl>
    <w:p w14:paraId="540A892B" w14:textId="5B3CC69D" w:rsidR="0008384B" w:rsidRPr="0008384B" w:rsidRDefault="003468B4" w:rsidP="0008384B">
      <w:pPr>
        <w:pStyle w:val="Heading2"/>
      </w:pPr>
      <w:r>
        <w:t>S</w:t>
      </w:r>
      <w:r w:rsidR="0008384B" w:rsidRPr="0008384B">
        <w:t>ervice pupil premium funding (optional)</w:t>
      </w:r>
    </w:p>
    <w:tbl>
      <w:tblPr>
        <w:tblStyle w:val="TableGrid"/>
        <w:tblW w:w="0" w:type="auto"/>
        <w:tblLook w:val="04A0" w:firstRow="1" w:lastRow="0" w:firstColumn="1" w:lastColumn="0" w:noHBand="0" w:noVBand="1"/>
      </w:tblPr>
      <w:tblGrid>
        <w:gridCol w:w="9486"/>
      </w:tblGrid>
      <w:tr w:rsidR="00ED5108" w14:paraId="60D4B166" w14:textId="77777777" w:rsidTr="00CA4421">
        <w:tc>
          <w:tcPr>
            <w:tcW w:w="9486" w:type="dxa"/>
            <w:shd w:val="clear" w:color="auto" w:fill="CFDCE3"/>
          </w:tcPr>
          <w:p w14:paraId="4641AE9E" w14:textId="2758D317" w:rsidR="00ED5108" w:rsidRPr="00E86F05" w:rsidRDefault="009D71E8" w:rsidP="00ED5108">
            <w:pPr>
              <w:spacing w:before="60" w:after="60"/>
              <w:rPr>
                <w:b/>
                <w:bCs/>
              </w:rPr>
            </w:pPr>
            <w:r>
              <w:rPr>
                <w:i/>
                <w:iCs/>
              </w:rPr>
              <w:t xml:space="preserve">For schools that receive this funding, you may wish to provide the following information: </w:t>
            </w:r>
            <w:r w:rsidR="00ED5108" w:rsidRPr="00E86F05">
              <w:rPr>
                <w:b/>
                <w:bCs/>
                <w:color w:val="000000"/>
                <w:szCs w:val="28"/>
              </w:rPr>
              <w:t>How our service pupil premium allocation was spent last academic year</w:t>
            </w:r>
          </w:p>
        </w:tc>
      </w:tr>
      <w:tr w:rsidR="00ED5108" w14:paraId="3EA0D00B" w14:textId="77777777" w:rsidTr="00ED5108">
        <w:tc>
          <w:tcPr>
            <w:tcW w:w="9486" w:type="dxa"/>
          </w:tcPr>
          <w:p w14:paraId="5AA67344" w14:textId="21D5BC58" w:rsidR="00ED5108" w:rsidRDefault="0009513F">
            <w:r>
              <w:t>N/A</w:t>
            </w:r>
          </w:p>
        </w:tc>
      </w:tr>
      <w:tr w:rsidR="00ED5108" w14:paraId="2D016C33" w14:textId="77777777" w:rsidTr="00CA4421">
        <w:tc>
          <w:tcPr>
            <w:tcW w:w="9486" w:type="dxa"/>
            <w:shd w:val="clear" w:color="auto" w:fill="CFDCE3"/>
          </w:tcPr>
          <w:p w14:paraId="3A5A15C1" w14:textId="789D6271" w:rsidR="00ED5108" w:rsidRPr="00E86F05" w:rsidRDefault="00ED5108" w:rsidP="00ED5108">
            <w:pPr>
              <w:spacing w:before="60" w:after="60"/>
              <w:rPr>
                <w:b/>
                <w:bCs/>
              </w:rPr>
            </w:pPr>
            <w:r w:rsidRPr="00E86F05">
              <w:rPr>
                <w:b/>
                <w:bCs/>
                <w:color w:val="000000"/>
                <w:szCs w:val="28"/>
              </w:rPr>
              <w:t>The impact of that spending on service pupil premium eligible pupils</w:t>
            </w:r>
          </w:p>
        </w:tc>
      </w:tr>
      <w:tr w:rsidR="00ED5108" w14:paraId="703D7ACC" w14:textId="77777777" w:rsidTr="00ED5108">
        <w:tc>
          <w:tcPr>
            <w:tcW w:w="9486" w:type="dxa"/>
          </w:tcPr>
          <w:p w14:paraId="2AA0A743" w14:textId="09D5C13A" w:rsidR="00ED5108" w:rsidRDefault="008F5108">
            <w:r>
              <w:t>N/A</w:t>
            </w:r>
          </w:p>
        </w:tc>
      </w:tr>
    </w:tbl>
    <w:p w14:paraId="2A7D555F" w14:textId="77777777" w:rsidR="00E66558" w:rsidRDefault="00E66558">
      <w:pPr>
        <w:spacing w:after="0" w:line="240" w:lineRule="auto"/>
      </w:pPr>
    </w:p>
    <w:bookmarkEnd w:id="14"/>
    <w:bookmarkEnd w:id="15"/>
    <w:bookmarkEnd w:id="16"/>
    <w:p w14:paraId="2A7D5564" w14:textId="77777777" w:rsidR="00E66558" w:rsidRDefault="00E66558"/>
    <w:sectPr w:rsidR="00E66558">
      <w:headerReference w:type="default" r:id="rId11"/>
      <w:footerReference w:type="default" r:id="rId1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1BD5D" w14:textId="77777777" w:rsidR="00116AF8" w:rsidRDefault="00116AF8">
      <w:pPr>
        <w:spacing w:after="0" w:line="240" w:lineRule="auto"/>
      </w:pPr>
      <w:r>
        <w:separator/>
      </w:r>
    </w:p>
  </w:endnote>
  <w:endnote w:type="continuationSeparator" w:id="0">
    <w:p w14:paraId="474153CD" w14:textId="77777777" w:rsidR="00116AF8" w:rsidRDefault="00116AF8">
      <w:pPr>
        <w:spacing w:after="0" w:line="240" w:lineRule="auto"/>
      </w:pPr>
      <w:r>
        <w:continuationSeparator/>
      </w:r>
    </w:p>
  </w:endnote>
  <w:endnote w:type="continuationNotice" w:id="1">
    <w:p w14:paraId="0AA5C9B0" w14:textId="77777777" w:rsidR="00116AF8" w:rsidRDefault="00116A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2CD55" w14:textId="77777777" w:rsidR="00116AF8" w:rsidRDefault="00116AF8">
      <w:pPr>
        <w:spacing w:after="0" w:line="240" w:lineRule="auto"/>
      </w:pPr>
      <w:r>
        <w:separator/>
      </w:r>
    </w:p>
  </w:footnote>
  <w:footnote w:type="continuationSeparator" w:id="0">
    <w:p w14:paraId="2BDC2A96" w14:textId="77777777" w:rsidR="00116AF8" w:rsidRDefault="00116AF8">
      <w:pPr>
        <w:spacing w:after="0" w:line="240" w:lineRule="auto"/>
      </w:pPr>
      <w:r>
        <w:continuationSeparator/>
      </w:r>
    </w:p>
  </w:footnote>
  <w:footnote w:type="continuationNotice" w:id="1">
    <w:p w14:paraId="050F9A86" w14:textId="77777777" w:rsidR="00116AF8" w:rsidRDefault="00116A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4CE6088"/>
    <w:multiLevelType w:val="hybridMultilevel"/>
    <w:tmpl w:val="89BECF5C"/>
    <w:lvl w:ilvl="0" w:tplc="D18EB24C">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A76197"/>
    <w:multiLevelType w:val="hybridMultilevel"/>
    <w:tmpl w:val="20A2677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 w15:restartNumberingAfterBreak="0">
    <w:nsid w:val="1A9C7F97"/>
    <w:multiLevelType w:val="hybridMultilevel"/>
    <w:tmpl w:val="3E30159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8" w15:restartNumberingAfterBreak="0">
    <w:nsid w:val="2E104510"/>
    <w:multiLevelType w:val="hybridMultilevel"/>
    <w:tmpl w:val="5AD650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71B4664"/>
    <w:multiLevelType w:val="hybridMultilevel"/>
    <w:tmpl w:val="67C68780"/>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1"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5F2719"/>
    <w:multiLevelType w:val="multilevel"/>
    <w:tmpl w:val="523AD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115D72"/>
    <w:multiLevelType w:val="hybridMultilevel"/>
    <w:tmpl w:val="EABE0B8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5"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36E45B3"/>
    <w:multiLevelType w:val="hybridMultilevel"/>
    <w:tmpl w:val="3E00E36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9"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0"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1" w15:restartNumberingAfterBreak="0">
    <w:nsid w:val="75BF5F2F"/>
    <w:multiLevelType w:val="hybridMultilevel"/>
    <w:tmpl w:val="76308C1E"/>
    <w:lvl w:ilvl="0" w:tplc="F7C8639A">
      <w:start w:val="1"/>
      <w:numFmt w:val="bullet"/>
      <w:lvlText w:val="-"/>
      <w:lvlJc w:val="left"/>
      <w:pPr>
        <w:ind w:left="417" w:hanging="360"/>
      </w:pPr>
      <w:rPr>
        <w:rFonts w:ascii="Arial" w:eastAsia="Times New Roman" w:hAnsi="Arial" w:cs="Arial" w:hint="default"/>
        <w:sz w:val="22"/>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2"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4711259">
    <w:abstractNumId w:val="6"/>
  </w:num>
  <w:num w:numId="2" w16cid:durableId="1628730595">
    <w:abstractNumId w:val="4"/>
  </w:num>
  <w:num w:numId="3" w16cid:durableId="497188144">
    <w:abstractNumId w:val="7"/>
  </w:num>
  <w:num w:numId="4" w16cid:durableId="1138914232">
    <w:abstractNumId w:val="9"/>
  </w:num>
  <w:num w:numId="5" w16cid:durableId="857932188">
    <w:abstractNumId w:val="0"/>
  </w:num>
  <w:num w:numId="6" w16cid:durableId="798501009">
    <w:abstractNumId w:val="11"/>
  </w:num>
  <w:num w:numId="7" w16cid:durableId="1210847263">
    <w:abstractNumId w:val="17"/>
  </w:num>
  <w:num w:numId="8" w16cid:durableId="982348153">
    <w:abstractNumId w:val="22"/>
  </w:num>
  <w:num w:numId="9" w16cid:durableId="1529290868">
    <w:abstractNumId w:val="19"/>
  </w:num>
  <w:num w:numId="10" w16cid:durableId="1171066271">
    <w:abstractNumId w:val="18"/>
  </w:num>
  <w:num w:numId="11" w16cid:durableId="1453552857">
    <w:abstractNumId w:val="5"/>
  </w:num>
  <w:num w:numId="12" w16cid:durableId="1812097430">
    <w:abstractNumId w:val="20"/>
  </w:num>
  <w:num w:numId="13" w16cid:durableId="42288650">
    <w:abstractNumId w:val="15"/>
  </w:num>
  <w:num w:numId="14" w16cid:durableId="1721712531">
    <w:abstractNumId w:val="12"/>
  </w:num>
  <w:num w:numId="15" w16cid:durableId="2020808772">
    <w:abstractNumId w:val="14"/>
  </w:num>
  <w:num w:numId="16" w16cid:durableId="539245925">
    <w:abstractNumId w:val="3"/>
  </w:num>
  <w:num w:numId="17" w16cid:durableId="1330060556">
    <w:abstractNumId w:val="10"/>
  </w:num>
  <w:num w:numId="18" w16cid:durableId="622230914">
    <w:abstractNumId w:val="2"/>
  </w:num>
  <w:num w:numId="19" w16cid:durableId="2044479792">
    <w:abstractNumId w:val="21"/>
  </w:num>
  <w:num w:numId="20" w16cid:durableId="480468743">
    <w:abstractNumId w:val="13"/>
  </w:num>
  <w:num w:numId="21" w16cid:durableId="68626076">
    <w:abstractNumId w:val="16"/>
  </w:num>
  <w:num w:numId="22" w16cid:durableId="1368799428">
    <w:abstractNumId w:val="1"/>
  </w:num>
  <w:num w:numId="23" w16cid:durableId="6779229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23729"/>
    <w:rsid w:val="000243B4"/>
    <w:rsid w:val="0002530E"/>
    <w:rsid w:val="0002710D"/>
    <w:rsid w:val="00032A9A"/>
    <w:rsid w:val="00033802"/>
    <w:rsid w:val="00036678"/>
    <w:rsid w:val="000452EB"/>
    <w:rsid w:val="00045603"/>
    <w:rsid w:val="000463AE"/>
    <w:rsid w:val="000507A3"/>
    <w:rsid w:val="00056EC9"/>
    <w:rsid w:val="00060A62"/>
    <w:rsid w:val="00064366"/>
    <w:rsid w:val="00066B73"/>
    <w:rsid w:val="00071481"/>
    <w:rsid w:val="00075FAE"/>
    <w:rsid w:val="00082F38"/>
    <w:rsid w:val="000837DB"/>
    <w:rsid w:val="0008384B"/>
    <w:rsid w:val="000929EC"/>
    <w:rsid w:val="00093CDE"/>
    <w:rsid w:val="0009513F"/>
    <w:rsid w:val="000A49F0"/>
    <w:rsid w:val="000A5C58"/>
    <w:rsid w:val="000A6379"/>
    <w:rsid w:val="000B0D49"/>
    <w:rsid w:val="000B203E"/>
    <w:rsid w:val="000D22B0"/>
    <w:rsid w:val="000D35C9"/>
    <w:rsid w:val="000D520C"/>
    <w:rsid w:val="000D641B"/>
    <w:rsid w:val="000D6596"/>
    <w:rsid w:val="000D6779"/>
    <w:rsid w:val="000E6DF0"/>
    <w:rsid w:val="001037CB"/>
    <w:rsid w:val="0010629E"/>
    <w:rsid w:val="00114288"/>
    <w:rsid w:val="00115538"/>
    <w:rsid w:val="00116AF8"/>
    <w:rsid w:val="00116FA8"/>
    <w:rsid w:val="00120AB1"/>
    <w:rsid w:val="00123A7F"/>
    <w:rsid w:val="001278D0"/>
    <w:rsid w:val="00127F72"/>
    <w:rsid w:val="00131105"/>
    <w:rsid w:val="00140646"/>
    <w:rsid w:val="00147A4B"/>
    <w:rsid w:val="00152554"/>
    <w:rsid w:val="001550F5"/>
    <w:rsid w:val="00155944"/>
    <w:rsid w:val="001559D7"/>
    <w:rsid w:val="00156C36"/>
    <w:rsid w:val="0016496B"/>
    <w:rsid w:val="0016523C"/>
    <w:rsid w:val="001671ED"/>
    <w:rsid w:val="00170714"/>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2A25"/>
    <w:rsid w:val="001948FB"/>
    <w:rsid w:val="00195B55"/>
    <w:rsid w:val="001A2FE8"/>
    <w:rsid w:val="001A33AC"/>
    <w:rsid w:val="001C1C51"/>
    <w:rsid w:val="001D03C9"/>
    <w:rsid w:val="001D0E85"/>
    <w:rsid w:val="001D3826"/>
    <w:rsid w:val="001D4FC9"/>
    <w:rsid w:val="001E0ECA"/>
    <w:rsid w:val="001E206F"/>
    <w:rsid w:val="001E5750"/>
    <w:rsid w:val="001E66BA"/>
    <w:rsid w:val="001E7124"/>
    <w:rsid w:val="001E7739"/>
    <w:rsid w:val="001F054D"/>
    <w:rsid w:val="001F3DB4"/>
    <w:rsid w:val="001F4EC2"/>
    <w:rsid w:val="001F7564"/>
    <w:rsid w:val="00203DB9"/>
    <w:rsid w:val="00204F40"/>
    <w:rsid w:val="00205DEF"/>
    <w:rsid w:val="002112C3"/>
    <w:rsid w:val="002131E5"/>
    <w:rsid w:val="00216C8A"/>
    <w:rsid w:val="00220446"/>
    <w:rsid w:val="00226317"/>
    <w:rsid w:val="002265B5"/>
    <w:rsid w:val="00231539"/>
    <w:rsid w:val="00242093"/>
    <w:rsid w:val="00243F22"/>
    <w:rsid w:val="00251016"/>
    <w:rsid w:val="002523E3"/>
    <w:rsid w:val="00252AD6"/>
    <w:rsid w:val="002542CE"/>
    <w:rsid w:val="00257A4E"/>
    <w:rsid w:val="00266FA5"/>
    <w:rsid w:val="00276FBA"/>
    <w:rsid w:val="00277665"/>
    <w:rsid w:val="00277B54"/>
    <w:rsid w:val="002837AE"/>
    <w:rsid w:val="00290373"/>
    <w:rsid w:val="00290583"/>
    <w:rsid w:val="002920F4"/>
    <w:rsid w:val="002940F3"/>
    <w:rsid w:val="00295842"/>
    <w:rsid w:val="002A0D25"/>
    <w:rsid w:val="002A5209"/>
    <w:rsid w:val="002B3574"/>
    <w:rsid w:val="002B6673"/>
    <w:rsid w:val="002B6B74"/>
    <w:rsid w:val="002C6AE7"/>
    <w:rsid w:val="002D2D4B"/>
    <w:rsid w:val="002D3805"/>
    <w:rsid w:val="002E66AE"/>
    <w:rsid w:val="002E7763"/>
    <w:rsid w:val="002F4C6F"/>
    <w:rsid w:val="002F5011"/>
    <w:rsid w:val="002F5842"/>
    <w:rsid w:val="002F7847"/>
    <w:rsid w:val="00306CB7"/>
    <w:rsid w:val="00307246"/>
    <w:rsid w:val="003111F5"/>
    <w:rsid w:val="00312BE6"/>
    <w:rsid w:val="00317664"/>
    <w:rsid w:val="00336200"/>
    <w:rsid w:val="00337418"/>
    <w:rsid w:val="0034173C"/>
    <w:rsid w:val="00341AA1"/>
    <w:rsid w:val="003442A1"/>
    <w:rsid w:val="003468B4"/>
    <w:rsid w:val="00351D83"/>
    <w:rsid w:val="00352197"/>
    <w:rsid w:val="00353E46"/>
    <w:rsid w:val="003576C4"/>
    <w:rsid w:val="00360AFE"/>
    <w:rsid w:val="0036277A"/>
    <w:rsid w:val="00366AB0"/>
    <w:rsid w:val="003700E8"/>
    <w:rsid w:val="0037437C"/>
    <w:rsid w:val="00380573"/>
    <w:rsid w:val="0038146B"/>
    <w:rsid w:val="0038340F"/>
    <w:rsid w:val="00384457"/>
    <w:rsid w:val="00384F24"/>
    <w:rsid w:val="00393903"/>
    <w:rsid w:val="003A32B2"/>
    <w:rsid w:val="003A47DD"/>
    <w:rsid w:val="003A5F67"/>
    <w:rsid w:val="003A634F"/>
    <w:rsid w:val="003B110A"/>
    <w:rsid w:val="003B14C1"/>
    <w:rsid w:val="003B2884"/>
    <w:rsid w:val="003B588A"/>
    <w:rsid w:val="003B621D"/>
    <w:rsid w:val="003C30DF"/>
    <w:rsid w:val="003C4388"/>
    <w:rsid w:val="003C4C27"/>
    <w:rsid w:val="003C79B8"/>
    <w:rsid w:val="003C7F7B"/>
    <w:rsid w:val="003D0CD6"/>
    <w:rsid w:val="003D2EAA"/>
    <w:rsid w:val="003E054C"/>
    <w:rsid w:val="003E1EC5"/>
    <w:rsid w:val="003E27A0"/>
    <w:rsid w:val="003E3872"/>
    <w:rsid w:val="00401FF9"/>
    <w:rsid w:val="004044AA"/>
    <w:rsid w:val="004044C8"/>
    <w:rsid w:val="00404F3F"/>
    <w:rsid w:val="00406C3E"/>
    <w:rsid w:val="00410B5D"/>
    <w:rsid w:val="00413BEC"/>
    <w:rsid w:val="0042265E"/>
    <w:rsid w:val="00423D61"/>
    <w:rsid w:val="00424ED7"/>
    <w:rsid w:val="00425258"/>
    <w:rsid w:val="00426217"/>
    <w:rsid w:val="00431A80"/>
    <w:rsid w:val="0043229C"/>
    <w:rsid w:val="00435A89"/>
    <w:rsid w:val="00436612"/>
    <w:rsid w:val="004427ED"/>
    <w:rsid w:val="00452267"/>
    <w:rsid w:val="00453307"/>
    <w:rsid w:val="004545D6"/>
    <w:rsid w:val="00455A02"/>
    <w:rsid w:val="00457E36"/>
    <w:rsid w:val="00460BD3"/>
    <w:rsid w:val="00462F8F"/>
    <w:rsid w:val="004708F2"/>
    <w:rsid w:val="004724DE"/>
    <w:rsid w:val="00473449"/>
    <w:rsid w:val="004770FE"/>
    <w:rsid w:val="0048157F"/>
    <w:rsid w:val="00481D56"/>
    <w:rsid w:val="00484431"/>
    <w:rsid w:val="00490408"/>
    <w:rsid w:val="0049152B"/>
    <w:rsid w:val="004A2601"/>
    <w:rsid w:val="004A4C45"/>
    <w:rsid w:val="004B0485"/>
    <w:rsid w:val="004B428E"/>
    <w:rsid w:val="004B4D0A"/>
    <w:rsid w:val="004B4D37"/>
    <w:rsid w:val="004C42F0"/>
    <w:rsid w:val="004C72AB"/>
    <w:rsid w:val="004D02B1"/>
    <w:rsid w:val="004D3129"/>
    <w:rsid w:val="004D50C8"/>
    <w:rsid w:val="004D6B72"/>
    <w:rsid w:val="004E1D73"/>
    <w:rsid w:val="004E72DD"/>
    <w:rsid w:val="004F35E1"/>
    <w:rsid w:val="005025FB"/>
    <w:rsid w:val="00503462"/>
    <w:rsid w:val="00503B9D"/>
    <w:rsid w:val="00505819"/>
    <w:rsid w:val="00506979"/>
    <w:rsid w:val="0051286E"/>
    <w:rsid w:val="00516021"/>
    <w:rsid w:val="00516457"/>
    <w:rsid w:val="00516641"/>
    <w:rsid w:val="0051729F"/>
    <w:rsid w:val="00520A0C"/>
    <w:rsid w:val="0052229D"/>
    <w:rsid w:val="00530E37"/>
    <w:rsid w:val="0053417F"/>
    <w:rsid w:val="00535946"/>
    <w:rsid w:val="005452CF"/>
    <w:rsid w:val="005464A1"/>
    <w:rsid w:val="00546F12"/>
    <w:rsid w:val="0055339C"/>
    <w:rsid w:val="005542CC"/>
    <w:rsid w:val="00560424"/>
    <w:rsid w:val="00562B3C"/>
    <w:rsid w:val="00564E40"/>
    <w:rsid w:val="00572A1F"/>
    <w:rsid w:val="005750E2"/>
    <w:rsid w:val="005768CF"/>
    <w:rsid w:val="00581393"/>
    <w:rsid w:val="0058313F"/>
    <w:rsid w:val="00585859"/>
    <w:rsid w:val="00586FBC"/>
    <w:rsid w:val="005879C9"/>
    <w:rsid w:val="005928E6"/>
    <w:rsid w:val="00594CAD"/>
    <w:rsid w:val="005A1D0B"/>
    <w:rsid w:val="005A3C6B"/>
    <w:rsid w:val="005A4542"/>
    <w:rsid w:val="005B1EA5"/>
    <w:rsid w:val="005C4279"/>
    <w:rsid w:val="005C4F97"/>
    <w:rsid w:val="005C54A0"/>
    <w:rsid w:val="005D0D15"/>
    <w:rsid w:val="005D7176"/>
    <w:rsid w:val="005E18CB"/>
    <w:rsid w:val="005E1F24"/>
    <w:rsid w:val="005E3667"/>
    <w:rsid w:val="005E73F1"/>
    <w:rsid w:val="005F07EF"/>
    <w:rsid w:val="005F16B6"/>
    <w:rsid w:val="005F189E"/>
    <w:rsid w:val="005F5224"/>
    <w:rsid w:val="00600B2E"/>
    <w:rsid w:val="00601122"/>
    <w:rsid w:val="00606521"/>
    <w:rsid w:val="00607CEB"/>
    <w:rsid w:val="00610B6B"/>
    <w:rsid w:val="00613299"/>
    <w:rsid w:val="00614267"/>
    <w:rsid w:val="00615B0C"/>
    <w:rsid w:val="0061762D"/>
    <w:rsid w:val="00625D83"/>
    <w:rsid w:val="00634238"/>
    <w:rsid w:val="00635FBC"/>
    <w:rsid w:val="00637728"/>
    <w:rsid w:val="0064113A"/>
    <w:rsid w:val="0064167B"/>
    <w:rsid w:val="00644002"/>
    <w:rsid w:val="006458B1"/>
    <w:rsid w:val="00650529"/>
    <w:rsid w:val="00650BAB"/>
    <w:rsid w:val="00651737"/>
    <w:rsid w:val="006652DD"/>
    <w:rsid w:val="00665B4C"/>
    <w:rsid w:val="006671BF"/>
    <w:rsid w:val="00671A26"/>
    <w:rsid w:val="00672A7D"/>
    <w:rsid w:val="00681416"/>
    <w:rsid w:val="00685A8A"/>
    <w:rsid w:val="006A06F5"/>
    <w:rsid w:val="006A0ED2"/>
    <w:rsid w:val="006B0A73"/>
    <w:rsid w:val="006B10AA"/>
    <w:rsid w:val="006B5A6B"/>
    <w:rsid w:val="006C0F82"/>
    <w:rsid w:val="006C25E8"/>
    <w:rsid w:val="006C332E"/>
    <w:rsid w:val="006C4104"/>
    <w:rsid w:val="006C5901"/>
    <w:rsid w:val="006D00F1"/>
    <w:rsid w:val="006D377A"/>
    <w:rsid w:val="006D4222"/>
    <w:rsid w:val="006D6372"/>
    <w:rsid w:val="006D68C4"/>
    <w:rsid w:val="006D6E5C"/>
    <w:rsid w:val="006E02AF"/>
    <w:rsid w:val="006E0786"/>
    <w:rsid w:val="006E1A8D"/>
    <w:rsid w:val="006E203D"/>
    <w:rsid w:val="006E4828"/>
    <w:rsid w:val="006E6B4A"/>
    <w:rsid w:val="006E7449"/>
    <w:rsid w:val="006E7FB1"/>
    <w:rsid w:val="006F2604"/>
    <w:rsid w:val="006F4279"/>
    <w:rsid w:val="006F5319"/>
    <w:rsid w:val="006F55FD"/>
    <w:rsid w:val="006F5D21"/>
    <w:rsid w:val="00704A70"/>
    <w:rsid w:val="007109F6"/>
    <w:rsid w:val="0071184D"/>
    <w:rsid w:val="00711BE3"/>
    <w:rsid w:val="00720DE6"/>
    <w:rsid w:val="00721B51"/>
    <w:rsid w:val="00724FA7"/>
    <w:rsid w:val="00725415"/>
    <w:rsid w:val="00727505"/>
    <w:rsid w:val="00731581"/>
    <w:rsid w:val="00734562"/>
    <w:rsid w:val="0073481D"/>
    <w:rsid w:val="00741B9E"/>
    <w:rsid w:val="00741D2C"/>
    <w:rsid w:val="00743DAC"/>
    <w:rsid w:val="007455B3"/>
    <w:rsid w:val="007502CD"/>
    <w:rsid w:val="00750E3B"/>
    <w:rsid w:val="00752AE7"/>
    <w:rsid w:val="00752D3B"/>
    <w:rsid w:val="0075337B"/>
    <w:rsid w:val="00755401"/>
    <w:rsid w:val="00755CD4"/>
    <w:rsid w:val="00757F96"/>
    <w:rsid w:val="007610B5"/>
    <w:rsid w:val="007623CB"/>
    <w:rsid w:val="00762652"/>
    <w:rsid w:val="00762EB2"/>
    <w:rsid w:val="0076404E"/>
    <w:rsid w:val="00764551"/>
    <w:rsid w:val="007677B8"/>
    <w:rsid w:val="00781713"/>
    <w:rsid w:val="00785285"/>
    <w:rsid w:val="0078529D"/>
    <w:rsid w:val="00785E77"/>
    <w:rsid w:val="0078629B"/>
    <w:rsid w:val="00787DC1"/>
    <w:rsid w:val="00794070"/>
    <w:rsid w:val="007A63CA"/>
    <w:rsid w:val="007A713B"/>
    <w:rsid w:val="007A7DA0"/>
    <w:rsid w:val="007B44FE"/>
    <w:rsid w:val="007B5972"/>
    <w:rsid w:val="007B64E5"/>
    <w:rsid w:val="007C2F04"/>
    <w:rsid w:val="007E13D5"/>
    <w:rsid w:val="007E6C74"/>
    <w:rsid w:val="007F06E5"/>
    <w:rsid w:val="007F5B8B"/>
    <w:rsid w:val="00803F55"/>
    <w:rsid w:val="00817E9A"/>
    <w:rsid w:val="00827786"/>
    <w:rsid w:val="00827BDA"/>
    <w:rsid w:val="00830D57"/>
    <w:rsid w:val="00831F00"/>
    <w:rsid w:val="00850CA0"/>
    <w:rsid w:val="00852A2F"/>
    <w:rsid w:val="0085490C"/>
    <w:rsid w:val="008608EE"/>
    <w:rsid w:val="00860B07"/>
    <w:rsid w:val="008616F6"/>
    <w:rsid w:val="0086259C"/>
    <w:rsid w:val="008674ED"/>
    <w:rsid w:val="0087074C"/>
    <w:rsid w:val="008811D7"/>
    <w:rsid w:val="00883F24"/>
    <w:rsid w:val="008945D7"/>
    <w:rsid w:val="00897E1F"/>
    <w:rsid w:val="008A3E8E"/>
    <w:rsid w:val="008B2CB4"/>
    <w:rsid w:val="008B3D82"/>
    <w:rsid w:val="008B5503"/>
    <w:rsid w:val="008B6404"/>
    <w:rsid w:val="008C2C21"/>
    <w:rsid w:val="008C7DD3"/>
    <w:rsid w:val="008D22EF"/>
    <w:rsid w:val="008D50C6"/>
    <w:rsid w:val="008E000B"/>
    <w:rsid w:val="008E2926"/>
    <w:rsid w:val="008E35C6"/>
    <w:rsid w:val="008E399B"/>
    <w:rsid w:val="008E3F49"/>
    <w:rsid w:val="008E7FBC"/>
    <w:rsid w:val="008F243B"/>
    <w:rsid w:val="008F4675"/>
    <w:rsid w:val="008F50FE"/>
    <w:rsid w:val="008F5108"/>
    <w:rsid w:val="008F69CD"/>
    <w:rsid w:val="00901E60"/>
    <w:rsid w:val="00904A66"/>
    <w:rsid w:val="00905029"/>
    <w:rsid w:val="00921A3A"/>
    <w:rsid w:val="0092287F"/>
    <w:rsid w:val="00924407"/>
    <w:rsid w:val="0092495B"/>
    <w:rsid w:val="0092660E"/>
    <w:rsid w:val="00936519"/>
    <w:rsid w:val="00941DA3"/>
    <w:rsid w:val="009426C8"/>
    <w:rsid w:val="00942C0C"/>
    <w:rsid w:val="00951711"/>
    <w:rsid w:val="009539E3"/>
    <w:rsid w:val="00954A5E"/>
    <w:rsid w:val="009551B2"/>
    <w:rsid w:val="0096022C"/>
    <w:rsid w:val="00960A58"/>
    <w:rsid w:val="00964625"/>
    <w:rsid w:val="0097613C"/>
    <w:rsid w:val="00980937"/>
    <w:rsid w:val="00981C1D"/>
    <w:rsid w:val="0099109C"/>
    <w:rsid w:val="009936DB"/>
    <w:rsid w:val="00993CFC"/>
    <w:rsid w:val="009A1DC2"/>
    <w:rsid w:val="009A5EEA"/>
    <w:rsid w:val="009B0906"/>
    <w:rsid w:val="009B38F2"/>
    <w:rsid w:val="009B4242"/>
    <w:rsid w:val="009B7433"/>
    <w:rsid w:val="009C0914"/>
    <w:rsid w:val="009C27E5"/>
    <w:rsid w:val="009D24A1"/>
    <w:rsid w:val="009D3891"/>
    <w:rsid w:val="009D6C5A"/>
    <w:rsid w:val="009D71E8"/>
    <w:rsid w:val="009E104B"/>
    <w:rsid w:val="009E7DE4"/>
    <w:rsid w:val="009F2943"/>
    <w:rsid w:val="009F3BBD"/>
    <w:rsid w:val="009F45E5"/>
    <w:rsid w:val="009F6C07"/>
    <w:rsid w:val="00A022AB"/>
    <w:rsid w:val="00A063DD"/>
    <w:rsid w:val="00A112B5"/>
    <w:rsid w:val="00A14EEA"/>
    <w:rsid w:val="00A33636"/>
    <w:rsid w:val="00A36FB2"/>
    <w:rsid w:val="00A44FBB"/>
    <w:rsid w:val="00A50104"/>
    <w:rsid w:val="00A522E0"/>
    <w:rsid w:val="00A52823"/>
    <w:rsid w:val="00A55C54"/>
    <w:rsid w:val="00A63579"/>
    <w:rsid w:val="00A638AC"/>
    <w:rsid w:val="00A64475"/>
    <w:rsid w:val="00A727E5"/>
    <w:rsid w:val="00A748B5"/>
    <w:rsid w:val="00A80A32"/>
    <w:rsid w:val="00A80DF3"/>
    <w:rsid w:val="00A80E93"/>
    <w:rsid w:val="00A82A98"/>
    <w:rsid w:val="00A82D16"/>
    <w:rsid w:val="00A852F2"/>
    <w:rsid w:val="00A8712A"/>
    <w:rsid w:val="00A95F75"/>
    <w:rsid w:val="00A968DA"/>
    <w:rsid w:val="00A96B83"/>
    <w:rsid w:val="00AA355B"/>
    <w:rsid w:val="00AA42E5"/>
    <w:rsid w:val="00AB03F4"/>
    <w:rsid w:val="00AB24FA"/>
    <w:rsid w:val="00AB4081"/>
    <w:rsid w:val="00AD35EA"/>
    <w:rsid w:val="00AD4579"/>
    <w:rsid w:val="00AD5B92"/>
    <w:rsid w:val="00AD7B5A"/>
    <w:rsid w:val="00AE229F"/>
    <w:rsid w:val="00AF5E20"/>
    <w:rsid w:val="00AF66BC"/>
    <w:rsid w:val="00AF6CF2"/>
    <w:rsid w:val="00B002FA"/>
    <w:rsid w:val="00B00327"/>
    <w:rsid w:val="00B024B3"/>
    <w:rsid w:val="00B11DE8"/>
    <w:rsid w:val="00B13ECE"/>
    <w:rsid w:val="00B17174"/>
    <w:rsid w:val="00B179ED"/>
    <w:rsid w:val="00B20E18"/>
    <w:rsid w:val="00B331E1"/>
    <w:rsid w:val="00B355FE"/>
    <w:rsid w:val="00B37755"/>
    <w:rsid w:val="00B50D6E"/>
    <w:rsid w:val="00B5398E"/>
    <w:rsid w:val="00B54DF6"/>
    <w:rsid w:val="00B572C4"/>
    <w:rsid w:val="00B60858"/>
    <w:rsid w:val="00B67DEA"/>
    <w:rsid w:val="00B74D4E"/>
    <w:rsid w:val="00B777BC"/>
    <w:rsid w:val="00B80219"/>
    <w:rsid w:val="00B84B24"/>
    <w:rsid w:val="00B87184"/>
    <w:rsid w:val="00B91453"/>
    <w:rsid w:val="00B92C21"/>
    <w:rsid w:val="00BA19A5"/>
    <w:rsid w:val="00BC078B"/>
    <w:rsid w:val="00BC3A7D"/>
    <w:rsid w:val="00BC67F6"/>
    <w:rsid w:val="00BD1D00"/>
    <w:rsid w:val="00BD2004"/>
    <w:rsid w:val="00BD4B12"/>
    <w:rsid w:val="00BD700D"/>
    <w:rsid w:val="00BE0104"/>
    <w:rsid w:val="00BE2F92"/>
    <w:rsid w:val="00BE44AC"/>
    <w:rsid w:val="00BF0D5F"/>
    <w:rsid w:val="00BF59B3"/>
    <w:rsid w:val="00BF6F95"/>
    <w:rsid w:val="00C10A83"/>
    <w:rsid w:val="00C10BCF"/>
    <w:rsid w:val="00C11EB4"/>
    <w:rsid w:val="00C12746"/>
    <w:rsid w:val="00C23C11"/>
    <w:rsid w:val="00C25827"/>
    <w:rsid w:val="00C31BB8"/>
    <w:rsid w:val="00C3262D"/>
    <w:rsid w:val="00C3675B"/>
    <w:rsid w:val="00C373D1"/>
    <w:rsid w:val="00C373EA"/>
    <w:rsid w:val="00C43CA3"/>
    <w:rsid w:val="00C43D9D"/>
    <w:rsid w:val="00C43EA4"/>
    <w:rsid w:val="00C44A24"/>
    <w:rsid w:val="00C50040"/>
    <w:rsid w:val="00C52DFF"/>
    <w:rsid w:val="00C5500D"/>
    <w:rsid w:val="00C621C1"/>
    <w:rsid w:val="00C62989"/>
    <w:rsid w:val="00C65CBB"/>
    <w:rsid w:val="00C718D2"/>
    <w:rsid w:val="00C73578"/>
    <w:rsid w:val="00C74684"/>
    <w:rsid w:val="00C77FEF"/>
    <w:rsid w:val="00C80F37"/>
    <w:rsid w:val="00C83659"/>
    <w:rsid w:val="00C92F18"/>
    <w:rsid w:val="00C97A7F"/>
    <w:rsid w:val="00CA4421"/>
    <w:rsid w:val="00CA5363"/>
    <w:rsid w:val="00CA7D07"/>
    <w:rsid w:val="00CB24A4"/>
    <w:rsid w:val="00CB5B17"/>
    <w:rsid w:val="00CC4443"/>
    <w:rsid w:val="00CC5CAF"/>
    <w:rsid w:val="00D024D7"/>
    <w:rsid w:val="00D06874"/>
    <w:rsid w:val="00D07530"/>
    <w:rsid w:val="00D112E4"/>
    <w:rsid w:val="00D173F7"/>
    <w:rsid w:val="00D20203"/>
    <w:rsid w:val="00D204E0"/>
    <w:rsid w:val="00D21354"/>
    <w:rsid w:val="00D22400"/>
    <w:rsid w:val="00D23F4A"/>
    <w:rsid w:val="00D24077"/>
    <w:rsid w:val="00D264E2"/>
    <w:rsid w:val="00D278BA"/>
    <w:rsid w:val="00D33FE5"/>
    <w:rsid w:val="00D348C0"/>
    <w:rsid w:val="00D3578A"/>
    <w:rsid w:val="00D43A15"/>
    <w:rsid w:val="00D4463C"/>
    <w:rsid w:val="00D501EE"/>
    <w:rsid w:val="00D517DC"/>
    <w:rsid w:val="00D5360D"/>
    <w:rsid w:val="00D5590D"/>
    <w:rsid w:val="00D618E4"/>
    <w:rsid w:val="00D61DA5"/>
    <w:rsid w:val="00D642A3"/>
    <w:rsid w:val="00D71B8A"/>
    <w:rsid w:val="00D72C08"/>
    <w:rsid w:val="00D81325"/>
    <w:rsid w:val="00D875ED"/>
    <w:rsid w:val="00D877D0"/>
    <w:rsid w:val="00D90013"/>
    <w:rsid w:val="00D91B9C"/>
    <w:rsid w:val="00D91F7C"/>
    <w:rsid w:val="00D92C1B"/>
    <w:rsid w:val="00D94CC7"/>
    <w:rsid w:val="00DA1AF4"/>
    <w:rsid w:val="00DA212D"/>
    <w:rsid w:val="00DB0C60"/>
    <w:rsid w:val="00DB69A2"/>
    <w:rsid w:val="00DC641A"/>
    <w:rsid w:val="00DD21A1"/>
    <w:rsid w:val="00DD6B7D"/>
    <w:rsid w:val="00DD6E14"/>
    <w:rsid w:val="00DE15AC"/>
    <w:rsid w:val="00DE192A"/>
    <w:rsid w:val="00DE31AC"/>
    <w:rsid w:val="00DF2015"/>
    <w:rsid w:val="00E061EC"/>
    <w:rsid w:val="00E10E81"/>
    <w:rsid w:val="00E13E51"/>
    <w:rsid w:val="00E21F56"/>
    <w:rsid w:val="00E3014F"/>
    <w:rsid w:val="00E41F2B"/>
    <w:rsid w:val="00E4286E"/>
    <w:rsid w:val="00E43EAD"/>
    <w:rsid w:val="00E62DCB"/>
    <w:rsid w:val="00E651DD"/>
    <w:rsid w:val="00E66558"/>
    <w:rsid w:val="00E70D81"/>
    <w:rsid w:val="00E726A6"/>
    <w:rsid w:val="00E73418"/>
    <w:rsid w:val="00E8109E"/>
    <w:rsid w:val="00E86F05"/>
    <w:rsid w:val="00E964E1"/>
    <w:rsid w:val="00EA3A2A"/>
    <w:rsid w:val="00EB20F5"/>
    <w:rsid w:val="00EB31C7"/>
    <w:rsid w:val="00EB4556"/>
    <w:rsid w:val="00EB64C8"/>
    <w:rsid w:val="00ED4136"/>
    <w:rsid w:val="00ED5108"/>
    <w:rsid w:val="00ED6AE8"/>
    <w:rsid w:val="00EE2CB2"/>
    <w:rsid w:val="00EE6EF4"/>
    <w:rsid w:val="00F012CA"/>
    <w:rsid w:val="00F01752"/>
    <w:rsid w:val="00F017D2"/>
    <w:rsid w:val="00F0355A"/>
    <w:rsid w:val="00F05C44"/>
    <w:rsid w:val="00F11259"/>
    <w:rsid w:val="00F15753"/>
    <w:rsid w:val="00F16C68"/>
    <w:rsid w:val="00F21F92"/>
    <w:rsid w:val="00F24A7E"/>
    <w:rsid w:val="00F32ABA"/>
    <w:rsid w:val="00F33DC0"/>
    <w:rsid w:val="00F33F28"/>
    <w:rsid w:val="00F35A40"/>
    <w:rsid w:val="00F35FDE"/>
    <w:rsid w:val="00F40DE1"/>
    <w:rsid w:val="00F4142A"/>
    <w:rsid w:val="00F50DEC"/>
    <w:rsid w:val="00F548C7"/>
    <w:rsid w:val="00F56EF2"/>
    <w:rsid w:val="00F62587"/>
    <w:rsid w:val="00F631A6"/>
    <w:rsid w:val="00F63E9E"/>
    <w:rsid w:val="00F6610D"/>
    <w:rsid w:val="00F66AA7"/>
    <w:rsid w:val="00F75603"/>
    <w:rsid w:val="00F76843"/>
    <w:rsid w:val="00F776E1"/>
    <w:rsid w:val="00F90BA5"/>
    <w:rsid w:val="00F925EB"/>
    <w:rsid w:val="00F97033"/>
    <w:rsid w:val="00FA6DD0"/>
    <w:rsid w:val="00FC28DF"/>
    <w:rsid w:val="00FD2297"/>
    <w:rsid w:val="00FD6AC6"/>
    <w:rsid w:val="00FE2C54"/>
    <w:rsid w:val="00FE3136"/>
    <w:rsid w:val="00FE50A3"/>
    <w:rsid w:val="00FE5204"/>
    <w:rsid w:val="00FE604C"/>
    <w:rsid w:val="00FF369D"/>
    <w:rsid w:val="00FF6FB0"/>
    <w:rsid w:val="00FF79A8"/>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726C435"/>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5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styleId="Emphasis">
    <w:name w:val="Emphasis"/>
    <w:basedOn w:val="DefaultParagraphFont"/>
    <w:uiPriority w:val="20"/>
    <w:qFormat/>
    <w:rsid w:val="00DA21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ducationendowmentfoundation.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f66fd1-1c34-447d-a70e-211dd7f25298">
      <Terms xmlns="http://schemas.microsoft.com/office/infopath/2007/PartnerControls"/>
    </lcf76f155ced4ddcb4097134ff3c332f>
    <TaxCatchAll xmlns="aa2cd54d-5a78-4278-920b-9a67f2622e99"/>
    <CompletedBy xmlns="77f66fd1-1c34-447d-a70e-211dd7f2529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7E196FFFED6A40848110F9A1639BC2" ma:contentTypeVersion="19" ma:contentTypeDescription="Create a new document." ma:contentTypeScope="" ma:versionID="ae42c1297939b80b1d60ffd292e88cee">
  <xsd:schema xmlns:xsd="http://www.w3.org/2001/XMLSchema" xmlns:xs="http://www.w3.org/2001/XMLSchema" xmlns:p="http://schemas.microsoft.com/office/2006/metadata/properties" xmlns:ns2="77f66fd1-1c34-447d-a70e-211dd7f25298" xmlns:ns3="aa2cd54d-5a78-4278-920b-9a67f2622e99" targetNamespace="http://schemas.microsoft.com/office/2006/metadata/properties" ma:root="true" ma:fieldsID="17a9fb60c28c6c9507f513ce910b0c49" ns2:_="" ns3:_="">
    <xsd:import namespace="77f66fd1-1c34-447d-a70e-211dd7f25298"/>
    <xsd:import namespace="aa2cd54d-5a78-4278-920b-9a67f2622e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Location" minOccurs="0"/>
                <xsd:element ref="ns2:CompletedBy"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f66fd1-1c34-447d-a70e-211dd7f25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b7d05a3-1991-4e91-85d2-7451da6c3e4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CompletedBy" ma:index="23" nillable="true" ma:displayName="Completed By" ma:format="Dropdown" ma:internalName="CompletedBy">
      <xsd:simpleType>
        <xsd:restriction base="dms:Text">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2cd54d-5a78-4278-920b-9a67f2622e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baacd35-3f5e-449e-b4ae-1225a6eed7e7}" ma:internalName="TaxCatchAll" ma:showField="CatchAllData" ma:web="aa2cd54d-5a78-4278-920b-9a67f2622e9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834F2C-E20C-4ACA-862A-84EA92EC77A1}">
  <ds:schemaRefs>
    <ds:schemaRef ds:uri="http://schemas.microsoft.com/office/2006/metadata/properties"/>
    <ds:schemaRef ds:uri="http://schemas.microsoft.com/office/infopath/2007/PartnerControls"/>
    <ds:schemaRef ds:uri="77f66fd1-1c34-447d-a70e-211dd7f25298"/>
    <ds:schemaRef ds:uri="aa2cd54d-5a78-4278-920b-9a67f2622e99"/>
  </ds:schemaRefs>
</ds:datastoreItem>
</file>

<file path=customXml/itemProps2.xml><?xml version="1.0" encoding="utf-8"?>
<ds:datastoreItem xmlns:ds="http://schemas.openxmlformats.org/officeDocument/2006/customXml" ds:itemID="{6B4F95EC-5507-430F-A973-F6F8D368DDBC}">
  <ds:schemaRefs>
    <ds:schemaRef ds:uri="http://schemas.microsoft.com/sharepoint/v3/contenttype/forms"/>
  </ds:schemaRefs>
</ds:datastoreItem>
</file>

<file path=customXml/itemProps3.xml><?xml version="1.0" encoding="utf-8"?>
<ds:datastoreItem xmlns:ds="http://schemas.openxmlformats.org/officeDocument/2006/customXml" ds:itemID="{F1B6FB3C-F359-4EAA-9587-BE8E80820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f66fd1-1c34-447d-a70e-211dd7f25298"/>
    <ds:schemaRef ds:uri="aa2cd54d-5a78-4278-920b-9a67f2622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1779</Words>
  <Characters>10945</Characters>
  <Application>Microsoft Office Word</Application>
  <DocSecurity>0</DocSecurity>
  <Lines>377</Lines>
  <Paragraphs>289</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Chloe Williams</cp:lastModifiedBy>
  <cp:revision>2</cp:revision>
  <cp:lastPrinted>2014-09-18T05:26:00Z</cp:lastPrinted>
  <dcterms:created xsi:type="dcterms:W3CDTF">2026-01-06T21:11:00Z</dcterms:created>
  <dcterms:modified xsi:type="dcterms:W3CDTF">2026-01-06T21:11:00Z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0x010100AF7E196FFFED6A40848110F9A1639BC2</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