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E9" w:rsidRPr="009F2DFE" w:rsidRDefault="00E230E9" w:rsidP="00E230E9">
      <w:pPr>
        <w:spacing w:after="0" w:line="240" w:lineRule="auto"/>
        <w:jc w:val="center"/>
        <w:rPr>
          <w:b/>
          <w:sz w:val="36"/>
          <w:u w:val="single"/>
        </w:rPr>
      </w:pPr>
      <w:r w:rsidRPr="009F2DFE">
        <w:rPr>
          <w:b/>
          <w:sz w:val="36"/>
          <w:u w:val="single"/>
        </w:rPr>
        <w:t xml:space="preserve">‘We Are </w:t>
      </w:r>
      <w:r w:rsidR="001F0D50">
        <w:rPr>
          <w:b/>
          <w:sz w:val="36"/>
          <w:u w:val="single"/>
        </w:rPr>
        <w:t>Musicians</w:t>
      </w:r>
      <w:r>
        <w:rPr>
          <w:b/>
          <w:sz w:val="36"/>
          <w:u w:val="single"/>
        </w:rPr>
        <w:t>’</w:t>
      </w:r>
      <w:r w:rsidRPr="009F2DFE">
        <w:rPr>
          <w:b/>
          <w:sz w:val="36"/>
          <w:u w:val="single"/>
        </w:rPr>
        <w:t xml:space="preserve"> at Grove Road </w:t>
      </w:r>
      <w:bookmarkStart w:id="0" w:name="_GoBack"/>
      <w:bookmarkEnd w:id="0"/>
    </w:p>
    <w:tbl>
      <w:tblPr>
        <w:tblStyle w:val="TableGrid"/>
        <w:tblpPr w:leftFromText="180" w:rightFromText="180" w:vertAnchor="text" w:horzAnchor="margin" w:tblpY="136"/>
        <w:tblW w:w="15588" w:type="dxa"/>
        <w:shd w:val="clear" w:color="auto" w:fill="FFFFFF" w:themeFill="background1"/>
        <w:tblLook w:val="04A0" w:firstRow="1" w:lastRow="0" w:firstColumn="1" w:lastColumn="0" w:noHBand="0" w:noVBand="1"/>
      </w:tblPr>
      <w:tblGrid>
        <w:gridCol w:w="382"/>
        <w:gridCol w:w="2369"/>
        <w:gridCol w:w="304"/>
        <w:gridCol w:w="297"/>
        <w:gridCol w:w="1392"/>
        <w:gridCol w:w="467"/>
        <w:gridCol w:w="284"/>
        <w:gridCol w:w="1364"/>
        <w:gridCol w:w="408"/>
        <w:gridCol w:w="2039"/>
        <w:gridCol w:w="867"/>
        <w:gridCol w:w="283"/>
        <w:gridCol w:w="1418"/>
        <w:gridCol w:w="236"/>
        <w:gridCol w:w="366"/>
        <w:gridCol w:w="1855"/>
        <w:gridCol w:w="417"/>
        <w:gridCol w:w="840"/>
      </w:tblGrid>
      <w:tr w:rsidR="001F0D50" w:rsidRPr="00A40EB5" w:rsidTr="001F0D50">
        <w:trPr>
          <w:gridBefore w:val="1"/>
          <w:wBefore w:w="382" w:type="dxa"/>
          <w:trHeight w:val="837"/>
        </w:trPr>
        <w:tc>
          <w:tcPr>
            <w:tcW w:w="4829" w:type="dxa"/>
            <w:gridSpan w:val="5"/>
            <w:tcBorders>
              <w:bottom w:val="nil"/>
            </w:tcBorders>
            <w:shd w:val="clear" w:color="auto" w:fill="FFFFFF" w:themeFill="background1"/>
            <w:vAlign w:val="center"/>
          </w:tcPr>
          <w:p w:rsidR="001F0D50" w:rsidRPr="00D22469" w:rsidRDefault="005D3E0A" w:rsidP="005D3E0A">
            <w:pPr>
              <w:autoSpaceDE w:val="0"/>
              <w:autoSpaceDN w:val="0"/>
              <w:adjustRightInd w:val="0"/>
              <w:spacing w:after="0" w:line="240" w:lineRule="auto"/>
              <w:jc w:val="center"/>
              <w:rPr>
                <w:rFonts w:ascii="Cooper Black" w:hAnsi="Cooper Black"/>
                <w:sz w:val="48"/>
              </w:rPr>
            </w:pPr>
            <w:r w:rsidRPr="006E3EED">
              <w:rPr>
                <w:rFonts w:ascii="Bauhaus 93" w:hAnsi="Bauhaus 93" w:cs="Bauhaus 93"/>
                <w:color w:val="000000"/>
                <w:sz w:val="24"/>
                <w:szCs w:val="24"/>
              </w:rPr>
              <w:t xml:space="preserve"> </w:t>
            </w:r>
            <w:r>
              <w:rPr>
                <w:rFonts w:ascii="Kristen ITC" w:hAnsi="Kristen ITC"/>
                <w:b/>
                <w:color w:val="C45911" w:themeColor="accent2" w:themeShade="BF"/>
                <w:sz w:val="32"/>
                <w:szCs w:val="32"/>
              </w:rPr>
              <w:t xml:space="preserve"> </w:t>
            </w:r>
            <w:r>
              <w:rPr>
                <w:rFonts w:ascii="Kristen ITC" w:hAnsi="Kristen ITC"/>
                <w:b/>
                <w:color w:val="C45911" w:themeColor="accent2" w:themeShade="BF"/>
                <w:sz w:val="32"/>
                <w:szCs w:val="32"/>
              </w:rPr>
              <w:t>Listen, think and discover</w:t>
            </w:r>
          </w:p>
        </w:tc>
        <w:tc>
          <w:tcPr>
            <w:tcW w:w="284" w:type="dxa"/>
            <w:tcBorders>
              <w:top w:val="nil"/>
              <w:bottom w:val="nil"/>
            </w:tcBorders>
            <w:shd w:val="clear" w:color="auto" w:fill="auto"/>
            <w:vAlign w:val="center"/>
          </w:tcPr>
          <w:p w:rsidR="001F0D50" w:rsidRPr="00CA47BC" w:rsidRDefault="001F0D50" w:rsidP="001F0D50">
            <w:pPr>
              <w:jc w:val="center"/>
              <w:rPr>
                <w:rFonts w:ascii="Stencil" w:hAnsi="Stencil"/>
                <w:noProof/>
                <w:sz w:val="32"/>
                <w:szCs w:val="32"/>
                <w:lang w:eastAsia="en-GB"/>
              </w:rPr>
            </w:pPr>
          </w:p>
        </w:tc>
        <w:tc>
          <w:tcPr>
            <w:tcW w:w="4678" w:type="dxa"/>
            <w:gridSpan w:val="4"/>
            <w:tcBorders>
              <w:bottom w:val="nil"/>
            </w:tcBorders>
            <w:shd w:val="clear" w:color="auto" w:fill="FFFFFF" w:themeFill="background1"/>
            <w:vAlign w:val="center"/>
          </w:tcPr>
          <w:p w:rsidR="001F0D50" w:rsidRPr="005D3E0A" w:rsidRDefault="005D3E0A" w:rsidP="005D3E0A">
            <w:pPr>
              <w:autoSpaceDE w:val="0"/>
              <w:autoSpaceDN w:val="0"/>
              <w:adjustRightInd w:val="0"/>
              <w:spacing w:after="0" w:line="240" w:lineRule="auto"/>
              <w:jc w:val="center"/>
              <w:rPr>
                <w:rFonts w:ascii="Bauhaus 93" w:hAnsi="Bauhaus 93" w:cs="Bauhaus 93"/>
                <w:color w:val="00B0F0"/>
                <w:sz w:val="52"/>
                <w:szCs w:val="52"/>
              </w:rPr>
            </w:pPr>
            <w:r w:rsidRPr="005D3E0A">
              <w:rPr>
                <w:rFonts w:ascii="Bauhaus 93" w:hAnsi="Bauhaus 93" w:cs="Bauhaus 93"/>
                <w:color w:val="00B0F0"/>
                <w:sz w:val="24"/>
                <w:szCs w:val="24"/>
              </w:rPr>
              <w:t xml:space="preserve"> </w:t>
            </w:r>
            <w:r w:rsidRPr="005D3E0A">
              <w:rPr>
                <w:rFonts w:ascii="Kristen ITC" w:hAnsi="Kristen ITC"/>
                <w:b/>
                <w:color w:val="00B0F0"/>
                <w:sz w:val="32"/>
                <w:szCs w:val="32"/>
              </w:rPr>
              <w:t xml:space="preserve"> </w:t>
            </w:r>
            <w:r w:rsidRPr="005D3E0A">
              <w:rPr>
                <w:rFonts w:ascii="Kristen ITC" w:hAnsi="Kristen ITC"/>
                <w:b/>
                <w:color w:val="00B0F0"/>
                <w:sz w:val="32"/>
                <w:szCs w:val="32"/>
              </w:rPr>
              <w:t>Learn and develop</w:t>
            </w:r>
          </w:p>
        </w:tc>
        <w:tc>
          <w:tcPr>
            <w:tcW w:w="283" w:type="dxa"/>
            <w:tcBorders>
              <w:top w:val="nil"/>
              <w:bottom w:val="nil"/>
            </w:tcBorders>
            <w:shd w:val="clear" w:color="auto" w:fill="auto"/>
            <w:vAlign w:val="center"/>
          </w:tcPr>
          <w:p w:rsidR="001F0D50" w:rsidRPr="00CA47BC" w:rsidRDefault="001F0D50" w:rsidP="001F0D50">
            <w:pPr>
              <w:jc w:val="center"/>
              <w:rPr>
                <w:rFonts w:ascii="Stencil" w:hAnsi="Stencil"/>
                <w:sz w:val="32"/>
                <w:szCs w:val="32"/>
              </w:rPr>
            </w:pPr>
          </w:p>
        </w:tc>
        <w:tc>
          <w:tcPr>
            <w:tcW w:w="5132" w:type="dxa"/>
            <w:gridSpan w:val="6"/>
            <w:tcBorders>
              <w:bottom w:val="nil"/>
            </w:tcBorders>
            <w:shd w:val="clear" w:color="auto" w:fill="FFFFFF" w:themeFill="background1"/>
            <w:vAlign w:val="center"/>
          </w:tcPr>
          <w:p w:rsidR="001F0D50" w:rsidRPr="005D3E0A" w:rsidRDefault="005D3E0A" w:rsidP="005D3E0A">
            <w:pPr>
              <w:autoSpaceDE w:val="0"/>
              <w:autoSpaceDN w:val="0"/>
              <w:adjustRightInd w:val="0"/>
              <w:spacing w:after="0" w:line="240" w:lineRule="auto"/>
              <w:jc w:val="center"/>
              <w:rPr>
                <w:rFonts w:ascii="Bauhaus 93" w:hAnsi="Bauhaus 93" w:cs="Bauhaus 93"/>
                <w:color w:val="FF0000"/>
                <w:sz w:val="52"/>
                <w:szCs w:val="52"/>
              </w:rPr>
            </w:pPr>
            <w:r w:rsidRPr="005D3E0A">
              <w:rPr>
                <w:rFonts w:ascii="Bauhaus 93" w:hAnsi="Bauhaus 93" w:cs="Bauhaus 93"/>
                <w:color w:val="FF0000"/>
                <w:sz w:val="24"/>
                <w:szCs w:val="24"/>
              </w:rPr>
              <w:t xml:space="preserve"> </w:t>
            </w:r>
            <w:r w:rsidRPr="005D3E0A">
              <w:rPr>
                <w:rFonts w:ascii="Kristen ITC" w:hAnsi="Kristen ITC"/>
                <w:b/>
                <w:color w:val="FF0000"/>
                <w:sz w:val="32"/>
                <w:szCs w:val="32"/>
              </w:rPr>
              <w:t xml:space="preserve"> </w:t>
            </w:r>
            <w:r w:rsidRPr="005D3E0A">
              <w:rPr>
                <w:rFonts w:ascii="Kristen ITC" w:hAnsi="Kristen ITC"/>
                <w:b/>
                <w:color w:val="FF0000"/>
                <w:sz w:val="32"/>
                <w:szCs w:val="32"/>
              </w:rPr>
              <w:t>Preform and share</w:t>
            </w:r>
            <w:r w:rsidRPr="005D3E0A">
              <w:rPr>
                <w:rFonts w:ascii="Bauhaus 93" w:hAnsi="Bauhaus 93" w:cs="Bauhaus 93"/>
                <w:color w:val="FF0000"/>
                <w:sz w:val="52"/>
                <w:szCs w:val="52"/>
              </w:rPr>
              <w:t xml:space="preserve"> </w:t>
            </w:r>
          </w:p>
        </w:tc>
      </w:tr>
      <w:tr w:rsidR="001F0D50" w:rsidTr="00F16796">
        <w:trPr>
          <w:gridBefore w:val="1"/>
          <w:wBefore w:w="382" w:type="dxa"/>
          <w:trHeight w:val="106"/>
        </w:trPr>
        <w:tc>
          <w:tcPr>
            <w:tcW w:w="4829" w:type="dxa"/>
            <w:gridSpan w:val="5"/>
            <w:tcBorders>
              <w:top w:val="nil"/>
            </w:tcBorders>
            <w:shd w:val="clear" w:color="auto" w:fill="FFFFFF" w:themeFill="background1"/>
          </w:tcPr>
          <w:p w:rsidR="001F0D50" w:rsidRPr="00456B52" w:rsidRDefault="001F0D50" w:rsidP="001F0D50">
            <w:pPr>
              <w:jc w:val="center"/>
              <w:rPr>
                <w:i/>
                <w:color w:val="808080" w:themeColor="background1" w:themeShade="80"/>
              </w:rPr>
            </w:pPr>
            <w:r>
              <w:rPr>
                <w:i/>
                <w:color w:val="808080" w:themeColor="background1" w:themeShade="80"/>
              </w:rPr>
              <w:t>L</w:t>
            </w:r>
            <w:r w:rsidRPr="000707BE">
              <w:rPr>
                <w:i/>
                <w:color w:val="808080" w:themeColor="background1" w:themeShade="80"/>
              </w:rPr>
              <w:t>isten to, review and evaluate music across a range of his</w:t>
            </w:r>
            <w:r>
              <w:rPr>
                <w:i/>
                <w:color w:val="808080" w:themeColor="background1" w:themeShade="80"/>
              </w:rPr>
              <w:t xml:space="preserve">torical periods, genres, styles </w:t>
            </w:r>
            <w:r w:rsidRPr="000707BE">
              <w:rPr>
                <w:i/>
                <w:color w:val="808080" w:themeColor="background1" w:themeShade="80"/>
              </w:rPr>
              <w:t>and traditions, including the works of th</w:t>
            </w:r>
            <w:r>
              <w:rPr>
                <w:i/>
                <w:color w:val="808080" w:themeColor="background1" w:themeShade="80"/>
              </w:rPr>
              <w:t>e great composers and musicians.</w:t>
            </w:r>
          </w:p>
        </w:tc>
        <w:tc>
          <w:tcPr>
            <w:tcW w:w="284" w:type="dxa"/>
            <w:tcBorders>
              <w:top w:val="nil"/>
              <w:bottom w:val="nil"/>
            </w:tcBorders>
            <w:shd w:val="clear" w:color="auto" w:fill="auto"/>
            <w:vAlign w:val="center"/>
          </w:tcPr>
          <w:p w:rsidR="001F0D50" w:rsidRPr="00B60BDC" w:rsidRDefault="001F0D50" w:rsidP="001F0D50">
            <w:pPr>
              <w:jc w:val="center"/>
              <w:rPr>
                <w:i/>
                <w:color w:val="000000" w:themeColor="text1"/>
                <w:sz w:val="20"/>
                <w:szCs w:val="20"/>
              </w:rPr>
            </w:pPr>
          </w:p>
        </w:tc>
        <w:tc>
          <w:tcPr>
            <w:tcW w:w="4678" w:type="dxa"/>
            <w:gridSpan w:val="4"/>
            <w:tcBorders>
              <w:top w:val="nil"/>
            </w:tcBorders>
            <w:shd w:val="clear" w:color="auto" w:fill="FFFFFF" w:themeFill="background1"/>
          </w:tcPr>
          <w:p w:rsidR="001F0D50" w:rsidRPr="00A40EB5" w:rsidRDefault="001F0D50" w:rsidP="001F0D50">
            <w:pPr>
              <w:jc w:val="center"/>
              <w:rPr>
                <w:i/>
              </w:rPr>
            </w:pPr>
            <w:r w:rsidRPr="00564AE9">
              <w:rPr>
                <w:i/>
                <w:color w:val="808080" w:themeColor="background1" w:themeShade="80"/>
              </w:rPr>
              <w:t>Musical Activities</w:t>
            </w:r>
            <w:r>
              <w:rPr>
                <w:i/>
                <w:color w:val="808080" w:themeColor="background1" w:themeShade="80"/>
              </w:rPr>
              <w:t xml:space="preserve"> including: </w:t>
            </w:r>
            <w:r w:rsidRPr="00564AE9">
              <w:rPr>
                <w:i/>
                <w:color w:val="808080" w:themeColor="background1" w:themeShade="80"/>
              </w:rPr>
              <w:t>Warm-up Games</w:t>
            </w:r>
            <w:r>
              <w:rPr>
                <w:i/>
                <w:color w:val="808080" w:themeColor="background1" w:themeShade="80"/>
              </w:rPr>
              <w:t xml:space="preserve">, </w:t>
            </w:r>
            <w:r w:rsidRPr="00564AE9">
              <w:rPr>
                <w:i/>
                <w:color w:val="808080" w:themeColor="background1" w:themeShade="80"/>
              </w:rPr>
              <w:t>Flexible Game</w:t>
            </w:r>
            <w:r>
              <w:rPr>
                <w:i/>
                <w:color w:val="808080" w:themeColor="background1" w:themeShade="80"/>
              </w:rPr>
              <w:t xml:space="preserve">s, </w:t>
            </w:r>
            <w:r w:rsidRPr="00564AE9">
              <w:rPr>
                <w:i/>
                <w:color w:val="808080" w:themeColor="background1" w:themeShade="80"/>
              </w:rPr>
              <w:t>Singing</w:t>
            </w:r>
            <w:r>
              <w:rPr>
                <w:i/>
                <w:color w:val="808080" w:themeColor="background1" w:themeShade="80"/>
              </w:rPr>
              <w:t xml:space="preserve">, </w:t>
            </w:r>
            <w:r w:rsidRPr="00564AE9">
              <w:rPr>
                <w:i/>
                <w:color w:val="808080" w:themeColor="background1" w:themeShade="80"/>
              </w:rPr>
              <w:t>Playing instruments</w:t>
            </w:r>
            <w:r>
              <w:rPr>
                <w:i/>
                <w:color w:val="808080" w:themeColor="background1" w:themeShade="80"/>
              </w:rPr>
              <w:t xml:space="preserve">, </w:t>
            </w:r>
            <w:r w:rsidRPr="00564AE9">
              <w:rPr>
                <w:i/>
                <w:color w:val="808080" w:themeColor="background1" w:themeShade="80"/>
              </w:rPr>
              <w:t>Improvisation</w:t>
            </w:r>
            <w:r>
              <w:rPr>
                <w:i/>
                <w:color w:val="808080" w:themeColor="background1" w:themeShade="80"/>
              </w:rPr>
              <w:t xml:space="preserve"> and </w:t>
            </w:r>
            <w:r w:rsidRPr="00564AE9">
              <w:rPr>
                <w:i/>
                <w:color w:val="808080" w:themeColor="background1" w:themeShade="80"/>
              </w:rPr>
              <w:t>Composition</w:t>
            </w:r>
            <w:r>
              <w:rPr>
                <w:i/>
                <w:color w:val="808080" w:themeColor="background1" w:themeShade="80"/>
              </w:rPr>
              <w:t>.</w:t>
            </w:r>
          </w:p>
        </w:tc>
        <w:tc>
          <w:tcPr>
            <w:tcW w:w="283" w:type="dxa"/>
            <w:tcBorders>
              <w:top w:val="nil"/>
              <w:bottom w:val="nil"/>
            </w:tcBorders>
            <w:shd w:val="clear" w:color="auto" w:fill="auto"/>
            <w:vAlign w:val="center"/>
          </w:tcPr>
          <w:p w:rsidR="001F0D50" w:rsidRPr="00B60BDC" w:rsidRDefault="001F0D50" w:rsidP="001F0D50">
            <w:pPr>
              <w:jc w:val="center"/>
              <w:rPr>
                <w:i/>
                <w:color w:val="000000" w:themeColor="text1"/>
                <w:sz w:val="20"/>
                <w:szCs w:val="20"/>
              </w:rPr>
            </w:pPr>
          </w:p>
        </w:tc>
        <w:tc>
          <w:tcPr>
            <w:tcW w:w="5132" w:type="dxa"/>
            <w:gridSpan w:val="6"/>
            <w:tcBorders>
              <w:top w:val="nil"/>
            </w:tcBorders>
            <w:shd w:val="clear" w:color="auto" w:fill="FFFFFF" w:themeFill="background1"/>
          </w:tcPr>
          <w:p w:rsidR="001F0D50" w:rsidRPr="00A40EB5" w:rsidRDefault="001F0D50" w:rsidP="001F0D50">
            <w:pPr>
              <w:jc w:val="center"/>
              <w:rPr>
                <w:i/>
              </w:rPr>
            </w:pPr>
            <w:r w:rsidRPr="000707BE">
              <w:rPr>
                <w:i/>
                <w:color w:val="808080" w:themeColor="background1" w:themeShade="80"/>
              </w:rPr>
              <w:t>Share what has taken place during the lesson and work towards performing to an audience.</w:t>
            </w:r>
          </w:p>
        </w:tc>
      </w:tr>
      <w:tr w:rsidR="001F0D50" w:rsidTr="001F0D50">
        <w:tc>
          <w:tcPr>
            <w:tcW w:w="382" w:type="dxa"/>
            <w:tcBorders>
              <w:top w:val="nil"/>
              <w:left w:val="nil"/>
              <w:bottom w:val="nil"/>
              <w:right w:val="nil"/>
            </w:tcBorders>
            <w:shd w:val="clear" w:color="auto" w:fill="FFFFFF" w:themeFill="background1"/>
          </w:tcPr>
          <w:p w:rsidR="001F0D50" w:rsidRPr="00B60BDC" w:rsidRDefault="001F0D50" w:rsidP="00F80E69">
            <w:pPr>
              <w:rPr>
                <w:b/>
                <w:sz w:val="20"/>
                <w:szCs w:val="20"/>
              </w:rPr>
            </w:pPr>
          </w:p>
        </w:tc>
        <w:tc>
          <w:tcPr>
            <w:tcW w:w="4829" w:type="dxa"/>
            <w:gridSpan w:val="5"/>
            <w:tcBorders>
              <w:left w:val="nil"/>
              <w:right w:val="nil"/>
            </w:tcBorders>
            <w:shd w:val="clear" w:color="auto" w:fill="auto"/>
            <w:vAlign w:val="center"/>
          </w:tcPr>
          <w:p w:rsidR="001F0D50" w:rsidRPr="00B60BDC" w:rsidRDefault="001F0D50" w:rsidP="00F80E69">
            <w:pPr>
              <w:jc w:val="center"/>
              <w:rPr>
                <w:b/>
                <w:sz w:val="20"/>
                <w:szCs w:val="20"/>
              </w:rPr>
            </w:pPr>
          </w:p>
        </w:tc>
        <w:tc>
          <w:tcPr>
            <w:tcW w:w="284" w:type="dxa"/>
            <w:tcBorders>
              <w:top w:val="nil"/>
              <w:left w:val="nil"/>
              <w:bottom w:val="nil"/>
              <w:right w:val="nil"/>
            </w:tcBorders>
            <w:shd w:val="clear" w:color="auto" w:fill="auto"/>
            <w:vAlign w:val="center"/>
          </w:tcPr>
          <w:p w:rsidR="001F0D50" w:rsidRDefault="001F0D50" w:rsidP="00F80E69">
            <w:pPr>
              <w:jc w:val="center"/>
            </w:pPr>
          </w:p>
        </w:tc>
        <w:tc>
          <w:tcPr>
            <w:tcW w:w="4678" w:type="dxa"/>
            <w:gridSpan w:val="4"/>
            <w:tcBorders>
              <w:left w:val="nil"/>
              <w:right w:val="nil"/>
            </w:tcBorders>
            <w:shd w:val="clear" w:color="auto" w:fill="auto"/>
            <w:vAlign w:val="center"/>
          </w:tcPr>
          <w:p w:rsidR="001F0D50" w:rsidRDefault="001F0D50" w:rsidP="00F80E69">
            <w:pPr>
              <w:jc w:val="center"/>
            </w:pPr>
          </w:p>
        </w:tc>
        <w:tc>
          <w:tcPr>
            <w:tcW w:w="283" w:type="dxa"/>
            <w:tcBorders>
              <w:top w:val="nil"/>
              <w:left w:val="nil"/>
              <w:bottom w:val="nil"/>
              <w:right w:val="nil"/>
            </w:tcBorders>
            <w:shd w:val="clear" w:color="auto" w:fill="auto"/>
            <w:vAlign w:val="center"/>
          </w:tcPr>
          <w:p w:rsidR="001F0D50" w:rsidRDefault="001F0D50" w:rsidP="00F80E69">
            <w:pPr>
              <w:jc w:val="center"/>
            </w:pPr>
          </w:p>
        </w:tc>
        <w:tc>
          <w:tcPr>
            <w:tcW w:w="5132" w:type="dxa"/>
            <w:gridSpan w:val="6"/>
            <w:tcBorders>
              <w:left w:val="nil"/>
              <w:right w:val="nil"/>
            </w:tcBorders>
            <w:shd w:val="clear" w:color="auto" w:fill="auto"/>
            <w:vAlign w:val="center"/>
          </w:tcPr>
          <w:p w:rsidR="001F0D50" w:rsidRDefault="001F0D50" w:rsidP="00F80E69">
            <w:pPr>
              <w:jc w:val="center"/>
            </w:pPr>
          </w:p>
        </w:tc>
      </w:tr>
      <w:tr w:rsidR="001F0D50" w:rsidRPr="00A40EB5" w:rsidTr="001F0D50">
        <w:trPr>
          <w:gridBefore w:val="1"/>
          <w:wBefore w:w="382" w:type="dxa"/>
        </w:trPr>
        <w:tc>
          <w:tcPr>
            <w:tcW w:w="4829" w:type="dxa"/>
            <w:gridSpan w:val="5"/>
            <w:shd w:val="clear" w:color="auto" w:fill="FFFFFF" w:themeFill="background1"/>
            <w:vAlign w:val="center"/>
          </w:tcPr>
          <w:p w:rsidR="001F0D50" w:rsidRPr="001F0D50" w:rsidRDefault="001F0D50" w:rsidP="001F0D50">
            <w:pPr>
              <w:spacing w:after="60"/>
              <w:rPr>
                <w:sz w:val="20"/>
                <w:szCs w:val="20"/>
              </w:rPr>
            </w:pPr>
            <w:r w:rsidRPr="001F0D50">
              <w:rPr>
                <w:sz w:val="20"/>
                <w:szCs w:val="20"/>
              </w:rPr>
              <w:t xml:space="preserve">Whilst listening to a variety of styles of music, the children are encouraged to </w:t>
            </w:r>
            <w:r w:rsidRPr="001F0D50">
              <w:rPr>
                <w:rFonts w:ascii="Calibri" w:eastAsia="Calibri" w:hAnsi="Calibri" w:cs="Calibri"/>
                <w:sz w:val="20"/>
                <w:szCs w:val="20"/>
              </w:rPr>
              <w:t>fi</w:t>
            </w:r>
            <w:r w:rsidRPr="001F0D50">
              <w:rPr>
                <w:sz w:val="20"/>
                <w:szCs w:val="20"/>
              </w:rPr>
              <w:t xml:space="preserve">nd the pulse, use their imaginations, dance and enjoy themselves. </w:t>
            </w:r>
          </w:p>
          <w:p w:rsidR="001F0D50" w:rsidRPr="001F0D50" w:rsidRDefault="001F0D50" w:rsidP="001F0D50">
            <w:pPr>
              <w:spacing w:after="60"/>
              <w:rPr>
                <w:sz w:val="20"/>
                <w:szCs w:val="20"/>
              </w:rPr>
            </w:pPr>
            <w:r w:rsidRPr="001F0D50">
              <w:rPr>
                <w:sz w:val="20"/>
                <w:szCs w:val="20"/>
              </w:rPr>
              <w:t>Simple questions and answers can be used (provided in the ‘Listen and Appraise’ section) to prompt discussion with the children, or teachers can draw on their own experience.</w:t>
            </w:r>
          </w:p>
          <w:p w:rsidR="001F0D50" w:rsidRPr="001F0D50" w:rsidRDefault="001F0D50" w:rsidP="001F0D50">
            <w:pPr>
              <w:spacing w:after="60"/>
              <w:rPr>
                <w:sz w:val="20"/>
                <w:szCs w:val="20"/>
              </w:rPr>
            </w:pPr>
            <w:r w:rsidRPr="001F0D50">
              <w:rPr>
                <w:sz w:val="20"/>
                <w:szCs w:val="20"/>
              </w:rPr>
              <w:t>In each session (step) there is the option to listen and respond to a di</w:t>
            </w:r>
            <w:r w:rsidRPr="001F0D50">
              <w:rPr>
                <w:rFonts w:ascii="Calibri" w:eastAsia="Calibri" w:hAnsi="Calibri" w:cs="Calibri"/>
                <w:sz w:val="20"/>
                <w:szCs w:val="20"/>
              </w:rPr>
              <w:t>ff</w:t>
            </w:r>
            <w:r w:rsidRPr="001F0D50">
              <w:rPr>
                <w:sz w:val="20"/>
                <w:szCs w:val="20"/>
              </w:rPr>
              <w:t>erent song or piece of music.</w:t>
            </w:r>
          </w:p>
          <w:p w:rsidR="001F0D50" w:rsidRPr="001F0D50" w:rsidRDefault="001F0D50" w:rsidP="001F0D50">
            <w:pPr>
              <w:spacing w:after="60"/>
              <w:jc w:val="center"/>
              <w:rPr>
                <w:sz w:val="20"/>
                <w:szCs w:val="20"/>
              </w:rPr>
            </w:pPr>
            <w:r w:rsidRPr="001F0D50">
              <w:rPr>
                <w:sz w:val="20"/>
                <w:szCs w:val="20"/>
              </w:rPr>
              <w:t>At the end of the unit, children could be tested on their knowledge of the genre, songs, artists and/or composers which were featured.</w:t>
            </w:r>
          </w:p>
        </w:tc>
        <w:tc>
          <w:tcPr>
            <w:tcW w:w="284" w:type="dxa"/>
            <w:tcBorders>
              <w:top w:val="nil"/>
              <w:bottom w:val="nil"/>
            </w:tcBorders>
            <w:shd w:val="clear" w:color="auto" w:fill="auto"/>
            <w:vAlign w:val="center"/>
          </w:tcPr>
          <w:p w:rsidR="001F0D50" w:rsidRPr="001F0D50" w:rsidRDefault="001F0D50" w:rsidP="00F80E69">
            <w:pPr>
              <w:spacing w:after="60"/>
              <w:jc w:val="center"/>
              <w:rPr>
                <w:sz w:val="20"/>
                <w:szCs w:val="20"/>
              </w:rPr>
            </w:pPr>
          </w:p>
        </w:tc>
        <w:tc>
          <w:tcPr>
            <w:tcW w:w="4678" w:type="dxa"/>
            <w:gridSpan w:val="4"/>
            <w:shd w:val="clear" w:color="auto" w:fill="FFFFFF" w:themeFill="background1"/>
            <w:vAlign w:val="center"/>
          </w:tcPr>
          <w:p w:rsidR="001F0D50" w:rsidRPr="001F0D50" w:rsidRDefault="001F0D50" w:rsidP="001F0D50">
            <w:pPr>
              <w:spacing w:after="60"/>
              <w:rPr>
                <w:sz w:val="20"/>
                <w:szCs w:val="20"/>
              </w:rPr>
            </w:pPr>
            <w:r w:rsidRPr="001F0D50">
              <w:rPr>
                <w:sz w:val="20"/>
                <w:szCs w:val="20"/>
              </w:rPr>
              <w:t>All activities are based around a song.</w:t>
            </w:r>
          </w:p>
          <w:p w:rsidR="001F0D50" w:rsidRPr="001F0D50" w:rsidRDefault="001F0D50" w:rsidP="001F0D50">
            <w:pPr>
              <w:spacing w:after="60"/>
              <w:rPr>
                <w:sz w:val="20"/>
                <w:szCs w:val="20"/>
              </w:rPr>
            </w:pPr>
            <w:r w:rsidRPr="001F0D50">
              <w:rPr>
                <w:sz w:val="20"/>
                <w:szCs w:val="20"/>
              </w:rPr>
              <w:t>Singing is at the heart of all the musical learning, with many units include the playing of simple instruments alongside the song to be learnt. For more skilled musicians, music is provided to allow the addition of other instruments.</w:t>
            </w:r>
          </w:p>
          <w:p w:rsidR="001F0D50" w:rsidRPr="001F0D50" w:rsidRDefault="001F0D50" w:rsidP="001F0D50">
            <w:pPr>
              <w:spacing w:after="60"/>
              <w:rPr>
                <w:sz w:val="20"/>
                <w:szCs w:val="20"/>
              </w:rPr>
            </w:pPr>
            <w:r w:rsidRPr="001F0D50">
              <w:rPr>
                <w:sz w:val="20"/>
                <w:szCs w:val="20"/>
              </w:rPr>
              <w:t>A ‘sound-before-symbol’ approach is used but scores are provided as an understanding of notation is introduced to the children.</w:t>
            </w:r>
          </w:p>
          <w:p w:rsidR="001F0D50" w:rsidRPr="001F0D50" w:rsidRDefault="001F0D50" w:rsidP="001F0D50">
            <w:pPr>
              <w:spacing w:after="60"/>
              <w:rPr>
                <w:sz w:val="20"/>
                <w:szCs w:val="20"/>
              </w:rPr>
            </w:pPr>
            <w:r w:rsidRPr="001F0D50">
              <w:rPr>
                <w:sz w:val="20"/>
                <w:szCs w:val="20"/>
              </w:rPr>
              <w:t>Improvising with the song using voices and/or instruments occurs in some units.</w:t>
            </w:r>
          </w:p>
          <w:p w:rsidR="001F0D50" w:rsidRPr="001F0D50" w:rsidRDefault="001F0D50" w:rsidP="001F0D50">
            <w:pPr>
              <w:spacing w:after="60"/>
              <w:jc w:val="center"/>
              <w:rPr>
                <w:sz w:val="20"/>
                <w:szCs w:val="20"/>
              </w:rPr>
            </w:pPr>
            <w:r w:rsidRPr="001F0D50">
              <w:rPr>
                <w:sz w:val="20"/>
                <w:szCs w:val="20"/>
              </w:rPr>
              <w:t>Composing with the song using instruments occurs in some units.</w:t>
            </w:r>
          </w:p>
        </w:tc>
        <w:tc>
          <w:tcPr>
            <w:tcW w:w="283" w:type="dxa"/>
            <w:tcBorders>
              <w:top w:val="nil"/>
              <w:bottom w:val="nil"/>
            </w:tcBorders>
            <w:shd w:val="clear" w:color="auto" w:fill="auto"/>
            <w:vAlign w:val="center"/>
          </w:tcPr>
          <w:p w:rsidR="001F0D50" w:rsidRPr="001F0D50" w:rsidRDefault="001F0D50" w:rsidP="00F80E69">
            <w:pPr>
              <w:spacing w:after="60"/>
              <w:jc w:val="center"/>
              <w:rPr>
                <w:sz w:val="20"/>
                <w:szCs w:val="20"/>
              </w:rPr>
            </w:pPr>
          </w:p>
        </w:tc>
        <w:tc>
          <w:tcPr>
            <w:tcW w:w="5132" w:type="dxa"/>
            <w:gridSpan w:val="6"/>
            <w:shd w:val="clear" w:color="auto" w:fill="FFFFFF" w:themeFill="background1"/>
            <w:vAlign w:val="center"/>
          </w:tcPr>
          <w:p w:rsidR="001F0D50" w:rsidRPr="001F0D50" w:rsidRDefault="001F0D50" w:rsidP="001F0D50">
            <w:pPr>
              <w:spacing w:after="60"/>
              <w:rPr>
                <w:sz w:val="20"/>
                <w:szCs w:val="20"/>
              </w:rPr>
            </w:pPr>
            <w:r w:rsidRPr="001F0D50">
              <w:rPr>
                <w:sz w:val="20"/>
                <w:szCs w:val="20"/>
              </w:rPr>
              <w:t xml:space="preserve">At the end of every lesson, share what has taken place during that lesson. </w:t>
            </w:r>
          </w:p>
          <w:p w:rsidR="001F0D50" w:rsidRPr="001F0D50" w:rsidRDefault="001F0D50" w:rsidP="001F0D50">
            <w:pPr>
              <w:spacing w:after="60"/>
              <w:rPr>
                <w:sz w:val="20"/>
                <w:szCs w:val="20"/>
              </w:rPr>
            </w:pPr>
            <w:r w:rsidRPr="001F0D50">
              <w:rPr>
                <w:sz w:val="20"/>
                <w:szCs w:val="20"/>
              </w:rPr>
              <w:t>A performance of the continuing process is important and, if possible, make an audio and/or visual recording of the performance.</w:t>
            </w:r>
          </w:p>
          <w:p w:rsidR="001F0D50" w:rsidRPr="001F0D50" w:rsidRDefault="001F0D50" w:rsidP="001F0D50">
            <w:pPr>
              <w:spacing w:after="60"/>
              <w:jc w:val="center"/>
              <w:rPr>
                <w:sz w:val="20"/>
                <w:szCs w:val="20"/>
              </w:rPr>
            </w:pPr>
            <w:r w:rsidRPr="001F0D50">
              <w:rPr>
                <w:sz w:val="20"/>
                <w:szCs w:val="20"/>
              </w:rPr>
              <w:t>Among other things, it will help in logging and assessing the children’s progress and to allow for engaging and relevant discussion to assist formative assessment.</w:t>
            </w:r>
          </w:p>
        </w:tc>
      </w:tr>
      <w:tr w:rsidR="00E230E9" w:rsidRPr="00600106" w:rsidTr="001F0D50">
        <w:trPr>
          <w:gridBefore w:val="1"/>
          <w:gridAfter w:val="1"/>
          <w:wBefore w:w="382" w:type="dxa"/>
          <w:wAfter w:w="840" w:type="dxa"/>
          <w:trHeight w:val="477"/>
        </w:trPr>
        <w:tc>
          <w:tcPr>
            <w:tcW w:w="2369" w:type="dxa"/>
            <w:tcBorders>
              <w:top w:val="nil"/>
              <w:left w:val="nil"/>
              <w:right w:val="nil"/>
            </w:tcBorders>
            <w:shd w:val="clear" w:color="auto" w:fill="auto"/>
          </w:tcPr>
          <w:p w:rsidR="00E230E9" w:rsidRPr="00600106" w:rsidRDefault="00E230E9" w:rsidP="00F80E69">
            <w:pPr>
              <w:spacing w:after="60"/>
              <w:rPr>
                <w:sz w:val="10"/>
              </w:rPr>
            </w:pPr>
            <w:r>
              <w:rPr>
                <w:sz w:val="10"/>
              </w:rPr>
              <w:t xml:space="preserve">   </w:t>
            </w:r>
          </w:p>
        </w:tc>
        <w:tc>
          <w:tcPr>
            <w:tcW w:w="304" w:type="dxa"/>
            <w:tcBorders>
              <w:top w:val="nil"/>
              <w:left w:val="nil"/>
              <w:right w:val="nil"/>
            </w:tcBorders>
            <w:shd w:val="clear" w:color="auto" w:fill="auto"/>
          </w:tcPr>
          <w:p w:rsidR="00E230E9" w:rsidRPr="00600106" w:rsidRDefault="00E230E9" w:rsidP="00F80E69">
            <w:pPr>
              <w:spacing w:after="60"/>
              <w:rPr>
                <w:sz w:val="10"/>
              </w:rPr>
            </w:pPr>
          </w:p>
        </w:tc>
        <w:tc>
          <w:tcPr>
            <w:tcW w:w="297" w:type="dxa"/>
            <w:tcBorders>
              <w:top w:val="nil"/>
              <w:left w:val="nil"/>
              <w:right w:val="nil"/>
            </w:tcBorders>
            <w:shd w:val="clear" w:color="auto" w:fill="auto"/>
          </w:tcPr>
          <w:p w:rsidR="00E230E9" w:rsidRPr="00600106" w:rsidRDefault="00E230E9" w:rsidP="00F80E69">
            <w:pPr>
              <w:spacing w:after="60"/>
              <w:rPr>
                <w:sz w:val="10"/>
              </w:rPr>
            </w:pPr>
          </w:p>
        </w:tc>
        <w:tc>
          <w:tcPr>
            <w:tcW w:w="1392" w:type="dxa"/>
            <w:tcBorders>
              <w:top w:val="nil"/>
              <w:left w:val="nil"/>
              <w:bottom w:val="nil"/>
              <w:right w:val="nil"/>
            </w:tcBorders>
            <w:shd w:val="clear" w:color="auto" w:fill="auto"/>
          </w:tcPr>
          <w:p w:rsidR="00E230E9" w:rsidRPr="00600106" w:rsidRDefault="00E230E9" w:rsidP="00F80E69">
            <w:pPr>
              <w:spacing w:after="60"/>
              <w:rPr>
                <w:sz w:val="10"/>
              </w:rPr>
            </w:pPr>
          </w:p>
        </w:tc>
        <w:tc>
          <w:tcPr>
            <w:tcW w:w="2115" w:type="dxa"/>
            <w:gridSpan w:val="3"/>
            <w:tcBorders>
              <w:top w:val="nil"/>
              <w:left w:val="nil"/>
              <w:right w:val="nil"/>
            </w:tcBorders>
            <w:shd w:val="clear" w:color="auto" w:fill="auto"/>
          </w:tcPr>
          <w:p w:rsidR="00E230E9" w:rsidRPr="00600106" w:rsidRDefault="00E230E9" w:rsidP="00F80E69">
            <w:pPr>
              <w:spacing w:after="60"/>
              <w:rPr>
                <w:sz w:val="10"/>
              </w:rPr>
            </w:pPr>
          </w:p>
        </w:tc>
        <w:tc>
          <w:tcPr>
            <w:tcW w:w="408" w:type="dxa"/>
            <w:tcBorders>
              <w:top w:val="nil"/>
              <w:left w:val="nil"/>
              <w:bottom w:val="nil"/>
              <w:right w:val="nil"/>
            </w:tcBorders>
            <w:shd w:val="clear" w:color="auto" w:fill="auto"/>
          </w:tcPr>
          <w:p w:rsidR="00E230E9" w:rsidRPr="00600106" w:rsidRDefault="00E230E9" w:rsidP="00F80E69">
            <w:pPr>
              <w:spacing w:after="60"/>
              <w:rPr>
                <w:sz w:val="10"/>
              </w:rPr>
            </w:pPr>
          </w:p>
        </w:tc>
        <w:tc>
          <w:tcPr>
            <w:tcW w:w="2039" w:type="dxa"/>
            <w:tcBorders>
              <w:top w:val="nil"/>
              <w:left w:val="nil"/>
              <w:right w:val="nil"/>
            </w:tcBorders>
            <w:shd w:val="clear" w:color="auto" w:fill="auto"/>
          </w:tcPr>
          <w:p w:rsidR="00E230E9" w:rsidRPr="00600106" w:rsidRDefault="00E230E9" w:rsidP="00F80E69">
            <w:pPr>
              <w:spacing w:after="60"/>
              <w:rPr>
                <w:sz w:val="10"/>
              </w:rPr>
            </w:pPr>
          </w:p>
        </w:tc>
        <w:tc>
          <w:tcPr>
            <w:tcW w:w="2568" w:type="dxa"/>
            <w:gridSpan w:val="3"/>
            <w:tcBorders>
              <w:top w:val="nil"/>
              <w:left w:val="nil"/>
              <w:bottom w:val="nil"/>
              <w:right w:val="nil"/>
            </w:tcBorders>
            <w:shd w:val="clear" w:color="auto" w:fill="auto"/>
          </w:tcPr>
          <w:p w:rsidR="00E230E9" w:rsidRPr="00600106" w:rsidRDefault="00E230E9" w:rsidP="00F80E69">
            <w:pPr>
              <w:spacing w:after="60"/>
              <w:rPr>
                <w:sz w:val="10"/>
              </w:rPr>
            </w:pPr>
          </w:p>
        </w:tc>
        <w:tc>
          <w:tcPr>
            <w:tcW w:w="236" w:type="dxa"/>
            <w:tcBorders>
              <w:top w:val="nil"/>
              <w:left w:val="nil"/>
              <w:right w:val="nil"/>
            </w:tcBorders>
            <w:shd w:val="clear" w:color="auto" w:fill="auto"/>
          </w:tcPr>
          <w:p w:rsidR="00E230E9" w:rsidRPr="00600106" w:rsidRDefault="00E230E9" w:rsidP="00F80E69">
            <w:pPr>
              <w:spacing w:after="60"/>
              <w:rPr>
                <w:sz w:val="10"/>
              </w:rPr>
            </w:pPr>
          </w:p>
        </w:tc>
        <w:tc>
          <w:tcPr>
            <w:tcW w:w="366" w:type="dxa"/>
            <w:tcBorders>
              <w:top w:val="nil"/>
              <w:left w:val="nil"/>
              <w:bottom w:val="nil"/>
              <w:right w:val="nil"/>
            </w:tcBorders>
            <w:shd w:val="clear" w:color="auto" w:fill="auto"/>
          </w:tcPr>
          <w:p w:rsidR="00E230E9" w:rsidRPr="00600106" w:rsidRDefault="00E230E9" w:rsidP="00F80E69">
            <w:pPr>
              <w:spacing w:after="60"/>
              <w:rPr>
                <w:sz w:val="10"/>
              </w:rPr>
            </w:pPr>
          </w:p>
        </w:tc>
        <w:tc>
          <w:tcPr>
            <w:tcW w:w="1855" w:type="dxa"/>
            <w:tcBorders>
              <w:top w:val="nil"/>
              <w:left w:val="nil"/>
              <w:right w:val="nil"/>
            </w:tcBorders>
            <w:shd w:val="clear" w:color="auto" w:fill="auto"/>
          </w:tcPr>
          <w:p w:rsidR="00E230E9" w:rsidRPr="00600106" w:rsidRDefault="00E230E9" w:rsidP="00F80E69">
            <w:pPr>
              <w:spacing w:after="60"/>
              <w:rPr>
                <w:sz w:val="10"/>
              </w:rPr>
            </w:pPr>
          </w:p>
        </w:tc>
        <w:tc>
          <w:tcPr>
            <w:tcW w:w="417" w:type="dxa"/>
            <w:tcBorders>
              <w:top w:val="nil"/>
              <w:left w:val="nil"/>
              <w:bottom w:val="nil"/>
              <w:right w:val="nil"/>
            </w:tcBorders>
            <w:shd w:val="clear" w:color="auto" w:fill="auto"/>
          </w:tcPr>
          <w:p w:rsidR="00E230E9" w:rsidRPr="00600106" w:rsidRDefault="00E230E9" w:rsidP="00F80E69">
            <w:pPr>
              <w:spacing w:after="60"/>
              <w:rPr>
                <w:sz w:val="10"/>
              </w:rPr>
            </w:pPr>
          </w:p>
        </w:tc>
      </w:tr>
      <w:tr w:rsidR="00E230E9" w:rsidRPr="00A40EB5" w:rsidTr="001F0D50">
        <w:trPr>
          <w:gridBefore w:val="1"/>
          <w:wBefore w:w="382" w:type="dxa"/>
        </w:trPr>
        <w:tc>
          <w:tcPr>
            <w:tcW w:w="15206" w:type="dxa"/>
            <w:gridSpan w:val="17"/>
            <w:tcBorders>
              <w:bottom w:val="single" w:sz="4" w:space="0" w:color="auto"/>
            </w:tcBorders>
            <w:shd w:val="clear" w:color="auto" w:fill="FFFFFF" w:themeFill="background1"/>
          </w:tcPr>
          <w:p w:rsidR="005D3E0A" w:rsidRPr="005D3E0A" w:rsidRDefault="005D3E0A" w:rsidP="005D3E0A">
            <w:pPr>
              <w:autoSpaceDE w:val="0"/>
              <w:autoSpaceDN w:val="0"/>
              <w:adjustRightInd w:val="0"/>
              <w:spacing w:after="0" w:line="240" w:lineRule="auto"/>
              <w:rPr>
                <w:rFonts w:ascii="Bauhaus 93" w:hAnsi="Bauhaus 93" w:cs="Bauhaus 93"/>
                <w:color w:val="7030A0"/>
                <w:sz w:val="52"/>
                <w:szCs w:val="52"/>
              </w:rPr>
            </w:pPr>
            <w:r w:rsidRPr="005D3E0A">
              <w:rPr>
                <w:rFonts w:ascii="Kristen ITC" w:hAnsi="Kristen ITC"/>
                <w:b/>
                <w:color w:val="7030A0"/>
                <w:sz w:val="32"/>
                <w:szCs w:val="32"/>
              </w:rPr>
              <w:t>The wider musical environment – anywhere and everywhere around the school!</w:t>
            </w:r>
            <w:r w:rsidRPr="005D3E0A">
              <w:rPr>
                <w:rFonts w:ascii="Bauhaus 93" w:hAnsi="Bauhaus 93" w:cs="Bauhaus 93"/>
                <w:color w:val="7030A0"/>
                <w:sz w:val="52"/>
                <w:szCs w:val="52"/>
              </w:rPr>
              <w:t xml:space="preserve"> </w:t>
            </w:r>
          </w:p>
          <w:p w:rsidR="001F0D50" w:rsidRPr="001F0D50" w:rsidRDefault="001F0D50" w:rsidP="001F0D50">
            <w:pPr>
              <w:spacing w:line="240" w:lineRule="auto"/>
              <w:rPr>
                <w:bCs/>
                <w:sz w:val="20"/>
                <w:szCs w:val="20"/>
              </w:rPr>
            </w:pPr>
            <w:r w:rsidRPr="001F0D50">
              <w:rPr>
                <w:bCs/>
                <w:sz w:val="20"/>
                <w:szCs w:val="20"/>
              </w:rPr>
              <w:t>There are many and varies opportunities to include Music in the day-to-day life of the school. These include:</w:t>
            </w:r>
          </w:p>
          <w:p w:rsidR="00431967" w:rsidRPr="001F0D50" w:rsidRDefault="001F0D50" w:rsidP="001F0D50">
            <w:pPr>
              <w:spacing w:line="240" w:lineRule="auto"/>
              <w:rPr>
                <w:bCs/>
                <w:sz w:val="24"/>
                <w:szCs w:val="24"/>
              </w:rPr>
            </w:pPr>
            <w:r w:rsidRPr="001F0D50">
              <w:rPr>
                <w:bCs/>
                <w:sz w:val="20"/>
                <w:szCs w:val="20"/>
              </w:rPr>
              <w:t>Singing in class, assembly, or playground; Topic-specific songs and dances; As an aid to learning, including times-tables, historical facts, and vocabulary; English – lyrics and songs derived from poem; After-school clubs; Structuring transitions or countdowns; To set a mood or tone in the classroom; To inspire writing; To stimulate a debate; Performance collaborations with other groups or schools; Talent shows; In support of Dance; For relaxation, reflection, focus; As a stimuli/talking-point.</w:t>
            </w:r>
          </w:p>
        </w:tc>
      </w:tr>
    </w:tbl>
    <w:p w:rsidR="005624D1" w:rsidRDefault="005D3E0A"/>
    <w:sectPr w:rsidR="005624D1" w:rsidSect="003C3C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E9"/>
    <w:rsid w:val="000D0075"/>
    <w:rsid w:val="001F0D50"/>
    <w:rsid w:val="00266034"/>
    <w:rsid w:val="002B2E78"/>
    <w:rsid w:val="00371C99"/>
    <w:rsid w:val="00425642"/>
    <w:rsid w:val="00431967"/>
    <w:rsid w:val="00444180"/>
    <w:rsid w:val="00542F73"/>
    <w:rsid w:val="005D3E0A"/>
    <w:rsid w:val="00CC44E3"/>
    <w:rsid w:val="00E230E9"/>
    <w:rsid w:val="00EE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2BB3"/>
  <w15:docId w15:val="{1643F8E8-2C35-4F06-8477-B1BFE334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180"/>
    <w:rPr>
      <w:color w:val="0563C1" w:themeColor="hyperlink"/>
      <w:u w:val="single"/>
    </w:rPr>
  </w:style>
  <w:style w:type="paragraph" w:customStyle="1" w:styleId="Default">
    <w:name w:val="Default"/>
    <w:rsid w:val="004441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Harrison</dc:creator>
  <cp:lastModifiedBy>Chris Harrison</cp:lastModifiedBy>
  <cp:revision>5</cp:revision>
  <dcterms:created xsi:type="dcterms:W3CDTF">2020-11-04T18:14:00Z</dcterms:created>
  <dcterms:modified xsi:type="dcterms:W3CDTF">2021-05-22T11:13:00Z</dcterms:modified>
</cp:coreProperties>
</file>