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D2D8DE0" w:rsidR="00E66558" w:rsidRPr="00F15386" w:rsidRDefault="009D71E8">
      <w:pPr>
        <w:pStyle w:val="Heading1"/>
        <w:rPr>
          <w:color w:val="FF0000"/>
        </w:rPr>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F15386">
        <w:t>-</w:t>
      </w:r>
      <w:r w:rsidR="00F15386">
        <w:rPr>
          <w:color w:val="FF0000"/>
        </w:rPr>
        <w:t xml:space="preserve"> REVIEW</w:t>
      </w:r>
      <w:bookmarkStart w:id="14" w:name="_GoBack"/>
      <w:bookmarkEnd w:id="14"/>
    </w:p>
    <w:p w14:paraId="2A7D54B2" w14:textId="38F3F82E"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E437DD">
        <w:rPr>
          <w:b w:val="0"/>
          <w:bCs/>
          <w:color w:val="auto"/>
          <w:sz w:val="24"/>
          <w:szCs w:val="24"/>
        </w:rPr>
        <w:t>2</w:t>
      </w:r>
      <w:r>
        <w:rPr>
          <w:b w:val="0"/>
          <w:bCs/>
          <w:color w:val="auto"/>
          <w:sz w:val="24"/>
          <w:szCs w:val="24"/>
        </w:rPr>
        <w:t xml:space="preserve"> to 202</w:t>
      </w:r>
      <w:r w:rsidR="00E437DD">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69E0D52" w:rsidR="00E66558" w:rsidRDefault="00770681">
            <w:pPr>
              <w:pStyle w:val="TableRow"/>
            </w:pPr>
            <w:r>
              <w:t>Hanslope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B4C79B1" w:rsidR="00E66558" w:rsidRDefault="00CE05A0" w:rsidP="00CE05A0">
            <w:pPr>
              <w:pStyle w:val="TableRow"/>
              <w:ind w:left="0"/>
            </w:pPr>
            <w:r>
              <w:t>279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7FE7E95" w:rsidR="00E66558" w:rsidRDefault="00CE05A0">
            <w:pPr>
              <w:pStyle w:val="TableRow"/>
            </w:pPr>
            <w:r>
              <w:t>16.5%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82C09DD" w:rsidR="00E66558" w:rsidRDefault="00CE05A0">
            <w:pPr>
              <w:pStyle w:val="TableRow"/>
            </w:pPr>
            <w:r>
              <w:t>2022/2023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19908A0" w:rsidR="00E66558" w:rsidRDefault="00770681">
            <w:pPr>
              <w:pStyle w:val="TableRow"/>
            </w:pPr>
            <w:r>
              <w:t>December 202</w:t>
            </w:r>
            <w:r w:rsidR="00CE05A0">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280C993" w:rsidR="00E66558" w:rsidRDefault="00770681">
            <w:pPr>
              <w:pStyle w:val="TableRow"/>
            </w:pPr>
            <w:r>
              <w:t>September 202</w:t>
            </w:r>
            <w:r w:rsidR="00CE05A0">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55041E8" w:rsidR="00E66558" w:rsidRDefault="00770681">
            <w:pPr>
              <w:pStyle w:val="TableRow"/>
            </w:pPr>
            <w:r>
              <w:t>Ryan Brown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944CF70" w:rsidR="00E66558" w:rsidRDefault="00CE05A0">
            <w:pPr>
              <w:pStyle w:val="TableRow"/>
            </w:pPr>
            <w:r>
              <w:t>Teresa Cartlidge and Catherine Jackson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E120630" w:rsidR="00E66558" w:rsidRDefault="00770681">
            <w:pPr>
              <w:pStyle w:val="TableRow"/>
            </w:pPr>
            <w:r>
              <w:t>Franc</w:t>
            </w:r>
            <w:r w:rsidR="00781081">
              <w:t>e</w:t>
            </w:r>
            <w:r>
              <w:t>s Duck</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B20121">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BE1F80E" w:rsidR="00E66558" w:rsidRDefault="00CE05A0">
            <w:pPr>
              <w:pStyle w:val="TableRow"/>
            </w:pPr>
            <w:r>
              <w:t>£47,090.00</w:t>
            </w:r>
          </w:p>
        </w:tc>
      </w:tr>
      <w:tr w:rsidR="00E66558" w14:paraId="2A7D54DC" w14:textId="77777777" w:rsidTr="00B20121">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11478D" w:rsidRDefault="009D71E8">
            <w:pPr>
              <w:pStyle w:val="TableRow"/>
            </w:pPr>
            <w:r w:rsidRPr="0011478D">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05502F9" w:rsidR="00E66558" w:rsidRDefault="008729A1">
            <w:pPr>
              <w:pStyle w:val="TableRow"/>
            </w:pPr>
            <w:r>
              <w:t>£4359.38</w:t>
            </w:r>
          </w:p>
        </w:tc>
      </w:tr>
      <w:tr w:rsidR="00E66558" w14:paraId="2A7D54DF" w14:textId="77777777" w:rsidTr="00B20121">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7FF793F" w:rsidR="00E66558" w:rsidRDefault="009D71E8" w:rsidP="00781081">
            <w:pPr>
              <w:pStyle w:val="TableRow"/>
            </w:pPr>
            <w:r>
              <w:t>£</w:t>
            </w:r>
            <w:r w:rsidR="00781081">
              <w:t xml:space="preserve"> 0</w:t>
            </w:r>
          </w:p>
        </w:tc>
      </w:tr>
      <w:tr w:rsidR="00E66558" w14:paraId="2A7D54E3" w14:textId="77777777" w:rsidTr="00B20121">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9910B" w14:textId="6DC93DEC" w:rsidR="00E66558" w:rsidRDefault="00CE05A0">
            <w:pPr>
              <w:pStyle w:val="TableRow"/>
            </w:pPr>
            <w:r>
              <w:t>£47,090.00</w:t>
            </w:r>
          </w:p>
          <w:p w14:paraId="1F2944EC" w14:textId="77777777" w:rsidR="008729A1" w:rsidRDefault="008729A1">
            <w:pPr>
              <w:pStyle w:val="TableRow"/>
            </w:pPr>
          </w:p>
          <w:p w14:paraId="2A7D54E2" w14:textId="5C596B96" w:rsidR="008729A1" w:rsidRDefault="008729A1">
            <w:pPr>
              <w:pStyle w:val="TableRow"/>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BEB89" w14:textId="42C7576D" w:rsidR="00CE05A0" w:rsidRDefault="00CE05A0" w:rsidP="004C2663">
            <w:r>
              <w:t xml:space="preserve">All members of staff and governors at </w:t>
            </w:r>
            <w:r w:rsidR="00477992">
              <w:t>Hanslope Primary School</w:t>
            </w:r>
            <w:r>
              <w:t xml:space="preserve"> accept responsibility for disadvantaged pupils and are committed to meeting their pastoral, social and academic needs within the school environment. We are committed to diminishing the gap between vulnerable pupils and their peers. The pupil premium grant forms a vital part of this process. Our intention is that all pupils, regardless of their background, or the challenges they face, make good or better progress and achieve their full potential across all subject areas. The focus of our pupil premium strategy is to support disadvantaged pupils, including those who are high attainers, to achieve that goal. </w:t>
            </w:r>
          </w:p>
          <w:p w14:paraId="4C42EB8D" w14:textId="1D59F902" w:rsidR="00CE05A0" w:rsidRDefault="00CE05A0" w:rsidP="004C2663">
            <w:r>
              <w:t>We are an inclusive school and quality first teaching is at the heart of our approach. This is proven to have the greatest impact on closing the disadvantaged attainment gap, and will also benefit the non-disadvantaged pupils in our school, as well as the intention that disadvantaged pupils will achieve as well academically as their non-disadvantaged peers. We also consider other factors which could affect their development as a whole, such as their self-esteem and their future aspirations.</w:t>
            </w:r>
          </w:p>
          <w:p w14:paraId="3A38517B" w14:textId="77777777" w:rsidR="00CE05A0" w:rsidRDefault="00CE05A0" w:rsidP="004C2663">
            <w:r>
              <w:t xml:space="preserve">We will consider the range of challenges faced by disadvantaged pupils, and identify strategies to overcome these, so they do not become a barrier to success. </w:t>
            </w:r>
          </w:p>
          <w:p w14:paraId="53B9C146" w14:textId="77777777" w:rsidR="00CE05A0" w:rsidRDefault="00CE05A0" w:rsidP="004C2663">
            <w:r>
              <w:t xml:space="preserve">Our approach is based on a clear understanding of the needs of our pupils, the strategies that have the greatest impact and a cycle of assessment. This allows us to reflect, review and change our approach accordingly. </w:t>
            </w:r>
          </w:p>
          <w:p w14:paraId="52193E5A" w14:textId="5CE80A6D" w:rsidR="00CE05A0" w:rsidRDefault="00CE05A0" w:rsidP="004C2663">
            <w:r>
              <w:t xml:space="preserve">To ensure strategies are effective, as a team, we will </w:t>
            </w:r>
            <w:r w:rsidR="00477992">
              <w:t>continue to carry out the following:</w:t>
            </w:r>
          </w:p>
          <w:p w14:paraId="439E48A6" w14:textId="77777777" w:rsidR="00477992" w:rsidRDefault="00CE05A0" w:rsidP="00477992">
            <w:pPr>
              <w:pStyle w:val="ListParagraph"/>
              <w:numPr>
                <w:ilvl w:val="0"/>
                <w:numId w:val="19"/>
              </w:numPr>
              <w:spacing w:after="0"/>
            </w:pPr>
            <w:r>
              <w:t>ensure disadvantaged pupils are challenged in the work that they are set</w:t>
            </w:r>
          </w:p>
          <w:p w14:paraId="1DEF32BB" w14:textId="77777777" w:rsidR="00477992" w:rsidRDefault="00CE05A0" w:rsidP="00477992">
            <w:pPr>
              <w:pStyle w:val="ListParagraph"/>
              <w:numPr>
                <w:ilvl w:val="0"/>
                <w:numId w:val="19"/>
              </w:numPr>
              <w:spacing w:after="0"/>
            </w:pPr>
            <w:r>
              <w:t>respond in a timely manner to intervene when need is identified</w:t>
            </w:r>
          </w:p>
          <w:p w14:paraId="16FE80ED" w14:textId="77777777" w:rsidR="00477992" w:rsidRDefault="00CE05A0" w:rsidP="00477992">
            <w:pPr>
              <w:pStyle w:val="ListParagraph"/>
              <w:numPr>
                <w:ilvl w:val="0"/>
                <w:numId w:val="19"/>
              </w:numPr>
              <w:spacing w:after="0"/>
            </w:pPr>
            <w:r>
              <w:t xml:space="preserve">adopt a whole school approach where staff take responsibility for disadvantaged pupils’ outcomes </w:t>
            </w:r>
          </w:p>
          <w:p w14:paraId="2A7D54E9" w14:textId="491DCAEB" w:rsidR="00D03ED7" w:rsidRPr="00477992" w:rsidRDefault="00CE05A0" w:rsidP="00477992">
            <w:pPr>
              <w:pStyle w:val="ListParagraph"/>
              <w:numPr>
                <w:ilvl w:val="0"/>
                <w:numId w:val="19"/>
              </w:numPr>
              <w:spacing w:after="0"/>
            </w:pPr>
            <w:r>
              <w:t>have high expectations of achievement</w:t>
            </w:r>
          </w:p>
        </w:tc>
      </w:tr>
    </w:tbl>
    <w:p w14:paraId="39703BB4" w14:textId="77777777" w:rsidR="00E437DD" w:rsidRDefault="00E437DD">
      <w:pPr>
        <w:pStyle w:val="Heading2"/>
        <w:spacing w:before="600"/>
      </w:pPr>
    </w:p>
    <w:p w14:paraId="58EEF83D" w14:textId="77777777" w:rsidR="00E437DD" w:rsidRDefault="00E437DD">
      <w:pPr>
        <w:pStyle w:val="Heading2"/>
        <w:spacing w:before="600"/>
      </w:pPr>
    </w:p>
    <w:p w14:paraId="2A7D54EB" w14:textId="21AF30C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57F54" w14:textId="2AE7CF1F" w:rsidR="00E66558" w:rsidRDefault="00477992" w:rsidP="00E875DF">
            <w:pPr>
              <w:pStyle w:val="TableRowCentered"/>
              <w:ind w:left="0"/>
              <w:jc w:val="left"/>
              <w:rPr>
                <w:shd w:val="clear" w:color="auto" w:fill="FF0000"/>
              </w:rPr>
            </w:pPr>
            <w:r>
              <w:t>Data analysis, book scrutinies</w:t>
            </w:r>
            <w:r w:rsidR="00065232">
              <w:t xml:space="preserve"> and</w:t>
            </w:r>
            <w:r>
              <w:t xml:space="preserve"> PM Benchmarking results this academic year shows that in years 2, 3, 4 and 6 more disadvantaged pupils are working below age related expectations in reading than their non-disadvantaged peers</w:t>
            </w:r>
            <w:r w:rsidR="0040774D">
              <w:t>.</w:t>
            </w:r>
          </w:p>
          <w:p w14:paraId="00D2C61B" w14:textId="77777777" w:rsidR="0045438F" w:rsidRDefault="00F04A83" w:rsidP="00E875DF">
            <w:pPr>
              <w:pStyle w:val="TableRowCentered"/>
              <w:ind w:left="0"/>
              <w:jc w:val="left"/>
            </w:pPr>
            <w:r>
              <w:t>Year 2: -67%</w:t>
            </w:r>
          </w:p>
          <w:p w14:paraId="7DC7CEC1" w14:textId="77777777" w:rsidR="00F04A83" w:rsidRDefault="00F04A83" w:rsidP="00E875DF">
            <w:pPr>
              <w:pStyle w:val="TableRowCentered"/>
              <w:ind w:left="0"/>
              <w:jc w:val="left"/>
            </w:pPr>
            <w:r>
              <w:t>Year 4: -9%</w:t>
            </w:r>
          </w:p>
          <w:p w14:paraId="5D17206F" w14:textId="77777777" w:rsidR="00F04A83" w:rsidRDefault="00F04A83" w:rsidP="00E875DF">
            <w:pPr>
              <w:pStyle w:val="TableRowCentered"/>
              <w:ind w:left="0"/>
              <w:jc w:val="left"/>
            </w:pPr>
            <w:r>
              <w:t>Year 5: -4%</w:t>
            </w:r>
          </w:p>
          <w:p w14:paraId="2A7D54F1" w14:textId="184F48D8" w:rsidR="00F04A83" w:rsidRDefault="00F04A83" w:rsidP="00E875DF">
            <w:pPr>
              <w:pStyle w:val="TableRowCentered"/>
              <w:ind w:left="0"/>
              <w:jc w:val="left"/>
            </w:pPr>
            <w:r>
              <w:t>Year 6: -58%</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70BF1" w14:textId="1A019029" w:rsidR="00E66558" w:rsidRDefault="00477992">
            <w:pPr>
              <w:pStyle w:val="TableRowCentered"/>
              <w:jc w:val="left"/>
              <w:rPr>
                <w:shd w:val="clear" w:color="auto" w:fill="FF0000"/>
              </w:rPr>
            </w:pPr>
            <w:r>
              <w:t>Data analysis and book scrutinies this academic year shows that in years 3, 4 and 6 more disadvantaged pupils are working below age related expectations in maths than their non-disadvantaged peers.</w:t>
            </w:r>
            <w:r w:rsidR="0084781D">
              <w:t xml:space="preserve"> </w:t>
            </w:r>
          </w:p>
          <w:p w14:paraId="11CFCC89" w14:textId="77777777" w:rsidR="00F04A83" w:rsidRPr="0040774D" w:rsidRDefault="00F04A83">
            <w:pPr>
              <w:pStyle w:val="TableRowCentered"/>
              <w:jc w:val="left"/>
              <w:rPr>
                <w:szCs w:val="24"/>
              </w:rPr>
            </w:pPr>
            <w:r w:rsidRPr="0040774D">
              <w:rPr>
                <w:szCs w:val="24"/>
              </w:rPr>
              <w:t>Year 1: -45%</w:t>
            </w:r>
          </w:p>
          <w:p w14:paraId="4F76EB96" w14:textId="77777777" w:rsidR="00F04A83" w:rsidRPr="0040774D" w:rsidRDefault="00F04A83">
            <w:pPr>
              <w:pStyle w:val="TableRowCentered"/>
              <w:jc w:val="left"/>
              <w:rPr>
                <w:szCs w:val="24"/>
              </w:rPr>
            </w:pPr>
            <w:r w:rsidRPr="0040774D">
              <w:rPr>
                <w:szCs w:val="24"/>
              </w:rPr>
              <w:t>Year 2: -70%</w:t>
            </w:r>
          </w:p>
          <w:p w14:paraId="2B84EAEA" w14:textId="77777777" w:rsidR="00F04A83" w:rsidRPr="0040774D" w:rsidRDefault="00F04A83">
            <w:pPr>
              <w:pStyle w:val="TableRowCentered"/>
              <w:jc w:val="left"/>
              <w:rPr>
                <w:szCs w:val="24"/>
              </w:rPr>
            </w:pPr>
            <w:r w:rsidRPr="0040774D">
              <w:rPr>
                <w:szCs w:val="24"/>
              </w:rPr>
              <w:t>Year 4: -3%</w:t>
            </w:r>
          </w:p>
          <w:p w14:paraId="06FC5227" w14:textId="77777777" w:rsidR="00F04A83" w:rsidRPr="0040774D" w:rsidRDefault="00F04A83">
            <w:pPr>
              <w:pStyle w:val="TableRowCentered"/>
              <w:jc w:val="left"/>
              <w:rPr>
                <w:szCs w:val="24"/>
              </w:rPr>
            </w:pPr>
            <w:r w:rsidRPr="0040774D">
              <w:rPr>
                <w:szCs w:val="24"/>
              </w:rPr>
              <w:t>Year 5: -19%</w:t>
            </w:r>
          </w:p>
          <w:p w14:paraId="2A7D54F4" w14:textId="5CC94B8B" w:rsidR="00F04A83" w:rsidRDefault="00F04A83">
            <w:pPr>
              <w:pStyle w:val="TableRowCentered"/>
              <w:jc w:val="left"/>
              <w:rPr>
                <w:sz w:val="22"/>
                <w:szCs w:val="22"/>
              </w:rPr>
            </w:pPr>
            <w:r w:rsidRPr="0040774D">
              <w:rPr>
                <w:szCs w:val="24"/>
              </w:rPr>
              <w:t>Year 6: -31%</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37B9" w14:textId="49043BB4" w:rsidR="00E66558" w:rsidRDefault="00477992">
            <w:pPr>
              <w:pStyle w:val="TableRowCentered"/>
              <w:jc w:val="left"/>
              <w:rPr>
                <w:shd w:val="clear" w:color="auto" w:fill="FF0000"/>
              </w:rPr>
            </w:pPr>
            <w:r>
              <w:t>Data analysis and book scrutinies this academic year shows that in years 2, 3, and 6 more disadvantaged pupils are working below age related expectations in writing than their non-disadvantaged peers.</w:t>
            </w:r>
            <w:r w:rsidR="0084781D">
              <w:t xml:space="preserve"> </w:t>
            </w:r>
          </w:p>
          <w:p w14:paraId="162E3BE1" w14:textId="77777777" w:rsidR="00F04A83" w:rsidRPr="0040774D" w:rsidRDefault="00F04A83">
            <w:pPr>
              <w:pStyle w:val="TableRowCentered"/>
              <w:jc w:val="left"/>
              <w:rPr>
                <w:szCs w:val="24"/>
              </w:rPr>
            </w:pPr>
            <w:r w:rsidRPr="0040774D">
              <w:rPr>
                <w:szCs w:val="24"/>
              </w:rPr>
              <w:t>Year 1: -52%</w:t>
            </w:r>
          </w:p>
          <w:p w14:paraId="303B0454" w14:textId="77777777" w:rsidR="00F04A83" w:rsidRPr="0040774D" w:rsidRDefault="00F04A83">
            <w:pPr>
              <w:pStyle w:val="TableRowCentered"/>
              <w:jc w:val="left"/>
              <w:rPr>
                <w:szCs w:val="24"/>
              </w:rPr>
            </w:pPr>
            <w:r w:rsidRPr="0040774D">
              <w:rPr>
                <w:szCs w:val="24"/>
              </w:rPr>
              <w:t>Year 2: -40%</w:t>
            </w:r>
          </w:p>
          <w:p w14:paraId="5F11E7D4" w14:textId="77777777" w:rsidR="00F04A83" w:rsidRPr="0040774D" w:rsidRDefault="00F04A83">
            <w:pPr>
              <w:pStyle w:val="TableRowCentered"/>
              <w:jc w:val="left"/>
              <w:rPr>
                <w:szCs w:val="24"/>
              </w:rPr>
            </w:pPr>
            <w:r w:rsidRPr="0040774D">
              <w:rPr>
                <w:szCs w:val="24"/>
              </w:rPr>
              <w:t>Year 3: -3%</w:t>
            </w:r>
          </w:p>
          <w:p w14:paraId="3B230AAF" w14:textId="77777777" w:rsidR="00F04A83" w:rsidRPr="0040774D" w:rsidRDefault="00F04A83">
            <w:pPr>
              <w:pStyle w:val="TableRowCentered"/>
              <w:jc w:val="left"/>
              <w:rPr>
                <w:szCs w:val="24"/>
              </w:rPr>
            </w:pPr>
            <w:r w:rsidRPr="0040774D">
              <w:rPr>
                <w:szCs w:val="24"/>
              </w:rPr>
              <w:t>Year 4: -17%</w:t>
            </w:r>
          </w:p>
          <w:p w14:paraId="2A7D54F7" w14:textId="41E942E4" w:rsidR="00F04A83" w:rsidRDefault="00F04A83">
            <w:pPr>
              <w:pStyle w:val="TableRowCentered"/>
              <w:jc w:val="left"/>
              <w:rPr>
                <w:sz w:val="22"/>
                <w:szCs w:val="22"/>
              </w:rPr>
            </w:pPr>
            <w:r w:rsidRPr="0040774D">
              <w:rPr>
                <w:szCs w:val="24"/>
              </w:rPr>
              <w:t>Year 6: -48%</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FD64EB9" w:rsidR="00E66558" w:rsidRDefault="00477992">
            <w:pPr>
              <w:pStyle w:val="TableRowCentered"/>
              <w:jc w:val="left"/>
              <w:rPr>
                <w:iCs/>
                <w:sz w:val="22"/>
              </w:rPr>
            </w:pPr>
            <w:r>
              <w:t xml:space="preserve">Attendance data for this academic year shows that attendance for disadvantaged pupils is </w:t>
            </w:r>
            <w:r w:rsidR="0084781D">
              <w:t xml:space="preserve">slightly </w:t>
            </w:r>
            <w:r>
              <w:t>lower than their non-disadvantaged peers</w:t>
            </w:r>
            <w:r w:rsidR="0084781D">
              <w:t xml:space="preserve">. Percentages show that pupil premium children’s attendance is 0.18% lower than the national expectation. </w:t>
            </w:r>
            <w:r>
              <w:t xml:space="preserve">Discussions with teachers, and data analysis, show that poor attendance is having an impact on the progress </w:t>
            </w:r>
            <w:r w:rsidR="00821939">
              <w:t>in</w:t>
            </w:r>
            <w:r>
              <w:t xml:space="preserve"> attainment of disadvantaged children.</w:t>
            </w:r>
            <w:r w:rsidR="0084781D">
              <w:t xml:space="preserve">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8BE1A41" w:rsidR="00E66558" w:rsidRDefault="0084781D" w:rsidP="00477992">
            <w:pPr>
              <w:pStyle w:val="TableRowCentered"/>
              <w:ind w:left="0"/>
              <w:jc w:val="left"/>
              <w:rPr>
                <w:iCs/>
                <w:sz w:val="22"/>
              </w:rPr>
            </w:pPr>
            <w:r>
              <w:t xml:space="preserve">Observations, and discussions with pupils and parents, indicate the education and wellbeing of many of our disadvantaged pupils have been negatively impacted by the recent disruption to education. We have </w:t>
            </w:r>
            <w:r>
              <w:lastRenderedPageBreak/>
              <w:t xml:space="preserve">identified social and emotional issues for many pupils, along with a lack of enrichment opportunities. These challenges particular affect disadvantaged pupils, including their attainment. </w:t>
            </w:r>
          </w:p>
        </w:tc>
      </w:tr>
    </w:tbl>
    <w:p w14:paraId="5DB8D73B" w14:textId="77777777" w:rsidR="0084781D" w:rsidRDefault="0084781D">
      <w:pPr>
        <w:pStyle w:val="Heading2"/>
        <w:spacing w:before="600"/>
      </w:pPr>
    </w:p>
    <w:p w14:paraId="2278EFD1" w14:textId="77777777" w:rsidR="0084781D" w:rsidRDefault="0084781D">
      <w:pPr>
        <w:pStyle w:val="Heading2"/>
        <w:spacing w:before="600"/>
      </w:pPr>
    </w:p>
    <w:p w14:paraId="2A7D54FF" w14:textId="1725DC16"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162E319" w:rsidR="00E66558" w:rsidRPr="00722B2A" w:rsidRDefault="0084781D">
            <w:pPr>
              <w:pStyle w:val="TableRow"/>
            </w:pPr>
            <w:r>
              <w:t>1. To accelerate progress in order to raise attainment in reading for all disadvantaged pupils, so that they are achieving in line with their non</w:t>
            </w:r>
            <w:r w:rsidR="002C57EE">
              <w:t>-</w:t>
            </w:r>
            <w:r>
              <w:t>disadvantaged peers, and to sustain this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321B4F3" w:rsidR="00E66558" w:rsidRDefault="002C57EE">
            <w:pPr>
              <w:pStyle w:val="TableRowCentered"/>
              <w:jc w:val="left"/>
              <w:rPr>
                <w:sz w:val="22"/>
                <w:szCs w:val="22"/>
              </w:rPr>
            </w:pPr>
            <w:r>
              <w:t>July 202</w:t>
            </w:r>
            <w:r w:rsidR="00821939">
              <w:t>3</w:t>
            </w:r>
            <w:r>
              <w:t xml:space="preserve"> data to show that disadvantaged pupils made more than average progress in reading in order to narrow the attainment gap. This to be sustained for 2023-24/2024-25.</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D0585F5" w:rsidR="00E66558" w:rsidRPr="000937C4" w:rsidRDefault="002C57EE">
            <w:pPr>
              <w:pStyle w:val="TableRow"/>
              <w:rPr>
                <w:sz w:val="22"/>
                <w:szCs w:val="22"/>
                <w:highlight w:val="yellow"/>
              </w:rPr>
            </w:pPr>
            <w:r>
              <w:t>2. To accelerate progress in order to raise attainment in maths for all disadvantaged pupils, so that they are achieving in line with their non-disadvantaged peers, and to sustain this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2043A91" w:rsidR="00E66558" w:rsidRPr="000937C4" w:rsidRDefault="002C57EE">
            <w:pPr>
              <w:pStyle w:val="TableRowCentered"/>
              <w:jc w:val="left"/>
              <w:rPr>
                <w:sz w:val="22"/>
                <w:szCs w:val="22"/>
                <w:highlight w:val="yellow"/>
              </w:rPr>
            </w:pPr>
            <w:r>
              <w:t>July 202</w:t>
            </w:r>
            <w:r w:rsidR="00821939">
              <w:t>3</w:t>
            </w:r>
            <w:r>
              <w:t xml:space="preserve"> data to show that disadvantaged pupils made more than average progress in reading in order to narrow the attainment gap. This to be sustained for 2023-24/2024-25.</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E594070" w:rsidR="00E66558" w:rsidRPr="009A40D4" w:rsidRDefault="002C57EE">
            <w:pPr>
              <w:pStyle w:val="TableRow"/>
              <w:rPr>
                <w:sz w:val="22"/>
                <w:szCs w:val="22"/>
              </w:rPr>
            </w:pPr>
            <w:r>
              <w:t>3. To accelerate progress in order to raise attainment in writing for all disadvantaged pupils, so that they are achieving in line with their non-disadvantaged peers, and to sustain this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32DA33A" w:rsidR="00E66558" w:rsidRPr="009A40D4" w:rsidRDefault="002C57EE">
            <w:pPr>
              <w:pStyle w:val="TableRowCentered"/>
              <w:jc w:val="left"/>
              <w:rPr>
                <w:sz w:val="22"/>
                <w:szCs w:val="22"/>
              </w:rPr>
            </w:pPr>
            <w:r>
              <w:t>July 202</w:t>
            </w:r>
            <w:r w:rsidR="00821939">
              <w:t>3</w:t>
            </w:r>
            <w:r>
              <w:t xml:space="preserve"> data to show that disadvantaged pupils made more than average progress in reading in order to narrow the attainment gap. This to be sustained for 2023-24/2024-25.</w:t>
            </w:r>
          </w:p>
        </w:tc>
      </w:tr>
      <w:tr w:rsidR="0058297A" w14:paraId="00D74B9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F0ED3" w14:textId="64B85A4A" w:rsidR="0058297A" w:rsidRDefault="008C5A59">
            <w:pPr>
              <w:pStyle w:val="TableRow"/>
            </w:pPr>
            <w:r>
              <w:t xml:space="preserve">4. To achieve and sustain improved attendance for disadvantaged pupils so that it is more in line with national expectations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89FCC" w14:textId="20A9CFF2" w:rsidR="0058297A" w:rsidRDefault="008C5A59">
            <w:pPr>
              <w:pStyle w:val="TableRowCentered"/>
              <w:jc w:val="left"/>
            </w:pPr>
            <w:r>
              <w:t>Attendance data shows sustained high attendance for disadvantaged children - above 95% - therefore, reflecting national expectation</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A7FA666" w:rsidR="00E66558" w:rsidRDefault="009D71E8">
      <w:r>
        <w:t xml:space="preserve">Budgeted cost: £ </w:t>
      </w:r>
      <w:r w:rsidR="00B20121">
        <w:rPr>
          <w:i/>
          <w:iCs/>
        </w:rPr>
        <w:t>9000</w:t>
      </w:r>
    </w:p>
    <w:tbl>
      <w:tblPr>
        <w:tblW w:w="5000" w:type="pct"/>
        <w:tblCellMar>
          <w:left w:w="10" w:type="dxa"/>
          <w:right w:w="10" w:type="dxa"/>
        </w:tblCellMar>
        <w:tblLook w:val="04A0" w:firstRow="1" w:lastRow="0" w:firstColumn="1" w:lastColumn="0" w:noHBand="0" w:noVBand="1"/>
      </w:tblPr>
      <w:tblGrid>
        <w:gridCol w:w="2972"/>
        <w:gridCol w:w="4820"/>
        <w:gridCol w:w="1694"/>
      </w:tblGrid>
      <w:tr w:rsidR="00E66558" w14:paraId="2A7D5519" w14:textId="77777777" w:rsidTr="009F29AD">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9F29AD">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686B6" w14:textId="5518E22A" w:rsidR="00DD2B3A" w:rsidRDefault="00DD2B3A">
            <w:pPr>
              <w:pStyle w:val="TableRow"/>
            </w:pPr>
            <w:r>
              <w:t>English faculty to attend relevant CPD training on updates and the promotion of reading</w:t>
            </w:r>
          </w:p>
          <w:p w14:paraId="62E32600" w14:textId="77777777" w:rsidR="00DD2B3A" w:rsidRDefault="00DD2B3A">
            <w:pPr>
              <w:pStyle w:val="TableRow"/>
            </w:pPr>
          </w:p>
          <w:p w14:paraId="2A7D551A" w14:textId="73BADDFD" w:rsidR="00E66558" w:rsidRDefault="008C5A59">
            <w:pPr>
              <w:pStyle w:val="TableRow"/>
            </w:pPr>
            <w:r>
              <w:t xml:space="preserve">Releasing English faculty and Maths subject lead to plan and deliver high quality staff CPD for teachers and </w:t>
            </w:r>
            <w:proofErr w:type="spellStart"/>
            <w:r>
              <w:t>TAs.</w:t>
            </w:r>
            <w:proofErr w:type="spellEnd"/>
            <w:r>
              <w:t xml:space="preserve"> This will also include time to deliver training to parents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468AFD8" w:rsidR="00E66558" w:rsidRDefault="008C5A59">
            <w:pPr>
              <w:pStyle w:val="TableRowCentered"/>
              <w:jc w:val="left"/>
              <w:rPr>
                <w:sz w:val="22"/>
              </w:rPr>
            </w:pPr>
            <w:r>
              <w:t>The EEF guide to the pupil premium states that spending on developing high quality teaching, including investing in training and support for early career teachers, ensures “an effective teacher is in front of every class and that every teacher is supported to keep improving. This is the key ingredient of a successful school and should rightly be a top priority for pupil premium spending.” Quality first teaching is known to be the most important factor to improve outcomes for disadvantaged pupils. Using the pupil premium to improve the quality of teaching benefits all students and has a particularly positive effect on children eligible for the pupil premium. Supporting the Attainment of Disadvantaged Pupils [Sharp, Macleod, Bernardinelli NFER 2015] states: For poor pupils the difference between a good teacher and a bad teacher is a whole year’s learning.</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17E43E6" w:rsidR="00E66558" w:rsidRDefault="000D3D7E">
            <w:pPr>
              <w:pStyle w:val="TableRowCentered"/>
              <w:jc w:val="left"/>
              <w:rPr>
                <w:sz w:val="22"/>
              </w:rPr>
            </w:pPr>
            <w:r>
              <w:rPr>
                <w:sz w:val="22"/>
              </w:rPr>
              <w:t>1</w:t>
            </w:r>
            <w:r w:rsidR="008C5A59">
              <w:rPr>
                <w:sz w:val="22"/>
              </w:rPr>
              <w:t>, 2, 3</w:t>
            </w:r>
          </w:p>
        </w:tc>
      </w:tr>
      <w:tr w:rsidR="00E66558" w14:paraId="2A7D5521" w14:textId="77777777" w:rsidTr="009F29AD">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CB254" w14:textId="43994313" w:rsidR="008C5A59" w:rsidRDefault="008C5A59">
            <w:pPr>
              <w:pStyle w:val="TableRow"/>
            </w:pPr>
            <w:r>
              <w:t>Developing knowledge of how to create a reading for pleasure culture in classroom</w:t>
            </w:r>
          </w:p>
          <w:p w14:paraId="46AE77CD" w14:textId="77777777" w:rsidR="008C5A59" w:rsidRDefault="008C5A59">
            <w:pPr>
              <w:pStyle w:val="TableRow"/>
            </w:pPr>
          </w:p>
          <w:p w14:paraId="6EE0F8DC" w14:textId="3D0ECC5B" w:rsidR="008C5A59" w:rsidRDefault="008C5A59">
            <w:pPr>
              <w:pStyle w:val="TableRow"/>
            </w:pPr>
            <w:r>
              <w:t>English faculty to lead staff (teachers and TAs) meetings into creating a reading for pleasure culture:</w:t>
            </w:r>
          </w:p>
          <w:p w14:paraId="5492F9AB" w14:textId="77777777" w:rsidR="008C5A59" w:rsidRDefault="008C5A59" w:rsidP="008C5A59">
            <w:pPr>
              <w:pStyle w:val="TableRow"/>
              <w:numPr>
                <w:ilvl w:val="0"/>
                <w:numId w:val="20"/>
              </w:numPr>
            </w:pPr>
            <w:r>
              <w:t>Setting up engaging reading corners</w:t>
            </w:r>
          </w:p>
          <w:p w14:paraId="783E5C69" w14:textId="77777777" w:rsidR="008C5A59" w:rsidRDefault="008C5A59" w:rsidP="008C5A59">
            <w:pPr>
              <w:pStyle w:val="TableRow"/>
              <w:numPr>
                <w:ilvl w:val="0"/>
                <w:numId w:val="20"/>
              </w:numPr>
            </w:pPr>
            <w:r>
              <w:t xml:space="preserve">Ensuring children are exposed to a </w:t>
            </w:r>
            <w:r>
              <w:lastRenderedPageBreak/>
              <w:t xml:space="preserve">range of reading materials incorporating a variety of texts and genres </w:t>
            </w:r>
          </w:p>
          <w:p w14:paraId="4F9531F5" w14:textId="4566A078" w:rsidR="008C5A59" w:rsidRDefault="008C5A59" w:rsidP="00DD2B3A">
            <w:pPr>
              <w:pStyle w:val="TableRow"/>
            </w:pPr>
            <w:r>
              <w:t>Purchase of Benchmarking assessment tool</w:t>
            </w:r>
          </w:p>
          <w:p w14:paraId="4CF6569C" w14:textId="77777777" w:rsidR="00DD2B3A" w:rsidRDefault="00DD2B3A" w:rsidP="00DD2B3A">
            <w:pPr>
              <w:pStyle w:val="TableRow"/>
            </w:pPr>
          </w:p>
          <w:p w14:paraId="4F9A5973" w14:textId="3CDB87D2" w:rsidR="008C5A59" w:rsidRDefault="008C5A59" w:rsidP="00DD2B3A">
            <w:pPr>
              <w:pStyle w:val="TableRow"/>
            </w:pPr>
            <w:r>
              <w:t>Purchase of reading books linked to reading assessment</w:t>
            </w:r>
          </w:p>
          <w:p w14:paraId="1733E4C1" w14:textId="77777777" w:rsidR="00DD2B3A" w:rsidRDefault="00DD2B3A" w:rsidP="00DD2B3A">
            <w:pPr>
              <w:pStyle w:val="TableRow"/>
            </w:pPr>
          </w:p>
          <w:p w14:paraId="2A7D551E" w14:textId="36A947CA" w:rsidR="00E66558" w:rsidRPr="00A128E2" w:rsidRDefault="008C5A59" w:rsidP="00DD2B3A">
            <w:pPr>
              <w:pStyle w:val="TableRow"/>
              <w:rPr>
                <w:sz w:val="22"/>
              </w:rPr>
            </w:pPr>
            <w:r>
              <w:t>Disadvantaged pupils who do not read at home, to read daily with an adult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A90D6" w14:textId="02B60B2C" w:rsidR="00DD2B3A" w:rsidRDefault="00DD2B3A">
            <w:pPr>
              <w:pStyle w:val="TableRowCentered"/>
              <w:jc w:val="left"/>
            </w:pPr>
            <w:r>
              <w:lastRenderedPageBreak/>
              <w:t xml:space="preserve">The </w:t>
            </w:r>
            <w:r w:rsidRPr="00065232">
              <w:t>2019</w:t>
            </w:r>
            <w:r>
              <w:t xml:space="preserve"> Ofsted report found that rigorous approaches to teaching</w:t>
            </w:r>
            <w:r w:rsidR="00065232">
              <w:t xml:space="preserve"> </w:t>
            </w:r>
            <w:r>
              <w:t xml:space="preserve">reading developed children’s enjoyment and that children read widely and often (Ofsted 2019). </w:t>
            </w:r>
          </w:p>
          <w:p w14:paraId="19B83CC0" w14:textId="77777777" w:rsidR="00DD2B3A" w:rsidRDefault="00DD2B3A">
            <w:pPr>
              <w:pStyle w:val="TableRowCentered"/>
              <w:jc w:val="left"/>
            </w:pPr>
            <w:r>
              <w:t xml:space="preserve">The National Literacy Trust state: </w:t>
            </w:r>
            <w:r w:rsidRPr="00DD2B3A">
              <w:rPr>
                <w:i/>
              </w:rPr>
              <w:t xml:space="preserve">reading for enjoyment is vital to a child’s development and future success in life. Children who enjoy reading are three times more likely to read above the level expected for their age than children who don’t enjoy reading. As well as this, children who are good readers are three times more likely to have higher mental </w:t>
            </w:r>
            <w:r w:rsidRPr="00DD2B3A">
              <w:rPr>
                <w:i/>
              </w:rPr>
              <w:lastRenderedPageBreak/>
              <w:t>wellbeing than their peers with below expected reading skills.</w:t>
            </w:r>
            <w:r>
              <w:t xml:space="preserve"> </w:t>
            </w:r>
          </w:p>
          <w:p w14:paraId="1B1B133A" w14:textId="77777777" w:rsidR="00DD2B3A" w:rsidRDefault="00DD2B3A">
            <w:pPr>
              <w:pStyle w:val="TableRowCentered"/>
              <w:jc w:val="left"/>
            </w:pPr>
          </w:p>
          <w:p w14:paraId="143E268C" w14:textId="77777777" w:rsidR="00DD2B3A" w:rsidRDefault="00DD2B3A">
            <w:pPr>
              <w:pStyle w:val="TableRowCentered"/>
              <w:jc w:val="left"/>
            </w:pPr>
            <w:r>
              <w:t xml:space="preserve">Evidence suggests that there is a positive relationship between reading frequency, reading enjoyment and attainment (Clark 2011; Clark and Douglas 2011). </w:t>
            </w:r>
          </w:p>
          <w:p w14:paraId="188AAF54" w14:textId="77777777" w:rsidR="00DD2B3A" w:rsidRDefault="00DD2B3A">
            <w:pPr>
              <w:pStyle w:val="TableRowCentered"/>
              <w:jc w:val="left"/>
            </w:pPr>
          </w:p>
          <w:p w14:paraId="16374FB0" w14:textId="77777777" w:rsidR="00E66558" w:rsidRDefault="00DD2B3A">
            <w:pPr>
              <w:pStyle w:val="TableRowCentered"/>
              <w:jc w:val="left"/>
            </w:pPr>
            <w:r>
              <w:t>Reading enjoyment has been reported as more important for children's educational success than their family's socioeconomic status (OECD, 2002).</w:t>
            </w:r>
          </w:p>
          <w:p w14:paraId="7C148B5C" w14:textId="77777777" w:rsidR="00065232" w:rsidRDefault="00065232">
            <w:pPr>
              <w:pStyle w:val="TableRowCentered"/>
              <w:jc w:val="left"/>
              <w:rPr>
                <w:sz w:val="22"/>
              </w:rPr>
            </w:pPr>
          </w:p>
          <w:p w14:paraId="2A7D551F" w14:textId="4B559387" w:rsidR="00065232" w:rsidRPr="00065232" w:rsidRDefault="00065232">
            <w:pPr>
              <w:pStyle w:val="TableRowCentered"/>
              <w:jc w:val="left"/>
              <w:rPr>
                <w:szCs w:val="24"/>
              </w:rPr>
            </w:pPr>
            <w:r w:rsidRPr="00065232">
              <w:rPr>
                <w:szCs w:val="24"/>
              </w:rPr>
              <w:t xml:space="preserve">Ofsted 2021 report that a rich and wide reading curriculum will develop a love of reading and is officially recognised in the United Kingdom as being essential to children’s education.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2C52F9A" w:rsidR="00E66558" w:rsidRDefault="00A128E2">
            <w:pPr>
              <w:pStyle w:val="TableRowCentered"/>
              <w:jc w:val="left"/>
              <w:rPr>
                <w:sz w:val="22"/>
              </w:rPr>
            </w:pPr>
            <w:r>
              <w:rPr>
                <w:sz w:val="22"/>
              </w:rPr>
              <w:lastRenderedPageBreak/>
              <w:t>1</w:t>
            </w:r>
          </w:p>
        </w:tc>
      </w:tr>
      <w:tr w:rsidR="00DD2B3A" w14:paraId="4EC6EB38" w14:textId="77777777" w:rsidTr="009F29AD">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A8433" w14:textId="1CD74452" w:rsidR="00DD2B3A" w:rsidRDefault="00DD2B3A">
            <w:pPr>
              <w:pStyle w:val="TableRow"/>
            </w:pPr>
            <w:r>
              <w:t>Further embed a sound understanding of the teaching of maths mastery across the school</w:t>
            </w:r>
          </w:p>
          <w:p w14:paraId="2CAE2766" w14:textId="76534D7D" w:rsidR="00DD2B3A" w:rsidRDefault="00DD2B3A">
            <w:pPr>
              <w:pStyle w:val="TableRow"/>
            </w:pPr>
            <w:r>
              <w:t>Develop the knowledge of how to improve fluency, reasoning and problem solving in maths. This will include time for the maths faculty to plan</w:t>
            </w:r>
          </w:p>
          <w:p w14:paraId="79BECB84" w14:textId="03B9934A" w:rsidR="00DD2B3A" w:rsidRDefault="00DD2B3A">
            <w:pPr>
              <w:pStyle w:val="TableRow"/>
            </w:pPr>
            <w:r>
              <w:t>Maths faculty to lead maths (teachers and TAs) meetings on maths mastery</w:t>
            </w:r>
          </w:p>
          <w:p w14:paraId="400E8754" w14:textId="15396BB4" w:rsidR="00DD2B3A" w:rsidRDefault="00DD2B3A">
            <w:pPr>
              <w:pStyle w:val="TableRow"/>
            </w:pPr>
            <w:r>
              <w:t xml:space="preserve">Purchase of resources to support the delivery of the mastery curriculum. Purchase of TTRockstars, White Rose Premium Resources and other concrete resources </w:t>
            </w:r>
            <w:r w:rsidR="001904B3">
              <w:t>e.g.</w:t>
            </w:r>
            <w:r>
              <w:t xml:space="preserve"> Numicon</w:t>
            </w:r>
          </w:p>
          <w:p w14:paraId="394AC3F9" w14:textId="3A7F5A13" w:rsidR="00DD2B3A" w:rsidRDefault="00DD2B3A">
            <w:pPr>
              <w:pStyle w:val="TableRow"/>
            </w:pPr>
            <w:r>
              <w:t xml:space="preserve">Paying staff to run a lunchtime homework club to target disadvantaged pupils who may need extra support/resources and a </w:t>
            </w:r>
            <w:r>
              <w:lastRenderedPageBreak/>
              <w:t>quiet place to complete their homewor</w:t>
            </w:r>
            <w:r w:rsidR="001904B3">
              <w:t>k</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D0186" w14:textId="334F529D" w:rsidR="00DD2B3A" w:rsidRDefault="001904B3">
            <w:pPr>
              <w:pStyle w:val="TableRowCentered"/>
              <w:jc w:val="left"/>
            </w:pPr>
            <w:r>
              <w:lastRenderedPageBreak/>
              <w:t>The EEF Teaching and Learning Toolkit states: The impact of mastery learning approaches is an additional five months progress, on average, over the course of a year. Mastery learning approaches aim to ensure that [with support] all pupils have mastered key concepts before moving on to the next topic – in contrast with traditional teaching methods in which pupils may be left behind, with gaps of misunderstanding widening. Surveys in England suggest that pupils from disadvantaged backgrounds are less likely to have a quiet working space, are less likely to have access to a device suitable for learning or a stable internet connection and may receive less parental support to complete homework and develop effective learning habits. These difficulties may increase the gap in attainment for disadvantaged pupils. Homework clubs can help to overcome these barriers by offering pupils the resources and support needed to undertake homework or revision.</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031E5" w14:textId="56E59C80" w:rsidR="00DD2B3A" w:rsidRDefault="001904B3">
            <w:pPr>
              <w:pStyle w:val="TableRowCentered"/>
              <w:jc w:val="left"/>
              <w:rPr>
                <w:sz w:val="22"/>
              </w:rPr>
            </w:pPr>
            <w:r>
              <w:rPr>
                <w:sz w:val="22"/>
              </w:rPr>
              <w:t>2</w:t>
            </w:r>
          </w:p>
        </w:tc>
      </w:tr>
      <w:tr w:rsidR="001904B3" w14:paraId="65861D8B" w14:textId="77777777" w:rsidTr="009F29AD">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FA72E" w14:textId="6101D1D7" w:rsidR="001904B3" w:rsidRDefault="001904B3">
            <w:pPr>
              <w:pStyle w:val="TableRow"/>
            </w:pPr>
            <w:r>
              <w:t>To further develop teachers’ and TAs’ understanding of grammar and punctuation in order to be able to plan and deliver effective teaching of the skills of writing. English faculty to deliver training on grammar and punctuation</w:t>
            </w:r>
          </w:p>
          <w:p w14:paraId="649C8943" w14:textId="77777777" w:rsidR="001904B3" w:rsidRDefault="001904B3">
            <w:pPr>
              <w:pStyle w:val="TableRow"/>
            </w:pPr>
          </w:p>
          <w:p w14:paraId="44EDDCB2" w14:textId="1D3A8B4B" w:rsidR="001904B3" w:rsidRDefault="001904B3">
            <w:pPr>
              <w:pStyle w:val="TableRow"/>
            </w:pPr>
            <w:r>
              <w:t>To train staff on the specific teaching of vocabulary and the introduction of a class vocabulary book</w:t>
            </w:r>
          </w:p>
          <w:p w14:paraId="61BE2419" w14:textId="77777777" w:rsidR="001904B3" w:rsidRDefault="001904B3">
            <w:pPr>
              <w:pStyle w:val="TableRow"/>
            </w:pPr>
          </w:p>
          <w:p w14:paraId="355C873A" w14:textId="63ABBFE0" w:rsidR="001904B3" w:rsidRDefault="001904B3">
            <w:pPr>
              <w:pStyle w:val="TableRow"/>
            </w:pPr>
            <w:r>
              <w:t>Paying staff to run a lunchtime homework club to target disadvantaged pupils who may need extra support/resources and a quiet place to complete their homework</w:t>
            </w:r>
          </w:p>
          <w:p w14:paraId="0E8B8E77" w14:textId="77777777" w:rsidR="001904B3" w:rsidRDefault="001904B3">
            <w:pPr>
              <w:pStyle w:val="TableRow"/>
            </w:pPr>
          </w:p>
          <w:p w14:paraId="673C94DB" w14:textId="39BC7970" w:rsidR="001904B3" w:rsidRDefault="001904B3">
            <w:pPr>
              <w:pStyle w:val="TableRow"/>
            </w:pPr>
            <w:r>
              <w:t>Purchase of spag.com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50569" w14:textId="33097792" w:rsidR="001904B3" w:rsidRDefault="001904B3">
            <w:pPr>
              <w:pStyle w:val="TableRowCentered"/>
              <w:jc w:val="left"/>
            </w:pPr>
            <w:r>
              <w:t>Studies show children with larger vocabularies achieve more academically and display better behaviour. However, by the end of the Early Years Foundation Stage (EYFS) a third of disadvantaged children have speech, language and communication delays compared with one sixth of their peers</w:t>
            </w:r>
            <w:r w:rsidR="00065232">
              <w:t xml:space="preserve"> (J Hempshall 2019).</w:t>
            </w:r>
          </w:p>
          <w:p w14:paraId="5E4F0055" w14:textId="77777777" w:rsidR="001904B3" w:rsidRDefault="001904B3">
            <w:pPr>
              <w:pStyle w:val="TableRowCentered"/>
              <w:jc w:val="left"/>
            </w:pPr>
          </w:p>
          <w:p w14:paraId="1A277EC3" w14:textId="2CF552A3" w:rsidR="001904B3" w:rsidRDefault="001904B3">
            <w:pPr>
              <w:pStyle w:val="TableRowCentered"/>
              <w:jc w:val="left"/>
            </w:pPr>
            <w:r>
              <w:t>The EEF Teaching and Learning Toolkit states: There is evidence to suggest that pupils from lower socioeconomic backgrounds are more likely to be behind their more advantaged counterparts in developing early language and speech skills, which may affect their school experience and lea</w:t>
            </w:r>
            <w:r w:rsidR="00065232">
              <w:t>rning (July, 2021).</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6B336" w14:textId="20AD4C46" w:rsidR="001904B3" w:rsidRDefault="001904B3">
            <w:pPr>
              <w:pStyle w:val="TableRowCentered"/>
              <w:jc w:val="left"/>
              <w:rPr>
                <w:sz w:val="22"/>
              </w:rPr>
            </w:pPr>
            <w:r>
              <w:rPr>
                <w:sz w:val="22"/>
              </w:rPr>
              <w:t>3</w:t>
            </w:r>
          </w:p>
        </w:tc>
      </w:tr>
    </w:tbl>
    <w:p w14:paraId="2A7D5522" w14:textId="77777777" w:rsidR="00E66558" w:rsidRDefault="00E66558">
      <w:pPr>
        <w:keepNext/>
        <w:spacing w:after="60"/>
        <w:outlineLvl w:val="1"/>
      </w:pPr>
    </w:p>
    <w:p w14:paraId="63753968" w14:textId="77777777" w:rsidR="00E64B93" w:rsidRDefault="00E64B93">
      <w:pPr>
        <w:rPr>
          <w:b/>
          <w:bCs/>
          <w:color w:val="104F75"/>
          <w:sz w:val="28"/>
          <w:szCs w:val="28"/>
        </w:rPr>
      </w:pPr>
    </w:p>
    <w:p w14:paraId="59CEEE5E" w14:textId="77777777" w:rsidR="00E64B93" w:rsidRDefault="00E64B93">
      <w:pPr>
        <w:rPr>
          <w:b/>
          <w:bCs/>
          <w:color w:val="104F75"/>
          <w:sz w:val="28"/>
          <w:szCs w:val="28"/>
        </w:rPr>
      </w:pPr>
    </w:p>
    <w:p w14:paraId="4FE37E3A" w14:textId="77777777" w:rsidR="00E64B93" w:rsidRDefault="00E64B93">
      <w:pPr>
        <w:rPr>
          <w:b/>
          <w:bCs/>
          <w:color w:val="104F75"/>
          <w:sz w:val="28"/>
          <w:szCs w:val="28"/>
        </w:rPr>
      </w:pPr>
    </w:p>
    <w:p w14:paraId="548487EB" w14:textId="77777777" w:rsidR="00E64B93" w:rsidRDefault="00E64B93">
      <w:pPr>
        <w:rPr>
          <w:b/>
          <w:bCs/>
          <w:color w:val="104F75"/>
          <w:sz w:val="28"/>
          <w:szCs w:val="28"/>
        </w:rPr>
      </w:pPr>
    </w:p>
    <w:p w14:paraId="0CB87F0C" w14:textId="77777777" w:rsidR="00E64B93" w:rsidRDefault="00E64B93">
      <w:pPr>
        <w:rPr>
          <w:b/>
          <w:bCs/>
          <w:color w:val="104F75"/>
          <w:sz w:val="28"/>
          <w:szCs w:val="28"/>
        </w:rPr>
      </w:pPr>
    </w:p>
    <w:p w14:paraId="3222CD47" w14:textId="77777777" w:rsidR="009F29AD" w:rsidRDefault="009F29AD">
      <w:pPr>
        <w:rPr>
          <w:b/>
          <w:bCs/>
          <w:color w:val="104F75"/>
          <w:sz w:val="28"/>
          <w:szCs w:val="28"/>
        </w:rPr>
      </w:pPr>
    </w:p>
    <w:p w14:paraId="6CB18705" w14:textId="77777777" w:rsidR="009F29AD" w:rsidRDefault="009F29AD">
      <w:pPr>
        <w:rPr>
          <w:b/>
          <w:bCs/>
          <w:color w:val="104F75"/>
          <w:sz w:val="28"/>
          <w:szCs w:val="28"/>
        </w:rPr>
      </w:pPr>
    </w:p>
    <w:p w14:paraId="166D00AD" w14:textId="77777777" w:rsidR="009F29AD" w:rsidRDefault="009F29AD">
      <w:pPr>
        <w:rPr>
          <w:b/>
          <w:bCs/>
          <w:color w:val="104F75"/>
          <w:sz w:val="28"/>
          <w:szCs w:val="28"/>
        </w:rPr>
      </w:pPr>
    </w:p>
    <w:p w14:paraId="4939D908" w14:textId="77777777" w:rsidR="009F29AD" w:rsidRDefault="009F29AD">
      <w:pPr>
        <w:rPr>
          <w:b/>
          <w:bCs/>
          <w:color w:val="104F75"/>
          <w:sz w:val="28"/>
          <w:szCs w:val="28"/>
        </w:rPr>
      </w:pPr>
    </w:p>
    <w:p w14:paraId="1DE042C1" w14:textId="77777777" w:rsidR="009F29AD" w:rsidRDefault="009F29AD">
      <w:pPr>
        <w:rPr>
          <w:b/>
          <w:bCs/>
          <w:color w:val="104F75"/>
          <w:sz w:val="28"/>
          <w:szCs w:val="28"/>
        </w:rPr>
      </w:pPr>
    </w:p>
    <w:p w14:paraId="2A7D5523" w14:textId="4B47D5C2"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CE8F2EC" w:rsidR="00E66558" w:rsidRDefault="009D71E8">
      <w:r>
        <w:t xml:space="preserve">Budgeted cost: £ </w:t>
      </w:r>
      <w:r w:rsidR="00F82336">
        <w:rPr>
          <w:i/>
          <w:iCs/>
        </w:rPr>
        <w:t>15,000</w:t>
      </w:r>
    </w:p>
    <w:tbl>
      <w:tblPr>
        <w:tblW w:w="5000" w:type="pct"/>
        <w:tblCellMar>
          <w:left w:w="10" w:type="dxa"/>
          <w:right w:w="10" w:type="dxa"/>
        </w:tblCellMar>
        <w:tblLook w:val="04A0" w:firstRow="1" w:lastRow="0" w:firstColumn="1" w:lastColumn="0" w:noHBand="0" w:noVBand="1"/>
      </w:tblPr>
      <w:tblGrid>
        <w:gridCol w:w="3627"/>
        <w:gridCol w:w="4328"/>
        <w:gridCol w:w="1531"/>
      </w:tblGrid>
      <w:tr w:rsidR="00E66558" w14:paraId="2A7D5528" w14:textId="77777777" w:rsidTr="000452E4">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3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0452E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8A685" w14:textId="41F407DD" w:rsidR="009F29AD" w:rsidRDefault="00E64B93" w:rsidP="00520C91">
            <w:pPr>
              <w:pStyle w:val="TableRow"/>
              <w:ind w:left="0"/>
            </w:pPr>
            <w:r>
              <w:t xml:space="preserve">Tutoring to target disadvantaged children working below age expectation in </w:t>
            </w:r>
            <w:r w:rsidR="009F29AD">
              <w:t>r</w:t>
            </w:r>
            <w:r>
              <w:t xml:space="preserve">eading: </w:t>
            </w:r>
          </w:p>
          <w:p w14:paraId="080BB3AF" w14:textId="538CDB2E" w:rsidR="009F29AD" w:rsidRDefault="00E64B93" w:rsidP="00520C91">
            <w:pPr>
              <w:pStyle w:val="TableRow"/>
              <w:ind w:left="0"/>
            </w:pPr>
            <w:r>
              <w:t>• Small group structured interventions in reading by a qualified teacher</w:t>
            </w:r>
          </w:p>
          <w:p w14:paraId="2A7D5529" w14:textId="3E1F8B1E" w:rsidR="00520C91" w:rsidRDefault="00520C91" w:rsidP="00520C91">
            <w:pPr>
              <w:pStyle w:val="TableRow"/>
              <w:ind w:left="0"/>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CB794B1" w:rsidR="00520C91" w:rsidRDefault="009F29AD">
            <w:pPr>
              <w:pStyle w:val="TableRowCentered"/>
              <w:jc w:val="left"/>
              <w:rPr>
                <w:sz w:val="22"/>
              </w:rPr>
            </w:pPr>
            <w:r>
              <w:t xml:space="preserve">The EEF guide to the pupil premium states that evidence consistently shows the positive impact that targeted academic support can have, including on those who are not making good progress, or those who have been disproportionately impacted by the effects of the pandemic. It states this is likely to be an essential ingredient of an effective pupil premium strategy. The EEF Toolkit states: </w:t>
            </w:r>
            <w:r w:rsidRPr="009F29AD">
              <w:rPr>
                <w:i/>
              </w:rPr>
              <w:t>Studies in England have shown that pupils eligible for free school meals typically receive additional benefits from one to one tuition. Low attaining pupils are particularly likely to benefit.</w:t>
            </w:r>
            <w:r>
              <w:rPr>
                <w:sz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BF4A547" w:rsidR="00E66558" w:rsidRDefault="005F48F6">
            <w:pPr>
              <w:pStyle w:val="TableRowCentered"/>
              <w:jc w:val="left"/>
              <w:rPr>
                <w:sz w:val="22"/>
              </w:rPr>
            </w:pPr>
            <w:r>
              <w:rPr>
                <w:sz w:val="22"/>
              </w:rPr>
              <w:t>1</w:t>
            </w:r>
          </w:p>
        </w:tc>
      </w:tr>
      <w:tr w:rsidR="00E66558" w14:paraId="2A7D5530" w14:textId="77777777" w:rsidTr="000452E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6DDD7" w14:textId="774260D7" w:rsidR="009F29AD" w:rsidRDefault="009F29AD">
            <w:pPr>
              <w:pStyle w:val="TableRow"/>
            </w:pPr>
            <w:r>
              <w:t xml:space="preserve">Tutoring to target disadvantaged children working below age expectation in maths: </w:t>
            </w:r>
          </w:p>
          <w:p w14:paraId="1FFF28F7" w14:textId="5DC164B4" w:rsidR="009F29AD" w:rsidRDefault="009F29AD">
            <w:pPr>
              <w:pStyle w:val="TableRow"/>
            </w:pPr>
            <w:r>
              <w:t xml:space="preserve">• Small group structured interventions in maths by a qualified teacher </w:t>
            </w:r>
          </w:p>
          <w:p w14:paraId="2A7D552D" w14:textId="6811FF0A" w:rsidR="00E66558" w:rsidRPr="00520C91" w:rsidRDefault="009F29AD" w:rsidP="00B20121">
            <w:pPr>
              <w:pStyle w:val="TableRow"/>
              <w:rPr>
                <w:sz w:val="22"/>
              </w:rPr>
            </w:pPr>
            <w: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4EECD0C3" w:rsidR="00E66558" w:rsidRDefault="009F29AD">
            <w:pPr>
              <w:pStyle w:val="TableRowCentered"/>
              <w:jc w:val="left"/>
              <w:rPr>
                <w:sz w:val="22"/>
              </w:rPr>
            </w:pPr>
            <w:r>
              <w:t xml:space="preserve">The EEF guide to the pupil premium states that evidence consistently shows the positive impact that targeted academic support can have, including on those who are not making good progress, or those who have been disproportionately impacted by the effects of the pandemic. It states this is likely to be an essential ingredient of an effective pupil premium strategy. The EEF Toolkit states: </w:t>
            </w:r>
            <w:r w:rsidRPr="009F29AD">
              <w:rPr>
                <w:i/>
              </w:rPr>
              <w:t>Studies in England have shown that pupils eligible for free school meals typically receive additional benefits from one to one tuition. Low attaining pupils are particularly likely to benefit</w:t>
            </w:r>
            <w:r w:rsidR="00821939">
              <w:rPr>
                <w:i/>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D37EE8D" w:rsidR="00520C91" w:rsidRDefault="009F29AD">
            <w:pPr>
              <w:pStyle w:val="TableRowCentered"/>
              <w:jc w:val="left"/>
              <w:rPr>
                <w:sz w:val="22"/>
              </w:rPr>
            </w:pPr>
            <w:r>
              <w:rPr>
                <w:sz w:val="22"/>
              </w:rPr>
              <w:t>2</w:t>
            </w:r>
          </w:p>
        </w:tc>
      </w:tr>
      <w:tr w:rsidR="007A6979" w14:paraId="2FCC0EED" w14:textId="77777777" w:rsidTr="000452E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2FDF7" w14:textId="77777777" w:rsidR="009F29AD" w:rsidRDefault="009F29AD">
            <w:pPr>
              <w:pStyle w:val="TableRow"/>
            </w:pPr>
            <w:r>
              <w:t xml:space="preserve">Tutoring to target disadvantaged children </w:t>
            </w:r>
            <w:r>
              <w:lastRenderedPageBreak/>
              <w:t>working below age expectation in writing:</w:t>
            </w:r>
          </w:p>
          <w:p w14:paraId="1EA9512C" w14:textId="610C59CB" w:rsidR="009F29AD" w:rsidRDefault="009F29AD" w:rsidP="009F29AD">
            <w:pPr>
              <w:pStyle w:val="TableRow"/>
            </w:pPr>
            <w:r>
              <w:t xml:space="preserve"> • Small group structured interventions in maths by a qualified teacher</w:t>
            </w:r>
          </w:p>
          <w:p w14:paraId="67751BA9" w14:textId="15720FCE" w:rsidR="007A6979" w:rsidRPr="009F29AD" w:rsidRDefault="007A6979" w:rsidP="009F29AD">
            <w:pPr>
              <w:pStyle w:val="TableRow"/>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31F3A" w14:textId="6E11A141" w:rsidR="007A6979" w:rsidRDefault="009F29AD">
            <w:pPr>
              <w:pStyle w:val="TableRowCentered"/>
              <w:jc w:val="left"/>
              <w:rPr>
                <w:sz w:val="22"/>
              </w:rPr>
            </w:pPr>
            <w:r>
              <w:lastRenderedPageBreak/>
              <w:t xml:space="preserve">The EEF guide to the pupil premium states that evidence consistently shows the positive impact that </w:t>
            </w:r>
            <w:r>
              <w:lastRenderedPageBreak/>
              <w:t xml:space="preserve">targeted academic support can have, including on those who are not making good progress, or those who have been disproportionately impacted by the effects of the pandemic. It states this is likely to be an essential ingredient of an effective pupil premium strategy. The EEF Toolkit states: </w:t>
            </w:r>
            <w:r w:rsidRPr="009F29AD">
              <w:rPr>
                <w:i/>
              </w:rPr>
              <w:t>Studies in England have shown that pupils eligible for free school meals typically receive additional benefits from one to one tuition. Low attaining pupils are particularly likely to benefit</w:t>
            </w:r>
            <w:r w:rsidR="00821939">
              <w:rPr>
                <w:i/>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BF12" w14:textId="4CE80BC6" w:rsidR="007A6979" w:rsidRDefault="009F29AD">
            <w:pPr>
              <w:pStyle w:val="TableRowCentered"/>
              <w:jc w:val="left"/>
              <w:rPr>
                <w:sz w:val="22"/>
              </w:rPr>
            </w:pPr>
            <w:r>
              <w:rPr>
                <w:sz w:val="22"/>
              </w:rPr>
              <w:lastRenderedPageBreak/>
              <w:t>3</w:t>
            </w:r>
          </w:p>
        </w:tc>
      </w:tr>
    </w:tbl>
    <w:p w14:paraId="2A7D5531" w14:textId="0069F812" w:rsidR="00E66558" w:rsidRDefault="00E66558">
      <w:pPr>
        <w:spacing w:after="0"/>
        <w:rPr>
          <w:b/>
          <w:color w:val="104F75"/>
          <w:sz w:val="28"/>
          <w:szCs w:val="28"/>
        </w:rPr>
      </w:pPr>
    </w:p>
    <w:p w14:paraId="7C5E7E16" w14:textId="501810FF" w:rsidR="005F48F6" w:rsidRDefault="005F48F6">
      <w:pPr>
        <w:spacing w:after="0"/>
        <w:rPr>
          <w:b/>
          <w:color w:val="104F75"/>
          <w:sz w:val="28"/>
          <w:szCs w:val="28"/>
        </w:rPr>
      </w:pPr>
    </w:p>
    <w:p w14:paraId="4650EA5E" w14:textId="77777777" w:rsidR="005F48F6" w:rsidRDefault="005F48F6">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24EBA5E" w:rsidR="00E66558" w:rsidRDefault="009D71E8">
      <w:pPr>
        <w:spacing w:before="240" w:after="120"/>
      </w:pPr>
      <w:r>
        <w:t xml:space="preserve">Budgeted cost: </w:t>
      </w:r>
      <w:r w:rsidR="007A6979">
        <w:t>£</w:t>
      </w:r>
      <w:r w:rsidR="00E11D26">
        <w:t>11,383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11478D"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58030" w14:textId="0879DAAA" w:rsidR="00875A71" w:rsidRDefault="003311E5" w:rsidP="003311E5">
            <w:pPr>
              <w:pStyle w:val="TableRow"/>
              <w:ind w:left="0"/>
            </w:pPr>
            <w:r>
              <w:t>Pupil premium faculty to track and monitor the overall support to disadvantaged pupils and ensure that this is having a positive impact on their academic achievement and their wellbeing</w:t>
            </w:r>
            <w:r w:rsidR="00170142">
              <w:t xml:space="preserve"> - t</w:t>
            </w:r>
            <w:r>
              <w:t xml:space="preserve">his will be done through lesson observations, discussions with pupils, book/planning scrutinies and relevant data analysis. This also includes analysing attendance data. </w:t>
            </w:r>
          </w:p>
          <w:p w14:paraId="37167C3A" w14:textId="77777777" w:rsidR="00875A71" w:rsidRDefault="00875A71" w:rsidP="003311E5">
            <w:pPr>
              <w:pStyle w:val="TableRow"/>
              <w:ind w:left="0"/>
            </w:pPr>
          </w:p>
          <w:p w14:paraId="7F709FD1" w14:textId="5D60C853" w:rsidR="00875A71" w:rsidRDefault="003311E5" w:rsidP="003311E5">
            <w:pPr>
              <w:pStyle w:val="TableRow"/>
              <w:ind w:left="0"/>
            </w:pPr>
            <w:r>
              <w:t>Supply cover needed to release PP lead to fulfil this role</w:t>
            </w:r>
          </w:p>
          <w:p w14:paraId="64F65B6C" w14:textId="77777777" w:rsidR="00875A71" w:rsidRDefault="00875A71" w:rsidP="003311E5">
            <w:pPr>
              <w:pStyle w:val="TableRow"/>
              <w:ind w:left="0"/>
            </w:pPr>
          </w:p>
          <w:p w14:paraId="2A7D5538" w14:textId="45C64DDA" w:rsidR="0011478D" w:rsidRPr="003311E5" w:rsidRDefault="00875A71" w:rsidP="003311E5">
            <w:pPr>
              <w:pStyle w:val="TableRow"/>
              <w:ind w:left="0"/>
              <w:rPr>
                <w:sz w:val="22"/>
              </w:rPr>
            </w:pPr>
            <w:r>
              <w:lastRenderedPageBreak/>
              <w:t>Pupil premium</w:t>
            </w:r>
            <w:r w:rsidR="003311E5">
              <w:t xml:space="preserve"> faculty to deliver training to TAs and teachers on strategies to reduce the attainment gap for disadvantaged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B2EB5B4" w:rsidR="0011478D" w:rsidRDefault="00875A71" w:rsidP="0011478D">
            <w:pPr>
              <w:pStyle w:val="TableRowCentered"/>
              <w:jc w:val="left"/>
              <w:rPr>
                <w:sz w:val="22"/>
              </w:rPr>
            </w:pPr>
            <w:r>
              <w:lastRenderedPageBreak/>
              <w:t>In the EEF toolkit, it states that feedback is a well-evidenced strategy and has a high impact on learning outcomes. Effective feedback provides specific information and how to improve. Supporting the Attainment of Disadvantaged Pupils [Sharp, Macleod, Bernardinelli NFER 2015] States: More successful schools also monitor the success of their support strategies and make evidence-based decisions about whether these are proving effective, need adjustment or should be replaced.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A8748E1" w:rsidR="0011478D" w:rsidRDefault="00875A71" w:rsidP="0011478D">
            <w:pPr>
              <w:pStyle w:val="TableRowCentered"/>
              <w:jc w:val="left"/>
              <w:rPr>
                <w:sz w:val="22"/>
              </w:rPr>
            </w:pPr>
            <w:r>
              <w:rPr>
                <w:sz w:val="22"/>
              </w:rPr>
              <w:t>1,2,3,4,5</w:t>
            </w:r>
          </w:p>
        </w:tc>
      </w:tr>
      <w:tr w:rsidR="0011478D"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6E4EF" w14:textId="5CD8A859" w:rsidR="00875A71" w:rsidRDefault="00875A71" w:rsidP="0011478D">
            <w:pPr>
              <w:pStyle w:val="TableRow"/>
            </w:pPr>
            <w:r>
              <w:t>Embedding principles of good practice set out in the DfE’s Improving School Attendance advice, including having high expectations for attendance and conveying clear messages about how attendance affects attainment</w:t>
            </w:r>
          </w:p>
          <w:p w14:paraId="2A7D553C" w14:textId="0B560514" w:rsidR="0011478D" w:rsidRDefault="00875A71" w:rsidP="0011478D">
            <w:pPr>
              <w:pStyle w:val="TableRow"/>
              <w:rPr>
                <w:i/>
                <w:sz w:val="22"/>
              </w:rPr>
            </w:pPr>
            <w:r>
              <w:t>PP faculty to meet with parents/ carers of disadvantaged pupils with persistent absence to seek ways to improve this, including agreeing and signing an attendance contract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22E58" w14:textId="77777777" w:rsidR="00875A71" w:rsidRDefault="00875A71" w:rsidP="0011478D">
            <w:pPr>
              <w:pStyle w:val="TableRowCentered"/>
              <w:jc w:val="left"/>
            </w:pPr>
            <w:r>
              <w:t xml:space="preserve">The DfE guidance has been informed by engagement with schools that have significantly reduced levels of absence and persistent absence. </w:t>
            </w:r>
          </w:p>
          <w:p w14:paraId="5713D31B" w14:textId="77777777" w:rsidR="00875A71" w:rsidRDefault="00875A71" w:rsidP="0011478D">
            <w:pPr>
              <w:pStyle w:val="TableRowCentered"/>
              <w:jc w:val="left"/>
            </w:pPr>
          </w:p>
          <w:p w14:paraId="613F86BC" w14:textId="77777777" w:rsidR="00875A71" w:rsidRDefault="00875A71" w:rsidP="0011478D">
            <w:pPr>
              <w:pStyle w:val="TableRowCentered"/>
              <w:jc w:val="left"/>
            </w:pPr>
            <w:r>
              <w:t xml:space="preserve">Supporting the Attainment of Disadvantaged Pupils [Sharp, Macleod, Bernardinelli NFER 2015] stresses the importance of addressing attendance. </w:t>
            </w:r>
          </w:p>
          <w:p w14:paraId="4A833632" w14:textId="77777777" w:rsidR="00875A71" w:rsidRDefault="00875A71" w:rsidP="0011478D">
            <w:pPr>
              <w:pStyle w:val="TableRowCentered"/>
              <w:jc w:val="left"/>
            </w:pPr>
          </w:p>
          <w:p w14:paraId="2A7D553D" w14:textId="5D20B316" w:rsidR="0011478D" w:rsidRDefault="00875A71" w:rsidP="0011478D">
            <w:pPr>
              <w:pStyle w:val="TableRowCentered"/>
              <w:jc w:val="left"/>
              <w:rPr>
                <w:sz w:val="22"/>
              </w:rPr>
            </w:pPr>
            <w:r>
              <w:t>Key for School Leaders ‘Research into how attendance can impact attainment’ states: The Department for Education [DfE] published research in 2016 which found that pupils with no absence are 1.3 times more likely to reach the expected standard at key stage 2 and 3.1 times more likely to achieve the higher standard.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4367E" w14:textId="77777777" w:rsidR="0011478D" w:rsidRDefault="0011478D" w:rsidP="0011478D">
            <w:pPr>
              <w:pStyle w:val="TableRowCentered"/>
              <w:jc w:val="left"/>
              <w:rPr>
                <w:sz w:val="22"/>
              </w:rPr>
            </w:pPr>
            <w:r>
              <w:rPr>
                <w:sz w:val="22"/>
              </w:rPr>
              <w:t>4</w:t>
            </w:r>
          </w:p>
          <w:p w14:paraId="2A7D553E" w14:textId="77777777" w:rsidR="0011478D" w:rsidRDefault="0011478D" w:rsidP="0011478D">
            <w:pPr>
              <w:pStyle w:val="TableRowCentered"/>
              <w:jc w:val="left"/>
              <w:rPr>
                <w:sz w:val="22"/>
              </w:rPr>
            </w:pPr>
          </w:p>
        </w:tc>
      </w:tr>
      <w:tr w:rsidR="00875A71" w14:paraId="1FB2E52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80AAD" w14:textId="77777777" w:rsidR="00875A71" w:rsidRDefault="00875A71" w:rsidP="0011478D">
            <w:pPr>
              <w:pStyle w:val="TableRow"/>
            </w:pPr>
            <w:r>
              <w:t>Increase enrichment opportunities for disadvantaged children:</w:t>
            </w:r>
          </w:p>
          <w:p w14:paraId="0C68D214" w14:textId="77777777" w:rsidR="00875A71" w:rsidRDefault="00875A71" w:rsidP="0011478D">
            <w:pPr>
              <w:pStyle w:val="TableRow"/>
            </w:pPr>
            <w:r>
              <w:t>• provision of a range of free extra-curricular clubs</w:t>
            </w:r>
          </w:p>
          <w:p w14:paraId="63780A32" w14:textId="77777777" w:rsidR="00875A71" w:rsidRDefault="00875A71" w:rsidP="0011478D">
            <w:pPr>
              <w:pStyle w:val="TableRow"/>
            </w:pPr>
            <w:r>
              <w:t xml:space="preserve">• encouragement to take up music tuition </w:t>
            </w:r>
          </w:p>
          <w:p w14:paraId="71C9491A" w14:textId="77777777" w:rsidR="00875A71" w:rsidRDefault="00875A71" w:rsidP="0011478D">
            <w:pPr>
              <w:pStyle w:val="TableRow"/>
            </w:pPr>
            <w:r>
              <w:t xml:space="preserve">• provision of subsidised residential trips in Years 5 and 6 • provision of subsidised school trips </w:t>
            </w:r>
          </w:p>
          <w:p w14:paraId="5C0DCA6D" w14:textId="77777777" w:rsidR="00875A71" w:rsidRDefault="00875A71" w:rsidP="0011478D">
            <w:pPr>
              <w:pStyle w:val="TableRow"/>
            </w:pPr>
            <w:r>
              <w:t>• provision of subsidised places at breakfast and after school club</w:t>
            </w:r>
          </w:p>
          <w:p w14:paraId="765953D4" w14:textId="77777777" w:rsidR="00875A71" w:rsidRDefault="00875A71" w:rsidP="0011478D">
            <w:pPr>
              <w:pStyle w:val="TableRow"/>
            </w:pPr>
          </w:p>
          <w:p w14:paraId="62BC69FD" w14:textId="77777777" w:rsidR="00875A71" w:rsidRDefault="00875A71" w:rsidP="00875A71">
            <w:pPr>
              <w:pStyle w:val="TableRow"/>
            </w:pPr>
            <w:r>
              <w:lastRenderedPageBreak/>
              <w:t xml:space="preserve">Increase opportunities and support for disadvantaged children to take up leadership roles within school: </w:t>
            </w:r>
          </w:p>
          <w:p w14:paraId="5AD1E040" w14:textId="77777777" w:rsidR="00875A71" w:rsidRDefault="00875A71" w:rsidP="00875A71">
            <w:pPr>
              <w:pStyle w:val="TableRow"/>
              <w:numPr>
                <w:ilvl w:val="0"/>
                <w:numId w:val="21"/>
              </w:numPr>
            </w:pPr>
            <w:r>
              <w:t xml:space="preserve">School Council </w:t>
            </w:r>
          </w:p>
          <w:p w14:paraId="287C6D26" w14:textId="325443FF" w:rsidR="00875A71" w:rsidRDefault="00875A71" w:rsidP="00875A71">
            <w:pPr>
              <w:pStyle w:val="TableRow"/>
              <w:numPr>
                <w:ilvl w:val="0"/>
                <w:numId w:val="21"/>
              </w:numPr>
            </w:pPr>
            <w:r>
              <w:t>Digital Leaders</w:t>
            </w:r>
          </w:p>
          <w:p w14:paraId="5E165FA7" w14:textId="77777777" w:rsidR="00875A71" w:rsidRDefault="00875A71" w:rsidP="00875A71">
            <w:pPr>
              <w:pStyle w:val="TableRow"/>
              <w:numPr>
                <w:ilvl w:val="0"/>
                <w:numId w:val="21"/>
              </w:numPr>
            </w:pPr>
            <w:r>
              <w:t>House Captains</w:t>
            </w:r>
          </w:p>
          <w:p w14:paraId="69149099" w14:textId="77777777" w:rsidR="00875A71" w:rsidRDefault="00875A71" w:rsidP="00875A71">
            <w:pPr>
              <w:pStyle w:val="TableRow"/>
              <w:numPr>
                <w:ilvl w:val="0"/>
                <w:numId w:val="21"/>
              </w:numPr>
            </w:pPr>
            <w:r>
              <w:t>Supporting younger years</w:t>
            </w:r>
          </w:p>
          <w:p w14:paraId="667757C4" w14:textId="77777777" w:rsidR="00B51D32" w:rsidRDefault="00B51D32" w:rsidP="00B51D32">
            <w:pPr>
              <w:pStyle w:val="TableRow"/>
            </w:pPr>
          </w:p>
          <w:p w14:paraId="05B3C61A" w14:textId="30C58425" w:rsidR="00B51D32" w:rsidRDefault="00B51D32" w:rsidP="00B51D32">
            <w:pPr>
              <w:pStyle w:val="TableRow"/>
            </w:pPr>
            <w:r>
              <w:t xml:space="preserve">To support with anxiety and promote general wellbeing, disadvantaged pupils will have access to a pastoral mentor who will provide: </w:t>
            </w:r>
          </w:p>
          <w:p w14:paraId="756BED2B" w14:textId="7E0D8D54" w:rsidR="00B51D32" w:rsidRDefault="00B51D32" w:rsidP="00B51D32">
            <w:pPr>
              <w:pStyle w:val="TableRow"/>
              <w:ind w:left="0"/>
            </w:pPr>
            <w:r>
              <w:t>• Regular catch up/wellbeing sessions</w:t>
            </w:r>
          </w:p>
          <w:p w14:paraId="08B92D9E" w14:textId="68F3D124" w:rsidR="00B51D32" w:rsidRDefault="00B51D32" w:rsidP="00B51D32">
            <w:pPr>
              <w:pStyle w:val="TableRow"/>
              <w:ind w:left="0"/>
            </w:pPr>
            <w:r>
              <w:t>Some targeted disadvantaged pupils will have access to a wellbeing therapist</w:t>
            </w:r>
          </w:p>
          <w:p w14:paraId="530AED69" w14:textId="6542A58A" w:rsidR="00B51D32" w:rsidRDefault="00B51D32" w:rsidP="00B51D32">
            <w:pPr>
              <w:pStyle w:val="TableRow"/>
              <w:ind w:left="0"/>
            </w:pPr>
          </w:p>
          <w:p w14:paraId="53540CF9" w14:textId="4D16D1FA" w:rsidR="00B51D32" w:rsidRDefault="00B51D32" w:rsidP="00B51D32">
            <w:pPr>
              <w:pStyle w:val="TableRow"/>
              <w:ind w:left="0"/>
            </w:pPr>
            <w:r>
              <w:t>To support with speech and language, targeted disadvantaged pupils will have access to a speech and language therapist</w:t>
            </w:r>
          </w:p>
          <w:p w14:paraId="48D59B83" w14:textId="77777777" w:rsidR="00B51D32" w:rsidRDefault="00B51D32" w:rsidP="00B51D32">
            <w:pPr>
              <w:pStyle w:val="TableRow"/>
              <w:ind w:left="0"/>
            </w:pPr>
          </w:p>
          <w:p w14:paraId="073FAC66" w14:textId="77777777" w:rsidR="00B51D32" w:rsidRDefault="00B51D32" w:rsidP="00B51D32">
            <w:pPr>
              <w:pStyle w:val="TableRow"/>
              <w:ind w:left="0"/>
            </w:pPr>
          </w:p>
          <w:p w14:paraId="761EC4B7" w14:textId="48768E58" w:rsidR="00B51D32" w:rsidRDefault="00B51D32" w:rsidP="00B51D32">
            <w:pPr>
              <w:pStyle w:val="TableRow"/>
              <w:ind w:left="0"/>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9EB79" w14:textId="72E1CC72" w:rsidR="00875A71" w:rsidRDefault="00B51D32" w:rsidP="0011478D">
            <w:pPr>
              <w:pStyle w:val="TableRowCentered"/>
              <w:jc w:val="left"/>
              <w:rPr>
                <w:i/>
              </w:rPr>
            </w:pPr>
            <w:r>
              <w:lastRenderedPageBreak/>
              <w:t xml:space="preserve">Nuffield Foundation - The Value of After school Clubs for Disadvantaged Children found: </w:t>
            </w:r>
            <w:r w:rsidRPr="00B51D32">
              <w:rPr>
                <w:i/>
              </w:rPr>
              <w:t>Teachers, parents and children identified a range of positive outcomes from participation in after school clubs, including increases in confidence, self</w:t>
            </w:r>
            <w:r w:rsidR="00011127">
              <w:rPr>
                <w:i/>
              </w:rPr>
              <w:t>-</w:t>
            </w:r>
            <w:r w:rsidRPr="00B51D32">
              <w:rPr>
                <w:i/>
              </w:rPr>
              <w:t>esteem and fitness, as well as providing opportunities for new experiences, socialising and enjoyment</w:t>
            </w:r>
          </w:p>
          <w:p w14:paraId="6616A008" w14:textId="77777777" w:rsidR="00B51D32" w:rsidRDefault="00B51D32" w:rsidP="0011478D">
            <w:pPr>
              <w:pStyle w:val="TableRowCentered"/>
              <w:jc w:val="left"/>
            </w:pPr>
          </w:p>
          <w:p w14:paraId="6C64B249" w14:textId="5FA207EB" w:rsidR="00B51D32" w:rsidRDefault="00B51D32" w:rsidP="0011478D">
            <w:pPr>
              <w:pStyle w:val="TableRowCentered"/>
              <w:jc w:val="left"/>
            </w:pPr>
            <w:r>
              <w:t xml:space="preserve">EEF Toolkit [Arts Participation] states: </w:t>
            </w:r>
            <w:r w:rsidRPr="00B51D32">
              <w:rPr>
                <w:i/>
              </w:rPr>
              <w:t>There is intrinsic value in teaching pupils creative and performance skills and ensuring disadvantaged pupils access a rich and stimulating arts education.</w:t>
            </w:r>
          </w:p>
          <w:p w14:paraId="156D8D81" w14:textId="5C3B5CD1" w:rsidR="00B51D32" w:rsidRDefault="00B51D32" w:rsidP="0011478D">
            <w:pPr>
              <w:pStyle w:val="TableRowCentered"/>
              <w:jc w:val="left"/>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A4C6E" w14:textId="0D062EB2" w:rsidR="00875A71" w:rsidRDefault="00B51D32" w:rsidP="0011478D">
            <w:pPr>
              <w:pStyle w:val="TableRowCentered"/>
              <w:jc w:val="left"/>
              <w:rPr>
                <w:sz w:val="22"/>
              </w:rPr>
            </w:pPr>
            <w:r>
              <w:rPr>
                <w:sz w:val="22"/>
              </w:rPr>
              <w:t>5</w:t>
            </w:r>
          </w:p>
        </w:tc>
      </w:tr>
    </w:tbl>
    <w:p w14:paraId="2A7D5540" w14:textId="77777777" w:rsidR="00E66558" w:rsidRDefault="00E66558">
      <w:pPr>
        <w:spacing w:before="240" w:after="0"/>
        <w:rPr>
          <w:b/>
          <w:bCs/>
          <w:color w:val="104F75"/>
          <w:sz w:val="28"/>
          <w:szCs w:val="28"/>
        </w:rPr>
      </w:pPr>
    </w:p>
    <w:p w14:paraId="585EBB74" w14:textId="77777777" w:rsidR="005F48F6" w:rsidRDefault="009D71E8" w:rsidP="005F48F6">
      <w:pPr>
        <w:pStyle w:val="Heading3"/>
      </w:pPr>
      <w:r>
        <w:lastRenderedPageBreak/>
        <w:t>Total budgeted cost:</w:t>
      </w:r>
    </w:p>
    <w:p w14:paraId="1BD61340" w14:textId="21475B35" w:rsidR="005F48F6" w:rsidRDefault="005F48F6" w:rsidP="005F48F6">
      <w:pPr>
        <w:pStyle w:val="Heading3"/>
        <w:rPr>
          <w:i/>
          <w:iCs/>
        </w:rPr>
      </w:pPr>
      <w:r>
        <w:t xml:space="preserve">Teaching (for example, CPD, recruitment and retention) Budgeted cost: £ </w:t>
      </w:r>
      <w:r>
        <w:rPr>
          <w:i/>
          <w:iCs/>
        </w:rPr>
        <w:t>15,000</w:t>
      </w:r>
    </w:p>
    <w:p w14:paraId="19DEDD69" w14:textId="550848BF" w:rsidR="005F48F6" w:rsidRDefault="005F48F6" w:rsidP="005F48F6">
      <w:pPr>
        <w:rPr>
          <w:b/>
          <w:bCs/>
          <w:color w:val="104F75"/>
          <w:sz w:val="28"/>
          <w:szCs w:val="28"/>
        </w:rPr>
      </w:pPr>
      <w:r>
        <w:rPr>
          <w:b/>
          <w:bCs/>
          <w:color w:val="104F75"/>
          <w:sz w:val="28"/>
          <w:szCs w:val="28"/>
        </w:rPr>
        <w:t>Targeted academic support (for example, tutoring, one-to-one support structured interventions) £1500</w:t>
      </w:r>
    </w:p>
    <w:p w14:paraId="56BEF432" w14:textId="1C9E29E1" w:rsidR="005F48F6" w:rsidRDefault="005F48F6" w:rsidP="005F48F6">
      <w:pPr>
        <w:rPr>
          <w:b/>
          <w:color w:val="104F75"/>
          <w:sz w:val="28"/>
          <w:szCs w:val="28"/>
        </w:rPr>
      </w:pPr>
      <w:r>
        <w:rPr>
          <w:b/>
          <w:color w:val="104F75"/>
          <w:sz w:val="28"/>
          <w:szCs w:val="28"/>
        </w:rPr>
        <w:t>Wider strategies (for example, related to attendance, behaviour, wellbeing) £5000</w:t>
      </w:r>
    </w:p>
    <w:p w14:paraId="76AAFF4C" w14:textId="082998B7" w:rsidR="005F48F6" w:rsidRDefault="005F48F6" w:rsidP="005F48F6">
      <w:pPr>
        <w:spacing w:before="240" w:after="120"/>
      </w:pPr>
    </w:p>
    <w:p w14:paraId="6E15D5FB" w14:textId="77777777" w:rsidR="005F48F6" w:rsidRDefault="005F48F6" w:rsidP="005F48F6">
      <w:pPr>
        <w:rPr>
          <w:b/>
          <w:bCs/>
          <w:color w:val="104F75"/>
          <w:sz w:val="28"/>
          <w:szCs w:val="28"/>
        </w:rPr>
      </w:pPr>
    </w:p>
    <w:p w14:paraId="00179AA5" w14:textId="77777777" w:rsidR="005F48F6" w:rsidRPr="005F48F6" w:rsidRDefault="005F48F6" w:rsidP="005F48F6">
      <w:pPr>
        <w:rPr>
          <w:b/>
          <w:bCs/>
          <w:color w:val="104F75"/>
          <w:sz w:val="28"/>
          <w:szCs w:val="28"/>
        </w:rPr>
      </w:pPr>
    </w:p>
    <w:p w14:paraId="4982C065" w14:textId="77777777" w:rsidR="005F48F6" w:rsidRPr="005F48F6" w:rsidRDefault="005F48F6" w:rsidP="005F48F6"/>
    <w:p w14:paraId="1F4B120B" w14:textId="77777777" w:rsidR="005F48F6" w:rsidRPr="005F48F6" w:rsidRDefault="005F48F6" w:rsidP="005F48F6"/>
    <w:p w14:paraId="2A7D5541" w14:textId="622062BB" w:rsidR="00E66558" w:rsidRDefault="00E66558" w:rsidP="00120AB1"/>
    <w:p w14:paraId="2A7D5543" w14:textId="7F824825" w:rsidR="00E66558" w:rsidRPr="00011127" w:rsidRDefault="009D71E8" w:rsidP="00C75409">
      <w:pPr>
        <w:pStyle w:val="Heading1"/>
      </w:pPr>
      <w:r w:rsidRPr="00011127">
        <w:lastRenderedPageBreak/>
        <w:t>Part B: Review of outcomes in the previous academic year</w:t>
      </w:r>
      <w:r w:rsidR="00C75409" w:rsidRPr="00011127">
        <w:t xml:space="preserve"> </w:t>
      </w:r>
      <w:r w:rsidRPr="00011127">
        <w:t>Pupil premium strategy outcomes</w:t>
      </w:r>
    </w:p>
    <w:p w14:paraId="2A7D5544" w14:textId="5418E6C9" w:rsidR="00E66558" w:rsidRDefault="009D71E8">
      <w:r w:rsidRPr="00011127">
        <w:t>This details the impact that our pupil premium activity had on pupils in the 202</w:t>
      </w:r>
      <w:r w:rsidR="009F0E5A">
        <w:t>2</w:t>
      </w:r>
      <w:r w:rsidRPr="00011127">
        <w:t xml:space="preserve"> to 202</w:t>
      </w:r>
      <w:r w:rsidR="009F0E5A">
        <w:t>3</w:t>
      </w:r>
      <w:r w:rsidR="000973AD" w:rsidRPr="00011127">
        <w:t xml:space="preserve"> </w:t>
      </w:r>
      <w:r w:rsidRPr="00011127">
        <w:t>academic year.</w:t>
      </w:r>
      <w:r>
        <w:t xml:space="preserve"> </w:t>
      </w:r>
    </w:p>
    <w:tbl>
      <w:tblPr>
        <w:tblStyle w:val="TableGrid"/>
        <w:tblW w:w="0" w:type="auto"/>
        <w:tblLook w:val="04A0" w:firstRow="1" w:lastRow="0" w:firstColumn="1" w:lastColumn="0" w:noHBand="0" w:noVBand="1"/>
      </w:tblPr>
      <w:tblGrid>
        <w:gridCol w:w="2405"/>
        <w:gridCol w:w="2103"/>
        <w:gridCol w:w="2254"/>
        <w:gridCol w:w="2254"/>
      </w:tblGrid>
      <w:tr w:rsidR="009F0E5A" w14:paraId="287279B3" w14:textId="77777777" w:rsidTr="00A237E2">
        <w:tc>
          <w:tcPr>
            <w:tcW w:w="2405" w:type="dxa"/>
            <w:shd w:val="clear" w:color="auto" w:fill="DAEEF3" w:themeFill="accent5" w:themeFillTint="33"/>
          </w:tcPr>
          <w:p w14:paraId="0A57601A" w14:textId="77777777" w:rsidR="009F0E5A" w:rsidRPr="009B2973" w:rsidRDefault="009F0E5A" w:rsidP="00A237E2">
            <w:pPr>
              <w:rPr>
                <w:rFonts w:cs="Arial"/>
                <w:b/>
              </w:rPr>
            </w:pPr>
            <w:r w:rsidRPr="009B2973">
              <w:rPr>
                <w:rFonts w:cs="Arial"/>
                <w:b/>
              </w:rPr>
              <w:t>EYFS</w:t>
            </w:r>
          </w:p>
        </w:tc>
        <w:tc>
          <w:tcPr>
            <w:tcW w:w="6611" w:type="dxa"/>
            <w:gridSpan w:val="3"/>
            <w:shd w:val="clear" w:color="auto" w:fill="DAEEF3" w:themeFill="accent5" w:themeFillTint="33"/>
          </w:tcPr>
          <w:p w14:paraId="550E80DD" w14:textId="77777777" w:rsidR="009F0E5A" w:rsidRPr="009B2973" w:rsidRDefault="009F0E5A" w:rsidP="00A237E2">
            <w:pPr>
              <w:rPr>
                <w:rFonts w:cs="Arial"/>
                <w:b/>
              </w:rPr>
            </w:pPr>
            <w:r w:rsidRPr="009B2973">
              <w:rPr>
                <w:rFonts w:cs="Arial"/>
                <w:b/>
              </w:rPr>
              <w:t>GLD</w:t>
            </w:r>
            <w:r>
              <w:rPr>
                <w:rFonts w:cs="Arial"/>
                <w:b/>
              </w:rPr>
              <w:t xml:space="preserve"> (Good Level of Development)</w:t>
            </w:r>
          </w:p>
        </w:tc>
      </w:tr>
      <w:tr w:rsidR="009F0E5A" w14:paraId="55E5287B" w14:textId="77777777" w:rsidTr="00A237E2">
        <w:tc>
          <w:tcPr>
            <w:tcW w:w="2405" w:type="dxa"/>
          </w:tcPr>
          <w:p w14:paraId="4AB39295" w14:textId="77777777" w:rsidR="009F0E5A" w:rsidRPr="007B00DE" w:rsidRDefault="009F0E5A" w:rsidP="00A237E2">
            <w:pPr>
              <w:rPr>
                <w:rFonts w:cs="Arial"/>
              </w:rPr>
            </w:pPr>
            <w:r w:rsidRPr="007B00DE">
              <w:rPr>
                <w:rFonts w:cs="Arial"/>
              </w:rPr>
              <w:t>All pupils</w:t>
            </w:r>
            <w:r>
              <w:rPr>
                <w:rFonts w:cs="Arial"/>
              </w:rPr>
              <w:t xml:space="preserve"> (38)</w:t>
            </w:r>
          </w:p>
        </w:tc>
        <w:tc>
          <w:tcPr>
            <w:tcW w:w="6611" w:type="dxa"/>
            <w:gridSpan w:val="3"/>
          </w:tcPr>
          <w:p w14:paraId="660B2DB3" w14:textId="77777777" w:rsidR="009F0E5A" w:rsidRPr="007B00DE" w:rsidRDefault="009F0E5A" w:rsidP="00A237E2">
            <w:pPr>
              <w:rPr>
                <w:rFonts w:cs="Arial"/>
              </w:rPr>
            </w:pPr>
            <w:r>
              <w:rPr>
                <w:rFonts w:cs="Arial"/>
              </w:rPr>
              <w:t>71%</w:t>
            </w:r>
          </w:p>
        </w:tc>
      </w:tr>
      <w:tr w:rsidR="009F0E5A" w14:paraId="21EE869E" w14:textId="77777777" w:rsidTr="00A237E2">
        <w:tc>
          <w:tcPr>
            <w:tcW w:w="2405" w:type="dxa"/>
          </w:tcPr>
          <w:p w14:paraId="534EEB92" w14:textId="77777777" w:rsidR="009F0E5A" w:rsidRPr="007B00DE" w:rsidRDefault="009F0E5A" w:rsidP="00A237E2">
            <w:pPr>
              <w:rPr>
                <w:rFonts w:cs="Arial"/>
              </w:rPr>
            </w:pPr>
            <w:r w:rsidRPr="007B00DE">
              <w:rPr>
                <w:rFonts w:cs="Arial"/>
              </w:rPr>
              <w:t>Pupil Premium</w:t>
            </w:r>
            <w:r>
              <w:rPr>
                <w:rFonts w:cs="Arial"/>
              </w:rPr>
              <w:t xml:space="preserve"> (7)</w:t>
            </w:r>
          </w:p>
        </w:tc>
        <w:tc>
          <w:tcPr>
            <w:tcW w:w="6611" w:type="dxa"/>
            <w:gridSpan w:val="3"/>
          </w:tcPr>
          <w:p w14:paraId="15B027AB" w14:textId="77777777" w:rsidR="009F0E5A" w:rsidRPr="007B00DE" w:rsidRDefault="009F0E5A" w:rsidP="00A237E2">
            <w:pPr>
              <w:rPr>
                <w:rFonts w:cs="Arial"/>
              </w:rPr>
            </w:pPr>
            <w:r>
              <w:rPr>
                <w:rFonts w:cs="Arial"/>
              </w:rPr>
              <w:t xml:space="preserve">57% </w:t>
            </w:r>
          </w:p>
        </w:tc>
      </w:tr>
      <w:tr w:rsidR="009F0E5A" w14:paraId="13DB7BA4" w14:textId="77777777" w:rsidTr="00A237E2">
        <w:tc>
          <w:tcPr>
            <w:tcW w:w="2405" w:type="dxa"/>
            <w:shd w:val="clear" w:color="auto" w:fill="DAEEF3" w:themeFill="accent5" w:themeFillTint="33"/>
          </w:tcPr>
          <w:p w14:paraId="56AF176A" w14:textId="77777777" w:rsidR="009F0E5A" w:rsidRPr="006644E7" w:rsidRDefault="009F0E5A" w:rsidP="00A237E2">
            <w:pPr>
              <w:rPr>
                <w:rFonts w:cs="Arial"/>
                <w:b/>
                <w:color w:val="auto"/>
              </w:rPr>
            </w:pPr>
          </w:p>
        </w:tc>
        <w:tc>
          <w:tcPr>
            <w:tcW w:w="2103" w:type="dxa"/>
            <w:shd w:val="clear" w:color="auto" w:fill="DAEEF3" w:themeFill="accent5" w:themeFillTint="33"/>
          </w:tcPr>
          <w:p w14:paraId="16222A4E" w14:textId="77777777" w:rsidR="009F0E5A" w:rsidRPr="006644E7" w:rsidRDefault="009F0E5A" w:rsidP="00A237E2">
            <w:pPr>
              <w:rPr>
                <w:rFonts w:cs="Arial"/>
                <w:b/>
                <w:color w:val="auto"/>
              </w:rPr>
            </w:pPr>
            <w:r w:rsidRPr="006644E7">
              <w:rPr>
                <w:rFonts w:cs="Arial"/>
                <w:b/>
              </w:rPr>
              <w:t>EXS+ in Reading</w:t>
            </w:r>
          </w:p>
        </w:tc>
        <w:tc>
          <w:tcPr>
            <w:tcW w:w="2254" w:type="dxa"/>
            <w:shd w:val="clear" w:color="auto" w:fill="DAEEF3" w:themeFill="accent5" w:themeFillTint="33"/>
          </w:tcPr>
          <w:p w14:paraId="37BDC249" w14:textId="77777777" w:rsidR="009F0E5A" w:rsidRPr="006644E7" w:rsidRDefault="009F0E5A" w:rsidP="00A237E2">
            <w:pPr>
              <w:rPr>
                <w:rFonts w:cs="Arial"/>
                <w:b/>
                <w:color w:val="auto"/>
              </w:rPr>
            </w:pPr>
            <w:r w:rsidRPr="006644E7">
              <w:rPr>
                <w:rFonts w:cs="Arial"/>
                <w:b/>
              </w:rPr>
              <w:t>EXS+ in Writing</w:t>
            </w:r>
          </w:p>
        </w:tc>
        <w:tc>
          <w:tcPr>
            <w:tcW w:w="2254" w:type="dxa"/>
            <w:shd w:val="clear" w:color="auto" w:fill="DAEEF3" w:themeFill="accent5" w:themeFillTint="33"/>
          </w:tcPr>
          <w:p w14:paraId="05D33D18" w14:textId="77777777" w:rsidR="009F0E5A" w:rsidRPr="006644E7" w:rsidRDefault="009F0E5A" w:rsidP="00A237E2">
            <w:pPr>
              <w:rPr>
                <w:rFonts w:cs="Arial"/>
                <w:b/>
                <w:color w:val="auto"/>
              </w:rPr>
            </w:pPr>
            <w:r w:rsidRPr="006644E7">
              <w:rPr>
                <w:rFonts w:cs="Arial"/>
                <w:b/>
              </w:rPr>
              <w:t>EXS+ in Maths</w:t>
            </w:r>
          </w:p>
        </w:tc>
      </w:tr>
      <w:tr w:rsidR="009F0E5A" w14:paraId="15EEA640" w14:textId="77777777" w:rsidTr="00A237E2">
        <w:tc>
          <w:tcPr>
            <w:tcW w:w="2405" w:type="dxa"/>
            <w:shd w:val="clear" w:color="auto" w:fill="DAEEF3" w:themeFill="accent5" w:themeFillTint="33"/>
          </w:tcPr>
          <w:p w14:paraId="662305B6" w14:textId="77777777" w:rsidR="009F0E5A" w:rsidRPr="006644E7" w:rsidRDefault="009F0E5A" w:rsidP="00A237E2">
            <w:pPr>
              <w:rPr>
                <w:rFonts w:cs="Arial"/>
                <w:b/>
                <w:color w:val="auto"/>
              </w:rPr>
            </w:pPr>
            <w:r w:rsidRPr="006644E7">
              <w:rPr>
                <w:rFonts w:cs="Arial"/>
                <w:b/>
                <w:color w:val="auto"/>
              </w:rPr>
              <w:t>Year 1</w:t>
            </w:r>
          </w:p>
        </w:tc>
        <w:tc>
          <w:tcPr>
            <w:tcW w:w="2103" w:type="dxa"/>
            <w:shd w:val="clear" w:color="auto" w:fill="DAEEF3" w:themeFill="accent5" w:themeFillTint="33"/>
          </w:tcPr>
          <w:p w14:paraId="689F0DBA" w14:textId="77777777" w:rsidR="009F0E5A" w:rsidRPr="006644E7" w:rsidRDefault="009F0E5A" w:rsidP="00A237E2">
            <w:pPr>
              <w:rPr>
                <w:rFonts w:cs="Arial"/>
                <w:b/>
                <w:color w:val="auto"/>
              </w:rPr>
            </w:pPr>
            <w:r w:rsidRPr="006644E7">
              <w:rPr>
                <w:rFonts w:cs="Arial"/>
                <w:b/>
                <w:color w:val="auto"/>
              </w:rPr>
              <w:t>Reading</w:t>
            </w:r>
          </w:p>
        </w:tc>
        <w:tc>
          <w:tcPr>
            <w:tcW w:w="2254" w:type="dxa"/>
            <w:shd w:val="clear" w:color="auto" w:fill="DAEEF3" w:themeFill="accent5" w:themeFillTint="33"/>
          </w:tcPr>
          <w:p w14:paraId="38DE8704" w14:textId="77777777" w:rsidR="009F0E5A" w:rsidRPr="006644E7" w:rsidRDefault="009F0E5A" w:rsidP="00A237E2">
            <w:pPr>
              <w:rPr>
                <w:rFonts w:cs="Arial"/>
                <w:b/>
                <w:color w:val="auto"/>
              </w:rPr>
            </w:pPr>
            <w:r w:rsidRPr="006644E7">
              <w:rPr>
                <w:rFonts w:cs="Arial"/>
                <w:b/>
                <w:color w:val="auto"/>
              </w:rPr>
              <w:t>Writing</w:t>
            </w:r>
          </w:p>
        </w:tc>
        <w:tc>
          <w:tcPr>
            <w:tcW w:w="2254" w:type="dxa"/>
            <w:shd w:val="clear" w:color="auto" w:fill="DAEEF3" w:themeFill="accent5" w:themeFillTint="33"/>
          </w:tcPr>
          <w:p w14:paraId="4BEE7440" w14:textId="77777777" w:rsidR="009F0E5A" w:rsidRPr="006644E7" w:rsidRDefault="009F0E5A" w:rsidP="00A237E2">
            <w:pPr>
              <w:rPr>
                <w:rFonts w:cs="Arial"/>
                <w:b/>
                <w:color w:val="auto"/>
              </w:rPr>
            </w:pPr>
            <w:r w:rsidRPr="006644E7">
              <w:rPr>
                <w:rFonts w:cs="Arial"/>
                <w:b/>
                <w:color w:val="auto"/>
              </w:rPr>
              <w:t>Maths</w:t>
            </w:r>
          </w:p>
        </w:tc>
      </w:tr>
      <w:tr w:rsidR="009F0E5A" w14:paraId="2D618CA8" w14:textId="77777777" w:rsidTr="00A237E2">
        <w:tc>
          <w:tcPr>
            <w:tcW w:w="2405" w:type="dxa"/>
          </w:tcPr>
          <w:p w14:paraId="7F6CA768" w14:textId="77777777" w:rsidR="009F0E5A" w:rsidRPr="006644E7" w:rsidRDefault="009F0E5A" w:rsidP="00A237E2">
            <w:pPr>
              <w:rPr>
                <w:rFonts w:cs="Arial"/>
                <w:color w:val="auto"/>
              </w:rPr>
            </w:pPr>
            <w:r w:rsidRPr="006644E7">
              <w:rPr>
                <w:rFonts w:cs="Arial"/>
                <w:color w:val="auto"/>
              </w:rPr>
              <w:t xml:space="preserve">All pupils </w:t>
            </w:r>
            <w:r>
              <w:rPr>
                <w:rFonts w:cs="Arial"/>
                <w:color w:val="auto"/>
              </w:rPr>
              <w:t>(35)</w:t>
            </w:r>
          </w:p>
        </w:tc>
        <w:tc>
          <w:tcPr>
            <w:tcW w:w="2103" w:type="dxa"/>
          </w:tcPr>
          <w:p w14:paraId="065F4FE6" w14:textId="77777777" w:rsidR="009F0E5A" w:rsidRPr="006644E7" w:rsidRDefault="009F0E5A" w:rsidP="00A237E2">
            <w:pPr>
              <w:rPr>
                <w:rFonts w:cs="Arial"/>
                <w:color w:val="auto"/>
              </w:rPr>
            </w:pPr>
            <w:r>
              <w:rPr>
                <w:rFonts w:cs="Arial"/>
                <w:color w:val="auto"/>
              </w:rPr>
              <w:t>86%</w:t>
            </w:r>
          </w:p>
        </w:tc>
        <w:tc>
          <w:tcPr>
            <w:tcW w:w="2254" w:type="dxa"/>
          </w:tcPr>
          <w:p w14:paraId="1188DBA3" w14:textId="77777777" w:rsidR="009F0E5A" w:rsidRPr="006644E7" w:rsidRDefault="009F0E5A" w:rsidP="00A237E2">
            <w:pPr>
              <w:rPr>
                <w:rFonts w:cs="Arial"/>
                <w:color w:val="auto"/>
              </w:rPr>
            </w:pPr>
            <w:r>
              <w:rPr>
                <w:rFonts w:cs="Arial"/>
                <w:color w:val="auto"/>
              </w:rPr>
              <w:t>77%</w:t>
            </w:r>
          </w:p>
        </w:tc>
        <w:tc>
          <w:tcPr>
            <w:tcW w:w="2254" w:type="dxa"/>
          </w:tcPr>
          <w:p w14:paraId="4A5EAEB7" w14:textId="77777777" w:rsidR="009F0E5A" w:rsidRPr="006644E7" w:rsidRDefault="009F0E5A" w:rsidP="00A237E2">
            <w:pPr>
              <w:rPr>
                <w:rFonts w:cs="Arial"/>
                <w:color w:val="auto"/>
              </w:rPr>
            </w:pPr>
            <w:r>
              <w:rPr>
                <w:rFonts w:cs="Arial"/>
                <w:color w:val="auto"/>
              </w:rPr>
              <w:t>80%</w:t>
            </w:r>
          </w:p>
        </w:tc>
      </w:tr>
      <w:tr w:rsidR="009F0E5A" w14:paraId="70B93E85" w14:textId="77777777" w:rsidTr="00A237E2">
        <w:tc>
          <w:tcPr>
            <w:tcW w:w="2405" w:type="dxa"/>
          </w:tcPr>
          <w:p w14:paraId="125DCB45" w14:textId="77777777" w:rsidR="009F0E5A" w:rsidRPr="006644E7" w:rsidRDefault="009F0E5A" w:rsidP="00A237E2">
            <w:pPr>
              <w:rPr>
                <w:rFonts w:cs="Arial"/>
                <w:color w:val="auto"/>
              </w:rPr>
            </w:pPr>
            <w:r w:rsidRPr="006644E7">
              <w:rPr>
                <w:rFonts w:cs="Arial"/>
                <w:color w:val="auto"/>
              </w:rPr>
              <w:t xml:space="preserve">Pupil Premium </w:t>
            </w:r>
            <w:r>
              <w:rPr>
                <w:rFonts w:cs="Arial"/>
                <w:color w:val="auto"/>
              </w:rPr>
              <w:t>(5)</w:t>
            </w:r>
          </w:p>
        </w:tc>
        <w:tc>
          <w:tcPr>
            <w:tcW w:w="2103" w:type="dxa"/>
          </w:tcPr>
          <w:p w14:paraId="334BDF6C" w14:textId="77777777" w:rsidR="009F0E5A" w:rsidRPr="006644E7" w:rsidRDefault="009F0E5A" w:rsidP="00A237E2">
            <w:pPr>
              <w:rPr>
                <w:rFonts w:cs="Arial"/>
                <w:color w:val="auto"/>
              </w:rPr>
            </w:pPr>
            <w:r>
              <w:rPr>
                <w:rFonts w:cs="Arial"/>
                <w:color w:val="auto"/>
              </w:rPr>
              <w:t>80%</w:t>
            </w:r>
          </w:p>
        </w:tc>
        <w:tc>
          <w:tcPr>
            <w:tcW w:w="2254" w:type="dxa"/>
          </w:tcPr>
          <w:p w14:paraId="00C70569" w14:textId="77777777" w:rsidR="009F0E5A" w:rsidRPr="006644E7" w:rsidRDefault="009F0E5A" w:rsidP="00A237E2">
            <w:pPr>
              <w:rPr>
                <w:rFonts w:cs="Arial"/>
                <w:color w:val="auto"/>
              </w:rPr>
            </w:pPr>
            <w:r>
              <w:rPr>
                <w:rFonts w:cs="Arial"/>
                <w:color w:val="auto"/>
              </w:rPr>
              <w:t>80%</w:t>
            </w:r>
          </w:p>
        </w:tc>
        <w:tc>
          <w:tcPr>
            <w:tcW w:w="2254" w:type="dxa"/>
          </w:tcPr>
          <w:p w14:paraId="6E273215" w14:textId="77777777" w:rsidR="009F0E5A" w:rsidRPr="006644E7" w:rsidRDefault="009F0E5A" w:rsidP="00A237E2">
            <w:pPr>
              <w:rPr>
                <w:rFonts w:cs="Arial"/>
                <w:color w:val="auto"/>
              </w:rPr>
            </w:pPr>
            <w:r>
              <w:rPr>
                <w:rFonts w:cs="Arial"/>
                <w:color w:val="auto"/>
              </w:rPr>
              <w:t>100%</w:t>
            </w:r>
          </w:p>
        </w:tc>
      </w:tr>
      <w:tr w:rsidR="009F0E5A" w14:paraId="5318C8E9" w14:textId="77777777" w:rsidTr="00A237E2">
        <w:tc>
          <w:tcPr>
            <w:tcW w:w="2405" w:type="dxa"/>
            <w:shd w:val="clear" w:color="auto" w:fill="DAEEF3" w:themeFill="accent5" w:themeFillTint="33"/>
          </w:tcPr>
          <w:p w14:paraId="0DA07978" w14:textId="77777777" w:rsidR="009F0E5A" w:rsidRPr="006644E7" w:rsidRDefault="009F0E5A" w:rsidP="00A237E2">
            <w:pPr>
              <w:rPr>
                <w:rFonts w:cs="Arial"/>
                <w:b/>
                <w:color w:val="auto"/>
              </w:rPr>
            </w:pPr>
            <w:r w:rsidRPr="006644E7">
              <w:rPr>
                <w:rFonts w:cs="Arial"/>
                <w:b/>
                <w:color w:val="auto"/>
              </w:rPr>
              <w:t>Year 2</w:t>
            </w:r>
          </w:p>
        </w:tc>
        <w:tc>
          <w:tcPr>
            <w:tcW w:w="2103" w:type="dxa"/>
            <w:shd w:val="clear" w:color="auto" w:fill="DAEEF3" w:themeFill="accent5" w:themeFillTint="33"/>
          </w:tcPr>
          <w:p w14:paraId="60609B87" w14:textId="77777777" w:rsidR="009F0E5A" w:rsidRPr="006644E7" w:rsidRDefault="009F0E5A" w:rsidP="00A237E2">
            <w:pPr>
              <w:rPr>
                <w:rFonts w:cs="Arial"/>
                <w:b/>
                <w:color w:val="auto"/>
              </w:rPr>
            </w:pPr>
            <w:r w:rsidRPr="006644E7">
              <w:rPr>
                <w:rFonts w:cs="Arial"/>
                <w:b/>
                <w:color w:val="auto"/>
              </w:rPr>
              <w:t>Reading</w:t>
            </w:r>
          </w:p>
        </w:tc>
        <w:tc>
          <w:tcPr>
            <w:tcW w:w="2254" w:type="dxa"/>
            <w:shd w:val="clear" w:color="auto" w:fill="DAEEF3" w:themeFill="accent5" w:themeFillTint="33"/>
          </w:tcPr>
          <w:p w14:paraId="753B66F3" w14:textId="77777777" w:rsidR="009F0E5A" w:rsidRPr="006644E7" w:rsidRDefault="009F0E5A" w:rsidP="00A237E2">
            <w:pPr>
              <w:rPr>
                <w:rFonts w:cs="Arial"/>
                <w:b/>
                <w:color w:val="auto"/>
              </w:rPr>
            </w:pPr>
            <w:r w:rsidRPr="006644E7">
              <w:rPr>
                <w:rFonts w:cs="Arial"/>
                <w:b/>
                <w:color w:val="auto"/>
              </w:rPr>
              <w:t>Writing</w:t>
            </w:r>
          </w:p>
        </w:tc>
        <w:tc>
          <w:tcPr>
            <w:tcW w:w="2254" w:type="dxa"/>
            <w:shd w:val="clear" w:color="auto" w:fill="DAEEF3" w:themeFill="accent5" w:themeFillTint="33"/>
          </w:tcPr>
          <w:p w14:paraId="02E9817A" w14:textId="77777777" w:rsidR="009F0E5A" w:rsidRPr="006644E7" w:rsidRDefault="009F0E5A" w:rsidP="00A237E2">
            <w:pPr>
              <w:rPr>
                <w:rFonts w:cs="Arial"/>
                <w:b/>
                <w:color w:val="auto"/>
              </w:rPr>
            </w:pPr>
            <w:r w:rsidRPr="006644E7">
              <w:rPr>
                <w:rFonts w:cs="Arial"/>
                <w:b/>
                <w:color w:val="auto"/>
              </w:rPr>
              <w:t>Maths</w:t>
            </w:r>
          </w:p>
        </w:tc>
      </w:tr>
      <w:tr w:rsidR="009F0E5A" w14:paraId="310F3FF3" w14:textId="77777777" w:rsidTr="00A237E2">
        <w:tc>
          <w:tcPr>
            <w:tcW w:w="2405" w:type="dxa"/>
          </w:tcPr>
          <w:p w14:paraId="78E07733" w14:textId="77777777" w:rsidR="009F0E5A" w:rsidRPr="006644E7" w:rsidRDefault="009F0E5A" w:rsidP="00A237E2">
            <w:pPr>
              <w:rPr>
                <w:rFonts w:cs="Arial"/>
                <w:color w:val="auto"/>
              </w:rPr>
            </w:pPr>
            <w:r w:rsidRPr="006644E7">
              <w:rPr>
                <w:rFonts w:cs="Arial"/>
                <w:color w:val="auto"/>
              </w:rPr>
              <w:t xml:space="preserve">All pupils </w:t>
            </w:r>
            <w:r>
              <w:rPr>
                <w:rFonts w:cs="Arial"/>
                <w:color w:val="auto"/>
              </w:rPr>
              <w:t>(36)</w:t>
            </w:r>
          </w:p>
        </w:tc>
        <w:tc>
          <w:tcPr>
            <w:tcW w:w="2103" w:type="dxa"/>
          </w:tcPr>
          <w:p w14:paraId="5649C73A" w14:textId="77777777" w:rsidR="009F0E5A" w:rsidRPr="006644E7" w:rsidRDefault="009F0E5A" w:rsidP="00A237E2">
            <w:pPr>
              <w:rPr>
                <w:rFonts w:cs="Arial"/>
                <w:color w:val="auto"/>
              </w:rPr>
            </w:pPr>
            <w:r>
              <w:rPr>
                <w:rFonts w:cs="Arial"/>
                <w:color w:val="auto"/>
              </w:rPr>
              <w:t>75%</w:t>
            </w:r>
          </w:p>
        </w:tc>
        <w:tc>
          <w:tcPr>
            <w:tcW w:w="2254" w:type="dxa"/>
          </w:tcPr>
          <w:p w14:paraId="676CE4E5" w14:textId="77777777" w:rsidR="009F0E5A" w:rsidRPr="006644E7" w:rsidRDefault="009F0E5A" w:rsidP="00A237E2">
            <w:pPr>
              <w:rPr>
                <w:rFonts w:cs="Arial"/>
                <w:color w:val="auto"/>
              </w:rPr>
            </w:pPr>
            <w:r>
              <w:rPr>
                <w:rFonts w:cs="Arial"/>
                <w:color w:val="auto"/>
              </w:rPr>
              <w:t>50%</w:t>
            </w:r>
          </w:p>
        </w:tc>
        <w:tc>
          <w:tcPr>
            <w:tcW w:w="2254" w:type="dxa"/>
          </w:tcPr>
          <w:p w14:paraId="57960373" w14:textId="77777777" w:rsidR="009F0E5A" w:rsidRPr="006644E7" w:rsidRDefault="009F0E5A" w:rsidP="00A237E2">
            <w:pPr>
              <w:rPr>
                <w:rFonts w:cs="Arial"/>
                <w:color w:val="auto"/>
              </w:rPr>
            </w:pPr>
            <w:r>
              <w:rPr>
                <w:rFonts w:cs="Arial"/>
                <w:color w:val="auto"/>
              </w:rPr>
              <w:t>78%</w:t>
            </w:r>
          </w:p>
        </w:tc>
      </w:tr>
      <w:tr w:rsidR="009F0E5A" w14:paraId="559FB924" w14:textId="77777777" w:rsidTr="00A237E2">
        <w:tc>
          <w:tcPr>
            <w:tcW w:w="2405" w:type="dxa"/>
          </w:tcPr>
          <w:p w14:paraId="311519B5" w14:textId="77777777" w:rsidR="009F0E5A" w:rsidRPr="006644E7" w:rsidRDefault="009F0E5A" w:rsidP="00A237E2">
            <w:pPr>
              <w:rPr>
                <w:rFonts w:cs="Arial"/>
                <w:color w:val="auto"/>
              </w:rPr>
            </w:pPr>
            <w:r w:rsidRPr="006644E7">
              <w:rPr>
                <w:rFonts w:cs="Arial"/>
                <w:color w:val="auto"/>
              </w:rPr>
              <w:t xml:space="preserve">Pupil Premium </w:t>
            </w:r>
            <w:r>
              <w:rPr>
                <w:rFonts w:cs="Arial"/>
                <w:color w:val="auto"/>
              </w:rPr>
              <w:t>(7)</w:t>
            </w:r>
          </w:p>
        </w:tc>
        <w:tc>
          <w:tcPr>
            <w:tcW w:w="2103" w:type="dxa"/>
          </w:tcPr>
          <w:p w14:paraId="1187F2B9" w14:textId="77777777" w:rsidR="009F0E5A" w:rsidRPr="006644E7" w:rsidRDefault="009F0E5A" w:rsidP="00A237E2">
            <w:pPr>
              <w:rPr>
                <w:rFonts w:cs="Arial"/>
                <w:color w:val="auto"/>
              </w:rPr>
            </w:pPr>
            <w:r>
              <w:rPr>
                <w:rFonts w:cs="Arial"/>
                <w:color w:val="auto"/>
              </w:rPr>
              <w:t>14%</w:t>
            </w:r>
          </w:p>
        </w:tc>
        <w:tc>
          <w:tcPr>
            <w:tcW w:w="2254" w:type="dxa"/>
          </w:tcPr>
          <w:p w14:paraId="27775F00" w14:textId="77777777" w:rsidR="009F0E5A" w:rsidRPr="006644E7" w:rsidRDefault="009F0E5A" w:rsidP="00A237E2">
            <w:pPr>
              <w:rPr>
                <w:rFonts w:cs="Arial"/>
                <w:color w:val="auto"/>
              </w:rPr>
            </w:pPr>
            <w:r>
              <w:rPr>
                <w:rFonts w:cs="Arial"/>
                <w:color w:val="auto"/>
              </w:rPr>
              <w:t>14%</w:t>
            </w:r>
          </w:p>
        </w:tc>
        <w:tc>
          <w:tcPr>
            <w:tcW w:w="2254" w:type="dxa"/>
          </w:tcPr>
          <w:p w14:paraId="29845AE5" w14:textId="77777777" w:rsidR="009F0E5A" w:rsidRPr="006644E7" w:rsidRDefault="009F0E5A" w:rsidP="00A237E2">
            <w:pPr>
              <w:rPr>
                <w:rFonts w:cs="Arial"/>
                <w:color w:val="auto"/>
              </w:rPr>
            </w:pPr>
            <w:r>
              <w:rPr>
                <w:rFonts w:cs="Arial"/>
                <w:color w:val="auto"/>
              </w:rPr>
              <w:t>29%</w:t>
            </w:r>
          </w:p>
        </w:tc>
      </w:tr>
      <w:tr w:rsidR="009F0E5A" w14:paraId="31531902" w14:textId="77777777" w:rsidTr="00A237E2">
        <w:tc>
          <w:tcPr>
            <w:tcW w:w="2405" w:type="dxa"/>
            <w:shd w:val="clear" w:color="auto" w:fill="DAEEF3" w:themeFill="accent5" w:themeFillTint="33"/>
          </w:tcPr>
          <w:p w14:paraId="6B8E6B86" w14:textId="77777777" w:rsidR="009F0E5A" w:rsidRPr="006644E7" w:rsidRDefault="009F0E5A" w:rsidP="00A237E2">
            <w:pPr>
              <w:rPr>
                <w:rFonts w:cs="Arial"/>
                <w:b/>
                <w:color w:val="auto"/>
              </w:rPr>
            </w:pPr>
            <w:r w:rsidRPr="006644E7">
              <w:rPr>
                <w:rFonts w:cs="Arial"/>
                <w:b/>
                <w:color w:val="auto"/>
              </w:rPr>
              <w:t>Year 3</w:t>
            </w:r>
          </w:p>
        </w:tc>
        <w:tc>
          <w:tcPr>
            <w:tcW w:w="2103" w:type="dxa"/>
            <w:shd w:val="clear" w:color="auto" w:fill="DAEEF3" w:themeFill="accent5" w:themeFillTint="33"/>
          </w:tcPr>
          <w:p w14:paraId="51BFDE87" w14:textId="77777777" w:rsidR="009F0E5A" w:rsidRPr="006644E7" w:rsidRDefault="009F0E5A" w:rsidP="00A237E2">
            <w:pPr>
              <w:rPr>
                <w:rFonts w:cs="Arial"/>
                <w:b/>
                <w:color w:val="auto"/>
              </w:rPr>
            </w:pPr>
            <w:r w:rsidRPr="006644E7">
              <w:rPr>
                <w:rFonts w:cs="Arial"/>
                <w:b/>
                <w:color w:val="auto"/>
              </w:rPr>
              <w:t xml:space="preserve">Reading </w:t>
            </w:r>
          </w:p>
        </w:tc>
        <w:tc>
          <w:tcPr>
            <w:tcW w:w="2254" w:type="dxa"/>
            <w:shd w:val="clear" w:color="auto" w:fill="DAEEF3" w:themeFill="accent5" w:themeFillTint="33"/>
          </w:tcPr>
          <w:p w14:paraId="48C8BBC8" w14:textId="77777777" w:rsidR="009F0E5A" w:rsidRPr="006644E7" w:rsidRDefault="009F0E5A" w:rsidP="00A237E2">
            <w:pPr>
              <w:rPr>
                <w:rFonts w:cs="Arial"/>
                <w:b/>
                <w:color w:val="auto"/>
              </w:rPr>
            </w:pPr>
            <w:r w:rsidRPr="006644E7">
              <w:rPr>
                <w:rFonts w:cs="Arial"/>
                <w:b/>
                <w:color w:val="auto"/>
              </w:rPr>
              <w:t>Writing</w:t>
            </w:r>
          </w:p>
        </w:tc>
        <w:tc>
          <w:tcPr>
            <w:tcW w:w="2254" w:type="dxa"/>
            <w:shd w:val="clear" w:color="auto" w:fill="DAEEF3" w:themeFill="accent5" w:themeFillTint="33"/>
          </w:tcPr>
          <w:p w14:paraId="57D8C038" w14:textId="77777777" w:rsidR="009F0E5A" w:rsidRPr="006644E7" w:rsidRDefault="009F0E5A" w:rsidP="00A237E2">
            <w:pPr>
              <w:rPr>
                <w:rFonts w:cs="Arial"/>
                <w:b/>
                <w:color w:val="auto"/>
              </w:rPr>
            </w:pPr>
            <w:r w:rsidRPr="006644E7">
              <w:rPr>
                <w:rFonts w:cs="Arial"/>
                <w:b/>
                <w:color w:val="auto"/>
              </w:rPr>
              <w:t>Maths</w:t>
            </w:r>
          </w:p>
        </w:tc>
      </w:tr>
      <w:tr w:rsidR="009F0E5A" w14:paraId="6BCF5B18" w14:textId="77777777" w:rsidTr="00A237E2">
        <w:tc>
          <w:tcPr>
            <w:tcW w:w="2405" w:type="dxa"/>
          </w:tcPr>
          <w:p w14:paraId="5BF33472" w14:textId="77777777" w:rsidR="009F0E5A" w:rsidRPr="006644E7" w:rsidRDefault="009F0E5A" w:rsidP="00A237E2">
            <w:pPr>
              <w:rPr>
                <w:rFonts w:cs="Arial"/>
                <w:color w:val="auto"/>
              </w:rPr>
            </w:pPr>
            <w:r w:rsidRPr="006644E7">
              <w:rPr>
                <w:rFonts w:cs="Arial"/>
                <w:color w:val="auto"/>
              </w:rPr>
              <w:t xml:space="preserve">All pupils </w:t>
            </w:r>
            <w:r>
              <w:rPr>
                <w:rFonts w:cs="Arial"/>
                <w:color w:val="auto"/>
              </w:rPr>
              <w:t>(43)</w:t>
            </w:r>
          </w:p>
        </w:tc>
        <w:tc>
          <w:tcPr>
            <w:tcW w:w="2103" w:type="dxa"/>
          </w:tcPr>
          <w:p w14:paraId="1C2FE7A3" w14:textId="77777777" w:rsidR="009F0E5A" w:rsidRPr="006644E7" w:rsidRDefault="009F0E5A" w:rsidP="00A237E2">
            <w:pPr>
              <w:rPr>
                <w:rFonts w:cs="Arial"/>
                <w:color w:val="auto"/>
              </w:rPr>
            </w:pPr>
            <w:r>
              <w:rPr>
                <w:rFonts w:cs="Arial"/>
                <w:color w:val="auto"/>
              </w:rPr>
              <w:t>72%</w:t>
            </w:r>
          </w:p>
        </w:tc>
        <w:tc>
          <w:tcPr>
            <w:tcW w:w="2254" w:type="dxa"/>
          </w:tcPr>
          <w:p w14:paraId="74D6131B" w14:textId="77777777" w:rsidR="009F0E5A" w:rsidRPr="006644E7" w:rsidRDefault="009F0E5A" w:rsidP="00A237E2">
            <w:pPr>
              <w:rPr>
                <w:rFonts w:cs="Arial"/>
                <w:color w:val="auto"/>
              </w:rPr>
            </w:pPr>
            <w:r>
              <w:rPr>
                <w:rFonts w:cs="Arial"/>
                <w:color w:val="auto"/>
              </w:rPr>
              <w:t>70%</w:t>
            </w:r>
          </w:p>
        </w:tc>
        <w:tc>
          <w:tcPr>
            <w:tcW w:w="2254" w:type="dxa"/>
          </w:tcPr>
          <w:p w14:paraId="53A7EA2B" w14:textId="77777777" w:rsidR="009F0E5A" w:rsidRPr="006644E7" w:rsidRDefault="009F0E5A" w:rsidP="00A237E2">
            <w:pPr>
              <w:rPr>
                <w:rFonts w:cs="Arial"/>
                <w:color w:val="auto"/>
              </w:rPr>
            </w:pPr>
            <w:r>
              <w:rPr>
                <w:rFonts w:cs="Arial"/>
                <w:color w:val="auto"/>
              </w:rPr>
              <w:t>67%</w:t>
            </w:r>
          </w:p>
        </w:tc>
      </w:tr>
      <w:tr w:rsidR="009F0E5A" w14:paraId="691014E1" w14:textId="77777777" w:rsidTr="00A237E2">
        <w:tc>
          <w:tcPr>
            <w:tcW w:w="2405" w:type="dxa"/>
          </w:tcPr>
          <w:p w14:paraId="06E1C4A0" w14:textId="7547B59D" w:rsidR="009F0E5A" w:rsidRPr="006644E7" w:rsidRDefault="009F0E5A" w:rsidP="00A237E2">
            <w:pPr>
              <w:rPr>
                <w:rFonts w:cs="Arial"/>
                <w:color w:val="auto"/>
              </w:rPr>
            </w:pPr>
            <w:r w:rsidRPr="006644E7">
              <w:rPr>
                <w:rFonts w:cs="Arial"/>
                <w:color w:val="auto"/>
              </w:rPr>
              <w:t>Pupil Premium</w:t>
            </w:r>
            <w:r>
              <w:rPr>
                <w:rFonts w:cs="Arial"/>
                <w:color w:val="auto"/>
              </w:rPr>
              <w:t xml:space="preserve"> (10)</w:t>
            </w:r>
          </w:p>
        </w:tc>
        <w:tc>
          <w:tcPr>
            <w:tcW w:w="2103" w:type="dxa"/>
          </w:tcPr>
          <w:p w14:paraId="1E40F3D0" w14:textId="77777777" w:rsidR="009F0E5A" w:rsidRPr="006644E7" w:rsidRDefault="009F0E5A" w:rsidP="00A237E2">
            <w:pPr>
              <w:rPr>
                <w:rFonts w:cs="Arial"/>
                <w:color w:val="auto"/>
              </w:rPr>
            </w:pPr>
            <w:r>
              <w:rPr>
                <w:rFonts w:cs="Arial"/>
                <w:color w:val="auto"/>
              </w:rPr>
              <w:t>90%</w:t>
            </w:r>
          </w:p>
        </w:tc>
        <w:tc>
          <w:tcPr>
            <w:tcW w:w="2254" w:type="dxa"/>
          </w:tcPr>
          <w:p w14:paraId="3CD62331" w14:textId="77777777" w:rsidR="009F0E5A" w:rsidRPr="006644E7" w:rsidRDefault="009F0E5A" w:rsidP="00A237E2">
            <w:pPr>
              <w:rPr>
                <w:rFonts w:cs="Arial"/>
                <w:color w:val="auto"/>
              </w:rPr>
            </w:pPr>
            <w:r>
              <w:rPr>
                <w:rFonts w:cs="Arial"/>
                <w:color w:val="auto"/>
              </w:rPr>
              <w:t>70%</w:t>
            </w:r>
          </w:p>
        </w:tc>
        <w:tc>
          <w:tcPr>
            <w:tcW w:w="2254" w:type="dxa"/>
          </w:tcPr>
          <w:p w14:paraId="7E10E437" w14:textId="77777777" w:rsidR="009F0E5A" w:rsidRPr="006644E7" w:rsidRDefault="009F0E5A" w:rsidP="00A237E2">
            <w:pPr>
              <w:rPr>
                <w:rFonts w:cs="Arial"/>
                <w:color w:val="auto"/>
              </w:rPr>
            </w:pPr>
            <w:r>
              <w:rPr>
                <w:rFonts w:cs="Arial"/>
                <w:color w:val="auto"/>
              </w:rPr>
              <w:t>70%</w:t>
            </w:r>
          </w:p>
        </w:tc>
      </w:tr>
      <w:tr w:rsidR="009F0E5A" w14:paraId="6E8B8E84" w14:textId="77777777" w:rsidTr="00A237E2">
        <w:tc>
          <w:tcPr>
            <w:tcW w:w="2405" w:type="dxa"/>
            <w:shd w:val="clear" w:color="auto" w:fill="DAEEF3" w:themeFill="accent5" w:themeFillTint="33"/>
          </w:tcPr>
          <w:p w14:paraId="28FDE22B" w14:textId="77777777" w:rsidR="009F0E5A" w:rsidRPr="006644E7" w:rsidRDefault="009F0E5A" w:rsidP="00A237E2">
            <w:pPr>
              <w:rPr>
                <w:rFonts w:cs="Arial"/>
                <w:b/>
              </w:rPr>
            </w:pPr>
            <w:r w:rsidRPr="006644E7">
              <w:rPr>
                <w:rFonts w:cs="Arial"/>
                <w:b/>
              </w:rPr>
              <w:t>Year 4</w:t>
            </w:r>
          </w:p>
        </w:tc>
        <w:tc>
          <w:tcPr>
            <w:tcW w:w="2103" w:type="dxa"/>
            <w:shd w:val="clear" w:color="auto" w:fill="DAEEF3" w:themeFill="accent5" w:themeFillTint="33"/>
          </w:tcPr>
          <w:p w14:paraId="2EDA4AB6" w14:textId="77777777" w:rsidR="009F0E5A" w:rsidRPr="006644E7" w:rsidRDefault="009F0E5A" w:rsidP="00A237E2">
            <w:pPr>
              <w:rPr>
                <w:rFonts w:cs="Arial"/>
                <w:b/>
              </w:rPr>
            </w:pPr>
            <w:r w:rsidRPr="006644E7">
              <w:rPr>
                <w:rFonts w:cs="Arial"/>
                <w:b/>
              </w:rPr>
              <w:t>Reading</w:t>
            </w:r>
          </w:p>
        </w:tc>
        <w:tc>
          <w:tcPr>
            <w:tcW w:w="2254" w:type="dxa"/>
            <w:shd w:val="clear" w:color="auto" w:fill="DAEEF3" w:themeFill="accent5" w:themeFillTint="33"/>
          </w:tcPr>
          <w:p w14:paraId="0770FFB6" w14:textId="77777777" w:rsidR="009F0E5A" w:rsidRPr="006644E7" w:rsidRDefault="009F0E5A" w:rsidP="00A237E2">
            <w:pPr>
              <w:rPr>
                <w:rFonts w:cs="Arial"/>
                <w:b/>
              </w:rPr>
            </w:pPr>
            <w:r w:rsidRPr="006644E7">
              <w:rPr>
                <w:rFonts w:cs="Arial"/>
                <w:b/>
              </w:rPr>
              <w:t>Writing</w:t>
            </w:r>
          </w:p>
        </w:tc>
        <w:tc>
          <w:tcPr>
            <w:tcW w:w="2254" w:type="dxa"/>
            <w:shd w:val="clear" w:color="auto" w:fill="DAEEF3" w:themeFill="accent5" w:themeFillTint="33"/>
          </w:tcPr>
          <w:p w14:paraId="150EA98F" w14:textId="77777777" w:rsidR="009F0E5A" w:rsidRPr="006644E7" w:rsidRDefault="009F0E5A" w:rsidP="00A237E2">
            <w:pPr>
              <w:rPr>
                <w:rFonts w:cs="Arial"/>
                <w:b/>
              </w:rPr>
            </w:pPr>
            <w:r w:rsidRPr="006644E7">
              <w:rPr>
                <w:rFonts w:cs="Arial"/>
                <w:b/>
              </w:rPr>
              <w:t>Maths</w:t>
            </w:r>
          </w:p>
        </w:tc>
      </w:tr>
      <w:tr w:rsidR="009F0E5A" w14:paraId="3658B81C" w14:textId="77777777" w:rsidTr="00A237E2">
        <w:tc>
          <w:tcPr>
            <w:tcW w:w="2405" w:type="dxa"/>
          </w:tcPr>
          <w:p w14:paraId="7AE7474D" w14:textId="77777777" w:rsidR="009F0E5A" w:rsidRPr="006644E7" w:rsidRDefault="009F0E5A" w:rsidP="00A237E2">
            <w:pPr>
              <w:rPr>
                <w:rFonts w:cs="Arial"/>
              </w:rPr>
            </w:pPr>
            <w:r w:rsidRPr="006644E7">
              <w:rPr>
                <w:rFonts w:cs="Arial"/>
              </w:rPr>
              <w:t xml:space="preserve">All pupils </w:t>
            </w:r>
            <w:r>
              <w:rPr>
                <w:rFonts w:cs="Arial"/>
              </w:rPr>
              <w:t>(48)</w:t>
            </w:r>
          </w:p>
        </w:tc>
        <w:tc>
          <w:tcPr>
            <w:tcW w:w="2103" w:type="dxa"/>
          </w:tcPr>
          <w:p w14:paraId="15A73DCD" w14:textId="77777777" w:rsidR="009F0E5A" w:rsidRPr="00186179" w:rsidRDefault="009F0E5A" w:rsidP="00A237E2">
            <w:pPr>
              <w:rPr>
                <w:rFonts w:cs="Arial"/>
              </w:rPr>
            </w:pPr>
            <w:r w:rsidRPr="00186179">
              <w:rPr>
                <w:rFonts w:cs="Arial"/>
              </w:rPr>
              <w:t>65%</w:t>
            </w:r>
          </w:p>
        </w:tc>
        <w:tc>
          <w:tcPr>
            <w:tcW w:w="2254" w:type="dxa"/>
          </w:tcPr>
          <w:p w14:paraId="4BFA9972" w14:textId="77777777" w:rsidR="009F0E5A" w:rsidRPr="00186179" w:rsidRDefault="009F0E5A" w:rsidP="00A237E2">
            <w:pPr>
              <w:rPr>
                <w:rFonts w:cs="Arial"/>
              </w:rPr>
            </w:pPr>
            <w:r w:rsidRPr="00186179">
              <w:rPr>
                <w:rFonts w:cs="Arial"/>
              </w:rPr>
              <w:t>54%</w:t>
            </w:r>
          </w:p>
        </w:tc>
        <w:tc>
          <w:tcPr>
            <w:tcW w:w="2254" w:type="dxa"/>
          </w:tcPr>
          <w:p w14:paraId="67DD7830" w14:textId="77777777" w:rsidR="009F0E5A" w:rsidRPr="00186179" w:rsidRDefault="009F0E5A" w:rsidP="00A237E2">
            <w:pPr>
              <w:rPr>
                <w:rFonts w:cs="Arial"/>
              </w:rPr>
            </w:pPr>
            <w:r w:rsidRPr="00186179">
              <w:rPr>
                <w:rFonts w:cs="Arial"/>
              </w:rPr>
              <w:t>6</w:t>
            </w:r>
            <w:r>
              <w:rPr>
                <w:rFonts w:cs="Arial"/>
              </w:rPr>
              <w:t>9</w:t>
            </w:r>
            <w:r w:rsidRPr="00186179">
              <w:rPr>
                <w:rFonts w:cs="Arial"/>
              </w:rPr>
              <w:t>%</w:t>
            </w:r>
          </w:p>
        </w:tc>
      </w:tr>
      <w:tr w:rsidR="009F0E5A" w14:paraId="0F90551F" w14:textId="77777777" w:rsidTr="00A237E2">
        <w:tc>
          <w:tcPr>
            <w:tcW w:w="2405" w:type="dxa"/>
          </w:tcPr>
          <w:p w14:paraId="67682839" w14:textId="5B0F4F48" w:rsidR="009F0E5A" w:rsidRPr="009F0E5A" w:rsidRDefault="009F0E5A" w:rsidP="00A237E2">
            <w:pPr>
              <w:rPr>
                <w:rFonts w:cs="Arial"/>
              </w:rPr>
            </w:pPr>
            <w:r w:rsidRPr="006644E7">
              <w:rPr>
                <w:rFonts w:cs="Arial"/>
              </w:rPr>
              <w:t xml:space="preserve">Pupil Premium </w:t>
            </w:r>
            <w:r>
              <w:rPr>
                <w:rFonts w:cs="Arial"/>
              </w:rPr>
              <w:t>(13)</w:t>
            </w:r>
          </w:p>
        </w:tc>
        <w:tc>
          <w:tcPr>
            <w:tcW w:w="2103" w:type="dxa"/>
          </w:tcPr>
          <w:p w14:paraId="21DBFC5C" w14:textId="77777777" w:rsidR="009F0E5A" w:rsidRPr="00186179" w:rsidRDefault="009F0E5A" w:rsidP="00A237E2">
            <w:pPr>
              <w:rPr>
                <w:rFonts w:cs="Arial"/>
              </w:rPr>
            </w:pPr>
            <w:r>
              <w:rPr>
                <w:rFonts w:cs="Arial"/>
              </w:rPr>
              <w:t>54</w:t>
            </w:r>
            <w:r w:rsidRPr="00186179">
              <w:rPr>
                <w:rFonts w:cs="Arial"/>
              </w:rPr>
              <w:t>%</w:t>
            </w:r>
          </w:p>
        </w:tc>
        <w:tc>
          <w:tcPr>
            <w:tcW w:w="2254" w:type="dxa"/>
          </w:tcPr>
          <w:p w14:paraId="0F6D0D3F" w14:textId="77777777" w:rsidR="009F0E5A" w:rsidRPr="00186179" w:rsidRDefault="009F0E5A" w:rsidP="00A237E2">
            <w:pPr>
              <w:rPr>
                <w:rFonts w:cs="Arial"/>
              </w:rPr>
            </w:pPr>
            <w:r>
              <w:rPr>
                <w:rFonts w:cs="Arial"/>
              </w:rPr>
              <w:t>46</w:t>
            </w:r>
            <w:r w:rsidRPr="00186179">
              <w:rPr>
                <w:rFonts w:cs="Arial"/>
              </w:rPr>
              <w:t>%</w:t>
            </w:r>
          </w:p>
        </w:tc>
        <w:tc>
          <w:tcPr>
            <w:tcW w:w="2254" w:type="dxa"/>
          </w:tcPr>
          <w:p w14:paraId="65A1E9B9" w14:textId="77777777" w:rsidR="009F0E5A" w:rsidRPr="00186179" w:rsidRDefault="009F0E5A" w:rsidP="00A237E2">
            <w:pPr>
              <w:rPr>
                <w:rFonts w:cs="Arial"/>
              </w:rPr>
            </w:pPr>
            <w:r>
              <w:rPr>
                <w:rFonts w:cs="Arial"/>
              </w:rPr>
              <w:t>62</w:t>
            </w:r>
            <w:r w:rsidRPr="00186179">
              <w:rPr>
                <w:rFonts w:cs="Arial"/>
              </w:rPr>
              <w:t>%</w:t>
            </w:r>
          </w:p>
        </w:tc>
      </w:tr>
      <w:tr w:rsidR="009F0E5A" w14:paraId="0E2E0FD1" w14:textId="77777777" w:rsidTr="00A237E2">
        <w:tc>
          <w:tcPr>
            <w:tcW w:w="2405" w:type="dxa"/>
            <w:shd w:val="clear" w:color="auto" w:fill="DAEEF3" w:themeFill="accent5" w:themeFillTint="33"/>
          </w:tcPr>
          <w:p w14:paraId="2F1E43DB" w14:textId="77777777" w:rsidR="009F0E5A" w:rsidRPr="006644E7" w:rsidRDefault="009F0E5A" w:rsidP="00A237E2">
            <w:pPr>
              <w:rPr>
                <w:rFonts w:cs="Arial"/>
                <w:b/>
              </w:rPr>
            </w:pPr>
            <w:r w:rsidRPr="006644E7">
              <w:rPr>
                <w:rFonts w:cs="Arial"/>
                <w:b/>
              </w:rPr>
              <w:t>Year 5</w:t>
            </w:r>
          </w:p>
        </w:tc>
        <w:tc>
          <w:tcPr>
            <w:tcW w:w="2103" w:type="dxa"/>
            <w:shd w:val="clear" w:color="auto" w:fill="DAEEF3" w:themeFill="accent5" w:themeFillTint="33"/>
          </w:tcPr>
          <w:p w14:paraId="371DE7E0" w14:textId="77777777" w:rsidR="009F0E5A" w:rsidRPr="006644E7" w:rsidRDefault="009F0E5A" w:rsidP="00A237E2">
            <w:pPr>
              <w:rPr>
                <w:rFonts w:cs="Arial"/>
                <w:b/>
              </w:rPr>
            </w:pPr>
            <w:r w:rsidRPr="006644E7">
              <w:rPr>
                <w:rFonts w:cs="Arial"/>
                <w:b/>
              </w:rPr>
              <w:t>Reading</w:t>
            </w:r>
          </w:p>
        </w:tc>
        <w:tc>
          <w:tcPr>
            <w:tcW w:w="2254" w:type="dxa"/>
            <w:shd w:val="clear" w:color="auto" w:fill="DAEEF3" w:themeFill="accent5" w:themeFillTint="33"/>
          </w:tcPr>
          <w:p w14:paraId="11554283" w14:textId="77777777" w:rsidR="009F0E5A" w:rsidRPr="006644E7" w:rsidRDefault="009F0E5A" w:rsidP="00A237E2">
            <w:pPr>
              <w:rPr>
                <w:rFonts w:cs="Arial"/>
                <w:b/>
              </w:rPr>
            </w:pPr>
            <w:r w:rsidRPr="006644E7">
              <w:rPr>
                <w:rFonts w:cs="Arial"/>
                <w:b/>
              </w:rPr>
              <w:t>Writing</w:t>
            </w:r>
          </w:p>
        </w:tc>
        <w:tc>
          <w:tcPr>
            <w:tcW w:w="2254" w:type="dxa"/>
            <w:shd w:val="clear" w:color="auto" w:fill="DAEEF3" w:themeFill="accent5" w:themeFillTint="33"/>
          </w:tcPr>
          <w:p w14:paraId="0EE54FAB" w14:textId="77777777" w:rsidR="009F0E5A" w:rsidRPr="006644E7" w:rsidRDefault="009F0E5A" w:rsidP="00A237E2">
            <w:pPr>
              <w:rPr>
                <w:rFonts w:cs="Arial"/>
                <w:b/>
              </w:rPr>
            </w:pPr>
            <w:r w:rsidRPr="006644E7">
              <w:rPr>
                <w:rFonts w:cs="Arial"/>
                <w:b/>
              </w:rPr>
              <w:t>Maths</w:t>
            </w:r>
          </w:p>
        </w:tc>
      </w:tr>
      <w:tr w:rsidR="009F0E5A" w14:paraId="68F09224" w14:textId="77777777" w:rsidTr="00A237E2">
        <w:tc>
          <w:tcPr>
            <w:tcW w:w="2405" w:type="dxa"/>
          </w:tcPr>
          <w:p w14:paraId="18217D59" w14:textId="77777777" w:rsidR="009F0E5A" w:rsidRPr="006644E7" w:rsidRDefault="009F0E5A" w:rsidP="00A237E2">
            <w:pPr>
              <w:rPr>
                <w:rFonts w:cs="Arial"/>
              </w:rPr>
            </w:pPr>
            <w:r w:rsidRPr="006644E7">
              <w:rPr>
                <w:rFonts w:cs="Arial"/>
              </w:rPr>
              <w:t xml:space="preserve">All pupils </w:t>
            </w:r>
            <w:r>
              <w:rPr>
                <w:rFonts w:cs="Arial"/>
              </w:rPr>
              <w:t>(45)</w:t>
            </w:r>
          </w:p>
        </w:tc>
        <w:tc>
          <w:tcPr>
            <w:tcW w:w="2103" w:type="dxa"/>
          </w:tcPr>
          <w:p w14:paraId="57D2908E" w14:textId="77777777" w:rsidR="009F0E5A" w:rsidRPr="001D2F70" w:rsidRDefault="009F0E5A" w:rsidP="00A237E2">
            <w:pPr>
              <w:rPr>
                <w:rFonts w:cs="Arial"/>
              </w:rPr>
            </w:pPr>
            <w:r w:rsidRPr="001D2F70">
              <w:rPr>
                <w:rFonts w:cs="Arial"/>
              </w:rPr>
              <w:t>6</w:t>
            </w:r>
            <w:r>
              <w:rPr>
                <w:rFonts w:cs="Arial"/>
              </w:rPr>
              <w:t>7</w:t>
            </w:r>
            <w:r w:rsidRPr="001D2F70">
              <w:rPr>
                <w:rFonts w:cs="Arial"/>
              </w:rPr>
              <w:t>%</w:t>
            </w:r>
          </w:p>
        </w:tc>
        <w:tc>
          <w:tcPr>
            <w:tcW w:w="2254" w:type="dxa"/>
          </w:tcPr>
          <w:p w14:paraId="44006D87" w14:textId="77777777" w:rsidR="009F0E5A" w:rsidRPr="001D2F70" w:rsidRDefault="009F0E5A" w:rsidP="00A237E2">
            <w:pPr>
              <w:rPr>
                <w:rFonts w:cs="Arial"/>
              </w:rPr>
            </w:pPr>
            <w:r>
              <w:rPr>
                <w:rFonts w:cs="Arial"/>
              </w:rPr>
              <w:t>60</w:t>
            </w:r>
            <w:r w:rsidRPr="001D2F70">
              <w:rPr>
                <w:rFonts w:cs="Arial"/>
              </w:rPr>
              <w:t>%</w:t>
            </w:r>
          </w:p>
        </w:tc>
        <w:tc>
          <w:tcPr>
            <w:tcW w:w="2254" w:type="dxa"/>
          </w:tcPr>
          <w:p w14:paraId="5F76BAFE" w14:textId="77777777" w:rsidR="009F0E5A" w:rsidRPr="001D2F70" w:rsidRDefault="009F0E5A" w:rsidP="00A237E2">
            <w:pPr>
              <w:rPr>
                <w:rFonts w:cs="Arial"/>
              </w:rPr>
            </w:pPr>
            <w:r>
              <w:rPr>
                <w:rFonts w:cs="Arial"/>
              </w:rPr>
              <w:t>58</w:t>
            </w:r>
            <w:r w:rsidRPr="001D2F70">
              <w:rPr>
                <w:rFonts w:cs="Arial"/>
              </w:rPr>
              <w:t>%</w:t>
            </w:r>
          </w:p>
        </w:tc>
      </w:tr>
      <w:tr w:rsidR="009F0E5A" w14:paraId="4458B4C4" w14:textId="77777777" w:rsidTr="00A237E2">
        <w:tc>
          <w:tcPr>
            <w:tcW w:w="2405" w:type="dxa"/>
          </w:tcPr>
          <w:p w14:paraId="7023502F" w14:textId="77777777" w:rsidR="009F0E5A" w:rsidRPr="00710A08" w:rsidRDefault="009F0E5A" w:rsidP="00A237E2">
            <w:pPr>
              <w:rPr>
                <w:rFonts w:cs="Arial"/>
              </w:rPr>
            </w:pPr>
            <w:r w:rsidRPr="006644E7">
              <w:rPr>
                <w:rFonts w:cs="Arial"/>
              </w:rPr>
              <w:t xml:space="preserve">Pupil Premium </w:t>
            </w:r>
            <w:r>
              <w:rPr>
                <w:rFonts w:cs="Arial"/>
              </w:rPr>
              <w:t xml:space="preserve">(7) </w:t>
            </w:r>
          </w:p>
        </w:tc>
        <w:tc>
          <w:tcPr>
            <w:tcW w:w="2103" w:type="dxa"/>
          </w:tcPr>
          <w:p w14:paraId="15C80480" w14:textId="77777777" w:rsidR="009F0E5A" w:rsidRPr="006644E7" w:rsidRDefault="009F0E5A" w:rsidP="00A237E2">
            <w:pPr>
              <w:rPr>
                <w:rFonts w:cs="Arial"/>
              </w:rPr>
            </w:pPr>
            <w:r>
              <w:rPr>
                <w:rFonts w:cs="Arial"/>
              </w:rPr>
              <w:t>57%</w:t>
            </w:r>
          </w:p>
        </w:tc>
        <w:tc>
          <w:tcPr>
            <w:tcW w:w="2254" w:type="dxa"/>
          </w:tcPr>
          <w:p w14:paraId="35616BDB" w14:textId="77777777" w:rsidR="009F0E5A" w:rsidRPr="006644E7" w:rsidRDefault="009F0E5A" w:rsidP="00A237E2">
            <w:pPr>
              <w:rPr>
                <w:rFonts w:cs="Arial"/>
              </w:rPr>
            </w:pPr>
            <w:r>
              <w:rPr>
                <w:rFonts w:cs="Arial"/>
              </w:rPr>
              <w:t>43%</w:t>
            </w:r>
          </w:p>
        </w:tc>
        <w:tc>
          <w:tcPr>
            <w:tcW w:w="2254" w:type="dxa"/>
          </w:tcPr>
          <w:p w14:paraId="757383BA" w14:textId="77777777" w:rsidR="009F0E5A" w:rsidRDefault="009F0E5A" w:rsidP="00A237E2">
            <w:pPr>
              <w:rPr>
                <w:rFonts w:cs="Arial"/>
              </w:rPr>
            </w:pPr>
            <w:r>
              <w:rPr>
                <w:rFonts w:cs="Arial"/>
              </w:rPr>
              <w:t>71%</w:t>
            </w:r>
          </w:p>
          <w:p w14:paraId="6B91683C" w14:textId="77777777" w:rsidR="009F0E5A" w:rsidRPr="006644E7" w:rsidRDefault="009F0E5A" w:rsidP="00A237E2">
            <w:pPr>
              <w:rPr>
                <w:rFonts w:cs="Arial"/>
              </w:rPr>
            </w:pPr>
          </w:p>
        </w:tc>
      </w:tr>
      <w:tr w:rsidR="009F0E5A" w14:paraId="63B3FDE4" w14:textId="77777777" w:rsidTr="00A237E2">
        <w:tc>
          <w:tcPr>
            <w:tcW w:w="2405" w:type="dxa"/>
            <w:shd w:val="clear" w:color="auto" w:fill="DAEEF3" w:themeFill="accent5" w:themeFillTint="33"/>
          </w:tcPr>
          <w:p w14:paraId="1A1B9D7F" w14:textId="77777777" w:rsidR="009F0E5A" w:rsidRPr="006644E7" w:rsidRDefault="009F0E5A" w:rsidP="00A237E2">
            <w:pPr>
              <w:rPr>
                <w:rFonts w:cs="Arial"/>
                <w:b/>
              </w:rPr>
            </w:pPr>
            <w:r w:rsidRPr="006644E7">
              <w:rPr>
                <w:rFonts w:cs="Arial"/>
                <w:b/>
              </w:rPr>
              <w:lastRenderedPageBreak/>
              <w:t>Year 6</w:t>
            </w:r>
          </w:p>
        </w:tc>
        <w:tc>
          <w:tcPr>
            <w:tcW w:w="2103" w:type="dxa"/>
            <w:shd w:val="clear" w:color="auto" w:fill="DAEEF3" w:themeFill="accent5" w:themeFillTint="33"/>
          </w:tcPr>
          <w:p w14:paraId="3075BFE5" w14:textId="77777777" w:rsidR="009F0E5A" w:rsidRPr="006644E7" w:rsidRDefault="009F0E5A" w:rsidP="00A237E2">
            <w:pPr>
              <w:rPr>
                <w:rFonts w:cs="Arial"/>
                <w:b/>
              </w:rPr>
            </w:pPr>
            <w:r w:rsidRPr="006644E7">
              <w:rPr>
                <w:rFonts w:cs="Arial"/>
                <w:b/>
              </w:rPr>
              <w:t>Reading</w:t>
            </w:r>
          </w:p>
        </w:tc>
        <w:tc>
          <w:tcPr>
            <w:tcW w:w="2254" w:type="dxa"/>
            <w:shd w:val="clear" w:color="auto" w:fill="DAEEF3" w:themeFill="accent5" w:themeFillTint="33"/>
          </w:tcPr>
          <w:p w14:paraId="304F74DB" w14:textId="77777777" w:rsidR="009F0E5A" w:rsidRPr="006644E7" w:rsidRDefault="009F0E5A" w:rsidP="00A237E2">
            <w:pPr>
              <w:rPr>
                <w:rFonts w:cs="Arial"/>
                <w:b/>
              </w:rPr>
            </w:pPr>
            <w:r w:rsidRPr="006644E7">
              <w:rPr>
                <w:rFonts w:cs="Arial"/>
                <w:b/>
              </w:rPr>
              <w:t>Writing</w:t>
            </w:r>
          </w:p>
        </w:tc>
        <w:tc>
          <w:tcPr>
            <w:tcW w:w="2254" w:type="dxa"/>
            <w:shd w:val="clear" w:color="auto" w:fill="DAEEF3" w:themeFill="accent5" w:themeFillTint="33"/>
          </w:tcPr>
          <w:p w14:paraId="7342C607" w14:textId="77777777" w:rsidR="009F0E5A" w:rsidRPr="006644E7" w:rsidRDefault="009F0E5A" w:rsidP="00A237E2">
            <w:pPr>
              <w:rPr>
                <w:rFonts w:cs="Arial"/>
                <w:b/>
              </w:rPr>
            </w:pPr>
            <w:r w:rsidRPr="006644E7">
              <w:rPr>
                <w:rFonts w:cs="Arial"/>
                <w:b/>
              </w:rPr>
              <w:t>Maths</w:t>
            </w:r>
          </w:p>
        </w:tc>
      </w:tr>
      <w:tr w:rsidR="009F0E5A" w14:paraId="2B592D6B" w14:textId="77777777" w:rsidTr="00A237E2">
        <w:tc>
          <w:tcPr>
            <w:tcW w:w="2405" w:type="dxa"/>
          </w:tcPr>
          <w:p w14:paraId="0B1FFDB5" w14:textId="77777777" w:rsidR="009F0E5A" w:rsidRPr="006644E7" w:rsidRDefault="009F0E5A" w:rsidP="00A237E2">
            <w:pPr>
              <w:rPr>
                <w:rFonts w:cs="Arial"/>
              </w:rPr>
            </w:pPr>
            <w:r w:rsidRPr="006644E7">
              <w:rPr>
                <w:rFonts w:cs="Arial"/>
              </w:rPr>
              <w:t xml:space="preserve">All pupils </w:t>
            </w:r>
            <w:r>
              <w:rPr>
                <w:rFonts w:cs="Arial"/>
              </w:rPr>
              <w:t>(39)</w:t>
            </w:r>
          </w:p>
        </w:tc>
        <w:tc>
          <w:tcPr>
            <w:tcW w:w="2103" w:type="dxa"/>
          </w:tcPr>
          <w:p w14:paraId="6554AF1E" w14:textId="77777777" w:rsidR="009F0E5A" w:rsidRPr="006644E7" w:rsidRDefault="009F0E5A" w:rsidP="00A237E2">
            <w:pPr>
              <w:rPr>
                <w:rFonts w:cs="Arial"/>
              </w:rPr>
            </w:pPr>
            <w:r>
              <w:rPr>
                <w:rFonts w:cs="Arial"/>
              </w:rPr>
              <w:t>87%</w:t>
            </w:r>
          </w:p>
        </w:tc>
        <w:tc>
          <w:tcPr>
            <w:tcW w:w="2254" w:type="dxa"/>
          </w:tcPr>
          <w:p w14:paraId="7CCEEBBC" w14:textId="77777777" w:rsidR="009F0E5A" w:rsidRPr="006644E7" w:rsidRDefault="009F0E5A" w:rsidP="00A237E2">
            <w:pPr>
              <w:rPr>
                <w:rFonts w:cs="Arial"/>
              </w:rPr>
            </w:pPr>
            <w:r>
              <w:rPr>
                <w:rFonts w:cs="Arial"/>
              </w:rPr>
              <w:t>72%</w:t>
            </w:r>
          </w:p>
        </w:tc>
        <w:tc>
          <w:tcPr>
            <w:tcW w:w="2254" w:type="dxa"/>
          </w:tcPr>
          <w:p w14:paraId="29368355" w14:textId="77777777" w:rsidR="009F0E5A" w:rsidRPr="006644E7" w:rsidRDefault="009F0E5A" w:rsidP="00A237E2">
            <w:pPr>
              <w:rPr>
                <w:rFonts w:cs="Arial"/>
              </w:rPr>
            </w:pPr>
            <w:r>
              <w:rPr>
                <w:rFonts w:cs="Arial"/>
              </w:rPr>
              <w:t>87%</w:t>
            </w:r>
          </w:p>
        </w:tc>
      </w:tr>
      <w:tr w:rsidR="009F0E5A" w14:paraId="151E01CF" w14:textId="77777777" w:rsidTr="00A237E2">
        <w:tc>
          <w:tcPr>
            <w:tcW w:w="2405" w:type="dxa"/>
          </w:tcPr>
          <w:p w14:paraId="30C8A2C8" w14:textId="756151BF" w:rsidR="009F0E5A" w:rsidRPr="006644E7" w:rsidRDefault="009F0E5A" w:rsidP="00A237E2">
            <w:pPr>
              <w:rPr>
                <w:rFonts w:cs="Arial"/>
              </w:rPr>
            </w:pPr>
            <w:r w:rsidRPr="006644E7">
              <w:rPr>
                <w:rFonts w:cs="Arial"/>
              </w:rPr>
              <w:t xml:space="preserve">Pupil Premium </w:t>
            </w:r>
            <w:r>
              <w:rPr>
                <w:rFonts w:cs="Arial"/>
              </w:rPr>
              <w:t>(9)</w:t>
            </w:r>
          </w:p>
        </w:tc>
        <w:tc>
          <w:tcPr>
            <w:tcW w:w="2103" w:type="dxa"/>
          </w:tcPr>
          <w:p w14:paraId="1C199F63" w14:textId="77777777" w:rsidR="009F0E5A" w:rsidRPr="006644E7" w:rsidRDefault="009F0E5A" w:rsidP="00A237E2">
            <w:pPr>
              <w:rPr>
                <w:rFonts w:cs="Arial"/>
              </w:rPr>
            </w:pPr>
            <w:r>
              <w:rPr>
                <w:rFonts w:cs="Arial"/>
              </w:rPr>
              <w:t>78%</w:t>
            </w:r>
          </w:p>
        </w:tc>
        <w:tc>
          <w:tcPr>
            <w:tcW w:w="2254" w:type="dxa"/>
          </w:tcPr>
          <w:p w14:paraId="25F55CB9" w14:textId="318A0F5D" w:rsidR="009F0E5A" w:rsidRPr="006644E7" w:rsidRDefault="009F0E5A" w:rsidP="00A237E2">
            <w:pPr>
              <w:rPr>
                <w:rFonts w:cs="Arial"/>
              </w:rPr>
            </w:pPr>
            <w:r>
              <w:rPr>
                <w:rFonts w:cs="Arial"/>
              </w:rPr>
              <w:t>44%</w:t>
            </w:r>
          </w:p>
        </w:tc>
        <w:tc>
          <w:tcPr>
            <w:tcW w:w="2254" w:type="dxa"/>
          </w:tcPr>
          <w:p w14:paraId="50F2FE99" w14:textId="77777777" w:rsidR="009F0E5A" w:rsidRPr="006644E7" w:rsidRDefault="009F0E5A" w:rsidP="00A237E2">
            <w:pPr>
              <w:rPr>
                <w:rFonts w:cs="Arial"/>
              </w:rPr>
            </w:pPr>
            <w:r>
              <w:rPr>
                <w:rFonts w:cs="Arial"/>
              </w:rPr>
              <w:t>78%</w:t>
            </w:r>
          </w:p>
        </w:tc>
      </w:tr>
    </w:tbl>
    <w:p w14:paraId="3B382DF4" w14:textId="77777777" w:rsidR="009F0E5A" w:rsidRDefault="009F0E5A" w:rsidP="009F0E5A"/>
    <w:p w14:paraId="700D0B94" w14:textId="70E3B4A5" w:rsidR="00C75409" w:rsidRDefault="00170142">
      <w:r>
        <w:rPr>
          <w:noProof/>
        </w:rPr>
        <mc:AlternateContent>
          <mc:Choice Requires="wps">
            <w:drawing>
              <wp:anchor distT="45720" distB="45720" distL="114300" distR="114300" simplePos="0" relativeHeight="251661312" behindDoc="0" locked="0" layoutInCell="1" allowOverlap="1" wp14:anchorId="6A960125" wp14:editId="17B6D52A">
                <wp:simplePos x="0" y="0"/>
                <wp:positionH relativeFrom="column">
                  <wp:posOffset>0</wp:posOffset>
                </wp:positionH>
                <wp:positionV relativeFrom="paragraph">
                  <wp:posOffset>403860</wp:posOffset>
                </wp:positionV>
                <wp:extent cx="5768340" cy="28651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865120"/>
                        </a:xfrm>
                        <a:prstGeom prst="rect">
                          <a:avLst/>
                        </a:prstGeom>
                        <a:solidFill>
                          <a:srgbClr val="FFFFFF"/>
                        </a:solidFill>
                        <a:ln w="9525">
                          <a:solidFill>
                            <a:srgbClr val="000000"/>
                          </a:solidFill>
                          <a:miter lim="800000"/>
                          <a:headEnd/>
                          <a:tailEnd/>
                        </a:ln>
                      </wps:spPr>
                      <wps:txbx>
                        <w:txbxContent>
                          <w:p w14:paraId="1CB82170" w14:textId="271DF31D" w:rsidR="00170142" w:rsidRPr="001C0C77" w:rsidRDefault="00170142" w:rsidP="00170142">
                            <w:pPr>
                              <w:rPr>
                                <w:color w:val="auto"/>
                                <w:highlight w:val="red"/>
                              </w:rPr>
                            </w:pPr>
                            <w:r w:rsidRPr="006644E7">
                              <w:rPr>
                                <w:color w:val="auto"/>
                              </w:rPr>
                              <w:t xml:space="preserve">Analysing the end of last academic year’s data, it is evident that the </w:t>
                            </w:r>
                            <w:r w:rsidR="008F7B73">
                              <w:rPr>
                                <w:color w:val="auto"/>
                              </w:rPr>
                              <w:t xml:space="preserve">collective </w:t>
                            </w:r>
                            <w:r w:rsidRPr="006644E7">
                              <w:rPr>
                                <w:color w:val="auto"/>
                              </w:rPr>
                              <w:t xml:space="preserve">performance of pupil premium children </w:t>
                            </w:r>
                            <w:r w:rsidR="008F7B73">
                              <w:rPr>
                                <w:color w:val="auto"/>
                              </w:rPr>
                              <w:t xml:space="preserve">has risen in most year groups and core subjects. It has been noted that the reading performance of </w:t>
                            </w:r>
                            <w:r w:rsidR="001C0C77">
                              <w:rPr>
                                <w:color w:val="auto"/>
                              </w:rPr>
                              <w:t xml:space="preserve">the </w:t>
                            </w:r>
                            <w:r w:rsidR="008F7B73">
                              <w:rPr>
                                <w:color w:val="auto"/>
                              </w:rPr>
                              <w:t>Year 3 and Year 4 cohort has fallen by a small percentage.</w:t>
                            </w:r>
                            <w:r w:rsidRPr="006644E7">
                              <w:rPr>
                                <w:color w:val="auto"/>
                              </w:rPr>
                              <w:t xml:space="preserve"> Our assessment of the reason for these outcomes primarily point to </w:t>
                            </w:r>
                            <w:r w:rsidR="001C0C77">
                              <w:rPr>
                                <w:color w:val="auto"/>
                              </w:rPr>
                              <w:t>an increase in disadvantaged pupils in Year 3 which impact</w:t>
                            </w:r>
                            <w:r w:rsidR="005112A4">
                              <w:rPr>
                                <w:color w:val="auto"/>
                              </w:rPr>
                              <w:t>ed</w:t>
                            </w:r>
                            <w:r w:rsidR="001C0C77">
                              <w:rPr>
                                <w:color w:val="auto"/>
                              </w:rPr>
                              <w:t xml:space="preserve"> results and </w:t>
                            </w:r>
                            <w:r w:rsidRPr="006644E7">
                              <w:rPr>
                                <w:color w:val="auto"/>
                              </w:rPr>
                              <w:t>the</w:t>
                            </w:r>
                            <w:r w:rsidR="001C0C77">
                              <w:rPr>
                                <w:color w:val="auto"/>
                              </w:rPr>
                              <w:t xml:space="preserve"> continuing</w:t>
                            </w:r>
                            <w:r w:rsidRPr="006644E7">
                              <w:rPr>
                                <w:color w:val="auto"/>
                              </w:rPr>
                              <w:t xml:space="preserve"> </w:t>
                            </w:r>
                            <w:r w:rsidR="001C0C77">
                              <w:rPr>
                                <w:color w:val="auto"/>
                              </w:rPr>
                              <w:t xml:space="preserve">repercussions </w:t>
                            </w:r>
                            <w:r w:rsidRPr="006644E7">
                              <w:rPr>
                                <w:color w:val="auto"/>
                              </w:rPr>
                              <w:t xml:space="preserve">of </w:t>
                            </w:r>
                            <w:r w:rsidR="001C0C77">
                              <w:rPr>
                                <w:color w:val="auto"/>
                              </w:rPr>
                              <w:t xml:space="preserve">disrupted learning during </w:t>
                            </w:r>
                            <w:r w:rsidR="005112A4">
                              <w:rPr>
                                <w:color w:val="auto"/>
                              </w:rPr>
                              <w:t>the pandemic</w:t>
                            </w:r>
                            <w:r w:rsidR="001C0C77">
                              <w:rPr>
                                <w:color w:val="auto"/>
                              </w:rPr>
                              <w:t xml:space="preserve">. </w:t>
                            </w:r>
                            <w:r w:rsidRPr="006644E7">
                              <w:rPr>
                                <w:color w:val="auto"/>
                              </w:rPr>
                              <w:t xml:space="preserve">The interference to schooling was most acutely felt by our disadvantaged pupils, whose gaps in learning were further increased during this time. </w:t>
                            </w:r>
                            <w:r w:rsidR="001C0C77">
                              <w:rPr>
                                <w:color w:val="auto"/>
                              </w:rPr>
                              <w:t xml:space="preserve">We have employed </w:t>
                            </w:r>
                            <w:r w:rsidRPr="006644E7">
                              <w:rPr>
                                <w:color w:val="auto"/>
                              </w:rPr>
                              <w:t>additional adults with a specific pupil premium</w:t>
                            </w:r>
                            <w:r w:rsidR="001C0C77">
                              <w:rPr>
                                <w:color w:val="auto"/>
                              </w:rPr>
                              <w:t xml:space="preserve"> focus</w:t>
                            </w:r>
                            <w:r w:rsidRPr="006644E7">
                              <w:rPr>
                                <w:color w:val="auto"/>
                              </w:rPr>
                              <w:t xml:space="preserve"> to support those vulnerable, and targeted children. We are building on that approach with the activities detailed in th</w:t>
                            </w:r>
                            <w:r w:rsidR="001C0C77">
                              <w:rPr>
                                <w:color w:val="auto"/>
                              </w:rPr>
                              <w:t>e updated strategy 2023-24</w:t>
                            </w:r>
                            <w:r w:rsidRPr="006644E7">
                              <w:rPr>
                                <w:color w:val="auto"/>
                              </w:rPr>
                              <w:t>, and will continue to monitor the impact these interventions and programmes will have on our disadvantaged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60125" id="_x0000_t202" coordsize="21600,21600" o:spt="202" path="m,l,21600r21600,l21600,xe">
                <v:stroke joinstyle="miter"/>
                <v:path gradientshapeok="t" o:connecttype="rect"/>
              </v:shapetype>
              <v:shape id="Text Box 2" o:spid="_x0000_s1026" type="#_x0000_t202" style="position:absolute;margin-left:0;margin-top:31.8pt;width:454.2pt;height:22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">
                <v:textbox>
                  <w:txbxContent>
                    <w:p w14:paraId="1CB82170" w14:textId="271DF31D" w:rsidR="00170142" w:rsidRPr="001C0C77" w:rsidRDefault="00170142" w:rsidP="00170142">
                      <w:pPr>
                        <w:rPr>
                          <w:color w:val="auto"/>
                          <w:highlight w:val="red"/>
                        </w:rPr>
                      </w:pPr>
                      <w:r w:rsidRPr="006644E7">
                        <w:rPr>
                          <w:color w:val="auto"/>
                        </w:rPr>
                        <w:t xml:space="preserve">Analysing the end of last academic year’s data, it is evident that the </w:t>
                      </w:r>
                      <w:r w:rsidR="008F7B73">
                        <w:rPr>
                          <w:color w:val="auto"/>
                        </w:rPr>
                        <w:t xml:space="preserve">collective </w:t>
                      </w:r>
                      <w:r w:rsidRPr="006644E7">
                        <w:rPr>
                          <w:color w:val="auto"/>
                        </w:rPr>
                        <w:t xml:space="preserve">performance of pupil premium children </w:t>
                      </w:r>
                      <w:r w:rsidR="008F7B73">
                        <w:rPr>
                          <w:color w:val="auto"/>
                        </w:rPr>
                        <w:t xml:space="preserve">has risen in most year groups and core subjects. It has been noted that the reading performance of </w:t>
                      </w:r>
                      <w:r w:rsidR="001C0C77">
                        <w:rPr>
                          <w:color w:val="auto"/>
                        </w:rPr>
                        <w:t xml:space="preserve">the </w:t>
                      </w:r>
                      <w:r w:rsidR="008F7B73">
                        <w:rPr>
                          <w:color w:val="auto"/>
                        </w:rPr>
                        <w:t>Year 3 and Year 4 cohort has fallen by a small percentage.</w:t>
                      </w:r>
                      <w:r w:rsidRPr="006644E7">
                        <w:rPr>
                          <w:color w:val="auto"/>
                        </w:rPr>
                        <w:t xml:space="preserve"> Our assessment of the reason for these outcomes primarily point to </w:t>
                      </w:r>
                      <w:r w:rsidR="001C0C77">
                        <w:rPr>
                          <w:color w:val="auto"/>
                        </w:rPr>
                        <w:t>an increase in disadvantaged pupils in Year 3 which impact</w:t>
                      </w:r>
                      <w:r w:rsidR="005112A4">
                        <w:rPr>
                          <w:color w:val="auto"/>
                        </w:rPr>
                        <w:t>ed</w:t>
                      </w:r>
                      <w:r w:rsidR="001C0C77">
                        <w:rPr>
                          <w:color w:val="auto"/>
                        </w:rPr>
                        <w:t xml:space="preserve"> results and </w:t>
                      </w:r>
                      <w:r w:rsidRPr="006644E7">
                        <w:rPr>
                          <w:color w:val="auto"/>
                        </w:rPr>
                        <w:t>the</w:t>
                      </w:r>
                      <w:r w:rsidR="001C0C77">
                        <w:rPr>
                          <w:color w:val="auto"/>
                        </w:rPr>
                        <w:t xml:space="preserve"> continuing</w:t>
                      </w:r>
                      <w:r w:rsidRPr="006644E7">
                        <w:rPr>
                          <w:color w:val="auto"/>
                        </w:rPr>
                        <w:t xml:space="preserve"> </w:t>
                      </w:r>
                      <w:r w:rsidR="001C0C77">
                        <w:rPr>
                          <w:color w:val="auto"/>
                        </w:rPr>
                        <w:t xml:space="preserve">repercussions </w:t>
                      </w:r>
                      <w:r w:rsidRPr="006644E7">
                        <w:rPr>
                          <w:color w:val="auto"/>
                        </w:rPr>
                        <w:t xml:space="preserve">of </w:t>
                      </w:r>
                      <w:r w:rsidR="001C0C77">
                        <w:rPr>
                          <w:color w:val="auto"/>
                        </w:rPr>
                        <w:t xml:space="preserve">disrupted learning during </w:t>
                      </w:r>
                      <w:r w:rsidR="005112A4">
                        <w:rPr>
                          <w:color w:val="auto"/>
                        </w:rPr>
                        <w:t>the pandemic</w:t>
                      </w:r>
                      <w:r w:rsidR="001C0C77">
                        <w:rPr>
                          <w:color w:val="auto"/>
                        </w:rPr>
                        <w:t xml:space="preserve">. </w:t>
                      </w:r>
                      <w:r w:rsidRPr="006644E7">
                        <w:rPr>
                          <w:color w:val="auto"/>
                        </w:rPr>
                        <w:t xml:space="preserve">The interference to schooling was most acutely felt by our disadvantaged pupils, whose gaps in learning were further increased during this time. </w:t>
                      </w:r>
                      <w:r w:rsidR="001C0C77">
                        <w:rPr>
                          <w:color w:val="auto"/>
                        </w:rPr>
                        <w:t xml:space="preserve">We have employed </w:t>
                      </w:r>
                      <w:r w:rsidRPr="006644E7">
                        <w:rPr>
                          <w:color w:val="auto"/>
                        </w:rPr>
                        <w:t>additional adults with a specific pupil premium</w:t>
                      </w:r>
                      <w:r w:rsidR="001C0C77">
                        <w:rPr>
                          <w:color w:val="auto"/>
                        </w:rPr>
                        <w:t xml:space="preserve"> focus</w:t>
                      </w:r>
                      <w:r w:rsidRPr="006644E7">
                        <w:rPr>
                          <w:color w:val="auto"/>
                        </w:rPr>
                        <w:t xml:space="preserve"> to support those vulnerable, and targeted children. We are building on that approach with the activities detailed in th</w:t>
                      </w:r>
                      <w:r w:rsidR="001C0C77">
                        <w:rPr>
                          <w:color w:val="auto"/>
                        </w:rPr>
                        <w:t>e updated strategy 2023-24</w:t>
                      </w:r>
                      <w:r w:rsidRPr="006644E7">
                        <w:rPr>
                          <w:color w:val="auto"/>
                        </w:rPr>
                        <w:t>, and will continue to monitor the impact these interventions and programmes will have on our disadvantaged children.</w:t>
                      </w:r>
                    </w:p>
                  </w:txbxContent>
                </v:textbox>
                <w10:wrap type="square"/>
              </v:shape>
            </w:pict>
          </mc:Fallback>
        </mc:AlternateContent>
      </w:r>
    </w:p>
    <w:p w14:paraId="2A7D5548" w14:textId="54FE3A1A"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8AB94B3" w:rsidR="00E66558" w:rsidRPr="005F48F6" w:rsidRDefault="00DE6BA7">
            <w:pPr>
              <w:pStyle w:val="TableRow"/>
            </w:pPr>
            <w:r>
              <w:t>TT</w:t>
            </w:r>
            <w:r w:rsidR="00A24EA6" w:rsidRPr="005F48F6">
              <w:t>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4A60A81" w:rsidR="00E66558" w:rsidRPr="005F48F6" w:rsidRDefault="00A24EA6">
            <w:pPr>
              <w:pStyle w:val="TableRowCentered"/>
              <w:jc w:val="left"/>
            </w:pPr>
            <w:r w:rsidRPr="005F48F6">
              <w:t>TT Rockstars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974816C" w:rsidR="00E66558" w:rsidRDefault="007A6979">
            <w:pPr>
              <w:pStyle w:val="TableRow"/>
            </w:pPr>
            <w:r>
              <w:t>Spelling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450667D" w:rsidR="00E66558" w:rsidRDefault="00DE6BA7">
            <w:pPr>
              <w:pStyle w:val="TableRowCentered"/>
              <w:jc w:val="left"/>
            </w:pPr>
            <w:r>
              <w:t>EdShed</w:t>
            </w:r>
          </w:p>
        </w:tc>
      </w:tr>
      <w:tr w:rsidR="005F48F6" w14:paraId="449F5E7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288D" w14:textId="3444308E" w:rsidR="005F48F6" w:rsidRDefault="00DE6BA7">
            <w:pPr>
              <w:pStyle w:val="TableRow"/>
            </w:pPr>
            <w:r>
              <w:t>Spag.com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D6744" w14:textId="2B86E507" w:rsidR="005F48F6" w:rsidRDefault="00DE6BA7">
            <w:pPr>
              <w:pStyle w:val="TableRowCentered"/>
              <w:jc w:val="left"/>
            </w:pPr>
            <w:r>
              <w:t>Orchard Digital Limited</w:t>
            </w:r>
          </w:p>
        </w:tc>
      </w:tr>
      <w:tr w:rsidR="005F48F6" w14:paraId="13BF5B8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FA0DD" w14:textId="2A03C2E1" w:rsidR="005F48F6" w:rsidRDefault="005F48F6">
            <w:pPr>
              <w:pStyle w:val="TableRow"/>
            </w:pPr>
            <w:r>
              <w:t>Twinkl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B1487" w14:textId="06F5FA17" w:rsidR="005F48F6" w:rsidRDefault="005F48F6">
            <w:pPr>
              <w:pStyle w:val="TableRowCentered"/>
              <w:jc w:val="left"/>
            </w:pPr>
            <w:r>
              <w:t>Twinkl</w:t>
            </w:r>
          </w:p>
        </w:tc>
      </w:tr>
      <w:tr w:rsidR="00DE6BA7" w14:paraId="0BA0683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28D73" w14:textId="77B7357A" w:rsidR="00DE6BA7" w:rsidRDefault="00DE6BA7">
            <w:pPr>
              <w:pStyle w:val="TableRow"/>
            </w:pPr>
            <w:r>
              <w:t>Hamilton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94388" w14:textId="2EC5E955" w:rsidR="00DE6BA7" w:rsidRDefault="00DE6BA7">
            <w:pPr>
              <w:pStyle w:val="TableRowCentered"/>
              <w:jc w:val="left"/>
            </w:pPr>
            <w:r>
              <w:t>Hamilton Trust</w:t>
            </w:r>
          </w:p>
        </w:tc>
      </w:tr>
      <w:tr w:rsidR="00DE6BA7" w14:paraId="35ADFED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E6E0" w14:textId="77E185F6" w:rsidR="00DE6BA7" w:rsidRDefault="00DE6BA7">
            <w:pPr>
              <w:pStyle w:val="TableRow"/>
            </w:pPr>
            <w:r>
              <w:t>White Rose Premium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ED77F" w14:textId="6D7C01AE" w:rsidR="00DE6BA7" w:rsidRDefault="00DE6BA7">
            <w:pPr>
              <w:pStyle w:val="TableRowCentered"/>
              <w:jc w:val="left"/>
            </w:pPr>
            <w:r>
              <w:t>White Rose Maths</w:t>
            </w:r>
          </w:p>
        </w:tc>
      </w:tr>
    </w:tbl>
    <w:p w14:paraId="2A7D555F" w14:textId="152712E0" w:rsidR="00E66558" w:rsidRDefault="00E66558">
      <w:pPr>
        <w:spacing w:after="0" w:line="240" w:lineRule="auto"/>
      </w:pPr>
    </w:p>
    <w:p w14:paraId="170BCE41" w14:textId="72F77F75" w:rsidR="00560E53" w:rsidRDefault="00560E53">
      <w:pPr>
        <w:spacing w:after="0" w:line="240" w:lineRule="auto"/>
      </w:pPr>
    </w:p>
    <w:p w14:paraId="1BE1A0FE" w14:textId="5A493123" w:rsidR="00B20121" w:rsidRDefault="00B20121">
      <w:pPr>
        <w:spacing w:after="0" w:line="240" w:lineRule="auto"/>
      </w:pPr>
    </w:p>
    <w:p w14:paraId="44EF02B3" w14:textId="204777F4" w:rsidR="00B20121" w:rsidRDefault="00B20121">
      <w:pPr>
        <w:spacing w:after="0" w:line="240" w:lineRule="auto"/>
      </w:pPr>
    </w:p>
    <w:p w14:paraId="70D186D5" w14:textId="312E8640" w:rsidR="00B20121" w:rsidRDefault="00B20121">
      <w:pPr>
        <w:spacing w:after="0" w:line="240" w:lineRule="auto"/>
      </w:pPr>
    </w:p>
    <w:p w14:paraId="60E11C3D" w14:textId="37054BF1" w:rsidR="00B20121" w:rsidRDefault="00B20121">
      <w:pPr>
        <w:spacing w:after="0" w:line="240" w:lineRule="auto"/>
      </w:pPr>
    </w:p>
    <w:p w14:paraId="613F3916" w14:textId="517DE758" w:rsidR="00B20121" w:rsidRDefault="00B20121">
      <w:pPr>
        <w:spacing w:after="0" w:line="240" w:lineRule="auto"/>
      </w:pPr>
    </w:p>
    <w:p w14:paraId="6620F974" w14:textId="1A0EB2DB" w:rsidR="00B20121" w:rsidRDefault="00B20121">
      <w:pPr>
        <w:spacing w:after="0" w:line="240" w:lineRule="auto"/>
      </w:pPr>
    </w:p>
    <w:p w14:paraId="40F03B9F" w14:textId="5B2C2837" w:rsidR="00B20121" w:rsidRDefault="00B20121">
      <w:pPr>
        <w:spacing w:after="0" w:line="240" w:lineRule="auto"/>
      </w:pPr>
    </w:p>
    <w:p w14:paraId="480F9D92" w14:textId="1A1CD0D8" w:rsidR="00B20121" w:rsidRDefault="00B20121">
      <w:pPr>
        <w:spacing w:after="0" w:line="240" w:lineRule="auto"/>
      </w:pPr>
    </w:p>
    <w:p w14:paraId="5E84AA09" w14:textId="227C049F" w:rsidR="00B20121" w:rsidRDefault="00B20121">
      <w:pPr>
        <w:spacing w:after="0" w:line="240" w:lineRule="auto"/>
      </w:pPr>
    </w:p>
    <w:p w14:paraId="0ACA0A14" w14:textId="03F14B3B" w:rsidR="00B20121" w:rsidRDefault="00B20121">
      <w:pPr>
        <w:spacing w:after="0" w:line="240" w:lineRule="auto"/>
      </w:pPr>
    </w:p>
    <w:p w14:paraId="5ADFBF1E" w14:textId="54B3D3F0" w:rsidR="00B20121" w:rsidRDefault="00B20121">
      <w:pPr>
        <w:spacing w:after="0" w:line="240" w:lineRule="auto"/>
      </w:pPr>
    </w:p>
    <w:p w14:paraId="11D68990" w14:textId="6E6817F3" w:rsidR="00B20121" w:rsidRDefault="00B20121">
      <w:pPr>
        <w:spacing w:after="0" w:line="240" w:lineRule="auto"/>
      </w:pPr>
    </w:p>
    <w:p w14:paraId="2A6BBFC9" w14:textId="58BC14AE" w:rsidR="00B20121" w:rsidRDefault="00B20121">
      <w:pPr>
        <w:spacing w:after="0" w:line="240" w:lineRule="auto"/>
      </w:pPr>
      <w:r>
        <w:rPr>
          <w:noProof/>
        </w:rPr>
        <w:drawing>
          <wp:inline distT="0" distB="0" distL="0" distR="0" wp14:anchorId="588FC97C" wp14:editId="104FD663">
            <wp:extent cx="5912465"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427D8.tmp"/>
                    <pic:cNvPicPr/>
                  </pic:nvPicPr>
                  <pic:blipFill>
                    <a:blip r:embed="rId11">
                      <a:extLst>
                        <a:ext uri="{28A0092B-C50C-407E-A947-70E740481C1C}">
                          <a14:useLocalDpi xmlns:a14="http://schemas.microsoft.com/office/drawing/2010/main" val="0"/>
                        </a:ext>
                      </a:extLst>
                    </a:blip>
                    <a:stretch>
                      <a:fillRect/>
                    </a:stretch>
                  </pic:blipFill>
                  <pic:spPr>
                    <a:xfrm>
                      <a:off x="0" y="0"/>
                      <a:ext cx="6213223" cy="880838"/>
                    </a:xfrm>
                    <a:prstGeom prst="rect">
                      <a:avLst/>
                    </a:prstGeom>
                  </pic:spPr>
                </pic:pic>
              </a:graphicData>
            </a:graphic>
          </wp:inline>
        </w:drawing>
      </w:r>
    </w:p>
    <w:p w14:paraId="42724954" w14:textId="0756831A" w:rsidR="00A1016D" w:rsidRDefault="00A1016D">
      <w:pPr>
        <w:spacing w:after="0" w:line="240" w:lineRule="auto"/>
      </w:pPr>
      <w:r>
        <w:rPr>
          <w:noProof/>
        </w:rPr>
        <w:drawing>
          <wp:inline distT="0" distB="0" distL="0" distR="0" wp14:anchorId="1CF0425B" wp14:editId="55C25724">
            <wp:extent cx="6029960" cy="2228215"/>
            <wp:effectExtent l="0" t="0" r="889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029960" cy="2228215"/>
                    </a:xfrm>
                    <a:prstGeom prst="rect">
                      <a:avLst/>
                    </a:prstGeom>
                  </pic:spPr>
                </pic:pic>
              </a:graphicData>
            </a:graphic>
          </wp:inline>
        </w:drawing>
      </w:r>
    </w:p>
    <w:p w14:paraId="5AA75A4C" w14:textId="57A48EF8" w:rsidR="00560E53" w:rsidRDefault="00560E53">
      <w:pPr>
        <w:spacing w:after="0" w:line="240" w:lineRule="auto"/>
      </w:pPr>
    </w:p>
    <w:tbl>
      <w:tblPr>
        <w:tblStyle w:val="TableGrid"/>
        <w:tblW w:w="0" w:type="auto"/>
        <w:tblLook w:val="04A0" w:firstRow="1" w:lastRow="0" w:firstColumn="1" w:lastColumn="0" w:noHBand="0" w:noVBand="1"/>
      </w:tblPr>
      <w:tblGrid>
        <w:gridCol w:w="4743"/>
        <w:gridCol w:w="4743"/>
      </w:tblGrid>
      <w:tr w:rsidR="003F4F10" w14:paraId="6F7BE767" w14:textId="77777777" w:rsidTr="003F4F10">
        <w:tc>
          <w:tcPr>
            <w:tcW w:w="4743" w:type="dxa"/>
            <w:shd w:val="clear" w:color="auto" w:fill="DAEEF3" w:themeFill="accent5" w:themeFillTint="33"/>
          </w:tcPr>
          <w:bookmarkEnd w:id="15"/>
          <w:bookmarkEnd w:id="16"/>
          <w:bookmarkEnd w:id="17"/>
          <w:p w14:paraId="7EC2F403" w14:textId="7E9F607C" w:rsidR="003F4F10" w:rsidRPr="003F4F10" w:rsidRDefault="003F4F10">
            <w:pPr>
              <w:rPr>
                <w:rFonts w:ascii="Arial" w:hAnsi="Arial" w:cs="Arial"/>
                <w:b/>
              </w:rPr>
            </w:pPr>
            <w:r w:rsidRPr="003F4F10">
              <w:rPr>
                <w:rFonts w:ascii="Arial" w:hAnsi="Arial" w:cs="Arial"/>
                <w:b/>
              </w:rPr>
              <w:t>Measure</w:t>
            </w:r>
          </w:p>
        </w:tc>
        <w:tc>
          <w:tcPr>
            <w:tcW w:w="4743" w:type="dxa"/>
            <w:shd w:val="clear" w:color="auto" w:fill="DAEEF3" w:themeFill="accent5" w:themeFillTint="33"/>
          </w:tcPr>
          <w:p w14:paraId="181818CB" w14:textId="61E27C61" w:rsidR="003F4F10" w:rsidRPr="003F4F10" w:rsidRDefault="003F4F10">
            <w:pPr>
              <w:rPr>
                <w:rFonts w:ascii="Arial" w:hAnsi="Arial" w:cs="Arial"/>
                <w:b/>
              </w:rPr>
            </w:pPr>
            <w:r w:rsidRPr="003F4F10">
              <w:rPr>
                <w:rFonts w:ascii="Arial" w:hAnsi="Arial" w:cs="Arial"/>
                <w:b/>
              </w:rPr>
              <w:t>Details</w:t>
            </w:r>
          </w:p>
        </w:tc>
      </w:tr>
      <w:tr w:rsidR="003F4F10" w14:paraId="1C216354" w14:textId="77777777" w:rsidTr="003F4F10">
        <w:tc>
          <w:tcPr>
            <w:tcW w:w="4743" w:type="dxa"/>
          </w:tcPr>
          <w:p w14:paraId="7F695B71" w14:textId="58F6260B" w:rsidR="003F4F10" w:rsidRPr="003F4F10" w:rsidRDefault="003F4F10">
            <w:pPr>
              <w:rPr>
                <w:rFonts w:ascii="Arial" w:hAnsi="Arial" w:cs="Arial"/>
              </w:rPr>
            </w:pPr>
            <w:r w:rsidRPr="003F4F10">
              <w:rPr>
                <w:rFonts w:ascii="Arial" w:hAnsi="Arial" w:cs="Arial"/>
              </w:rPr>
              <w:t>How did you spend your service pupil premium allocation last academic year?</w:t>
            </w:r>
          </w:p>
        </w:tc>
        <w:tc>
          <w:tcPr>
            <w:tcW w:w="4743" w:type="dxa"/>
          </w:tcPr>
          <w:p w14:paraId="07E5F62A" w14:textId="018855FD" w:rsidR="003F4F10" w:rsidRPr="003F4F10" w:rsidRDefault="003F4F10">
            <w:pPr>
              <w:rPr>
                <w:rFonts w:ascii="Arial" w:hAnsi="Arial" w:cs="Arial"/>
              </w:rPr>
            </w:pPr>
            <w:r>
              <w:rPr>
                <w:rFonts w:ascii="Arial" w:hAnsi="Arial" w:cs="Arial"/>
              </w:rPr>
              <w:t>After-school club</w:t>
            </w:r>
          </w:p>
        </w:tc>
      </w:tr>
      <w:tr w:rsidR="003F4F10" w14:paraId="54767D1D" w14:textId="77777777" w:rsidTr="003F4F10">
        <w:tc>
          <w:tcPr>
            <w:tcW w:w="4743" w:type="dxa"/>
          </w:tcPr>
          <w:p w14:paraId="47EC5E96" w14:textId="729D799F" w:rsidR="003F4F10" w:rsidRPr="003F4F10" w:rsidRDefault="003F4F10">
            <w:pPr>
              <w:rPr>
                <w:rFonts w:ascii="Arial" w:hAnsi="Arial" w:cs="Arial"/>
              </w:rPr>
            </w:pPr>
            <w:r w:rsidRPr="003F4F10">
              <w:rPr>
                <w:rFonts w:ascii="Arial" w:hAnsi="Arial" w:cs="Arial"/>
              </w:rPr>
              <w:t>What was the impact of that spending on service pupil premium eligible pupils?</w:t>
            </w:r>
          </w:p>
        </w:tc>
        <w:tc>
          <w:tcPr>
            <w:tcW w:w="4743" w:type="dxa"/>
          </w:tcPr>
          <w:p w14:paraId="556A030E" w14:textId="77777777" w:rsidR="006644E7" w:rsidRDefault="003F4F10" w:rsidP="006644E7">
            <w:pPr>
              <w:spacing w:after="0"/>
              <w:rPr>
                <w:rFonts w:ascii="Arial" w:hAnsi="Arial" w:cs="Arial"/>
                <w:color w:val="auto"/>
              </w:rPr>
            </w:pPr>
            <w:r w:rsidRPr="006644E7">
              <w:rPr>
                <w:rFonts w:ascii="Arial" w:hAnsi="Arial" w:cs="Arial"/>
                <w:color w:val="auto"/>
              </w:rPr>
              <w:t>Supported parents with after-school care</w:t>
            </w:r>
          </w:p>
          <w:p w14:paraId="36566B84" w14:textId="3F91BF70" w:rsidR="003F4F10" w:rsidRPr="006644E7" w:rsidRDefault="003F4F10" w:rsidP="006644E7">
            <w:pPr>
              <w:spacing w:after="0"/>
              <w:rPr>
                <w:rFonts w:ascii="Arial" w:hAnsi="Arial" w:cs="Arial"/>
                <w:color w:val="auto"/>
              </w:rPr>
            </w:pPr>
            <w:r w:rsidRPr="006644E7">
              <w:rPr>
                <w:rFonts w:ascii="Arial" w:hAnsi="Arial" w:cs="Arial"/>
                <w:color w:val="auto"/>
              </w:rPr>
              <w:t>Provided child with social opportunities and continuity of care</w:t>
            </w:r>
          </w:p>
          <w:p w14:paraId="61C41C4A" w14:textId="77777777" w:rsidR="003F4F10" w:rsidRDefault="003F4F10" w:rsidP="006644E7">
            <w:pPr>
              <w:spacing w:after="0"/>
              <w:rPr>
                <w:rFonts w:ascii="Arial" w:hAnsi="Arial" w:cs="Arial"/>
                <w:color w:val="auto"/>
              </w:rPr>
            </w:pPr>
            <w:r w:rsidRPr="006644E7">
              <w:rPr>
                <w:rFonts w:ascii="Arial" w:hAnsi="Arial" w:cs="Arial"/>
                <w:color w:val="auto"/>
              </w:rPr>
              <w:t>Opportunities to be creative, outdoor learning, team building</w:t>
            </w:r>
          </w:p>
          <w:p w14:paraId="51F58EDC" w14:textId="7F683941" w:rsidR="00A1016D" w:rsidRPr="00A1016D" w:rsidRDefault="00A1016D" w:rsidP="006644E7">
            <w:pPr>
              <w:spacing w:after="0"/>
              <w:rPr>
                <w:rFonts w:ascii="Arial" w:hAnsi="Arial" w:cs="Arial"/>
                <w:color w:val="FF0000"/>
              </w:rPr>
            </w:pPr>
            <w:r w:rsidRPr="00A1016D">
              <w:rPr>
                <w:rFonts w:ascii="Arial" w:hAnsi="Arial" w:cs="Arial"/>
                <w:color w:val="000000" w:themeColor="text1"/>
              </w:rPr>
              <w:t>Opportunities to learn a musical instrument</w:t>
            </w:r>
          </w:p>
        </w:tc>
      </w:tr>
    </w:tbl>
    <w:p w14:paraId="2A7D5564" w14:textId="77777777" w:rsidR="00E66558" w:rsidRDefault="00E66558"/>
    <w:sectPr w:rsidR="00E66558">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03691" w14:textId="77777777" w:rsidR="00F65C7E" w:rsidRDefault="00F65C7E">
      <w:pPr>
        <w:spacing w:after="0" w:line="240" w:lineRule="auto"/>
      </w:pPr>
      <w:r>
        <w:separator/>
      </w:r>
    </w:p>
  </w:endnote>
  <w:endnote w:type="continuationSeparator" w:id="0">
    <w:p w14:paraId="48A7A17C" w14:textId="77777777" w:rsidR="00F65C7E" w:rsidRDefault="00F6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20832" w14:textId="77777777" w:rsidR="00F65C7E" w:rsidRDefault="00F65C7E">
      <w:pPr>
        <w:spacing w:after="0" w:line="240" w:lineRule="auto"/>
      </w:pPr>
      <w:r>
        <w:separator/>
      </w:r>
    </w:p>
  </w:footnote>
  <w:footnote w:type="continuationSeparator" w:id="0">
    <w:p w14:paraId="37FCE92E" w14:textId="77777777" w:rsidR="00F65C7E" w:rsidRDefault="00F65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D262B8D"/>
    <w:multiLevelType w:val="hybridMultilevel"/>
    <w:tmpl w:val="0FFA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2823E37"/>
    <w:multiLevelType w:val="hybridMultilevel"/>
    <w:tmpl w:val="1EE2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E265B"/>
    <w:multiLevelType w:val="hybridMultilevel"/>
    <w:tmpl w:val="76DC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32D29"/>
    <w:multiLevelType w:val="hybridMultilevel"/>
    <w:tmpl w:val="6820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5954505"/>
    <w:multiLevelType w:val="hybridMultilevel"/>
    <w:tmpl w:val="482A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0443B"/>
    <w:multiLevelType w:val="hybridMultilevel"/>
    <w:tmpl w:val="93DCF84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2"/>
  </w:num>
  <w:num w:numId="6">
    <w:abstractNumId w:val="8"/>
  </w:num>
  <w:num w:numId="7">
    <w:abstractNumId w:val="16"/>
  </w:num>
  <w:num w:numId="8">
    <w:abstractNumId w:val="20"/>
  </w:num>
  <w:num w:numId="9">
    <w:abstractNumId w:val="18"/>
  </w:num>
  <w:num w:numId="10">
    <w:abstractNumId w:val="17"/>
  </w:num>
  <w:num w:numId="11">
    <w:abstractNumId w:val="4"/>
  </w:num>
  <w:num w:numId="12">
    <w:abstractNumId w:val="19"/>
  </w:num>
  <w:num w:numId="13">
    <w:abstractNumId w:val="13"/>
  </w:num>
  <w:num w:numId="14">
    <w:abstractNumId w:val="9"/>
  </w:num>
  <w:num w:numId="15">
    <w:abstractNumId w:val="10"/>
  </w:num>
  <w:num w:numId="16">
    <w:abstractNumId w:val="11"/>
  </w:num>
  <w:num w:numId="17">
    <w:abstractNumId w:val="0"/>
  </w:num>
  <w:num w:numId="18">
    <w:abstractNumId w:val="12"/>
  </w:num>
  <w:num w:numId="19">
    <w:abstractNumId w:val="14"/>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1127"/>
    <w:rsid w:val="000204A5"/>
    <w:rsid w:val="000452E4"/>
    <w:rsid w:val="0005690E"/>
    <w:rsid w:val="00065232"/>
    <w:rsid w:val="00066B73"/>
    <w:rsid w:val="000937C4"/>
    <w:rsid w:val="000973AD"/>
    <w:rsid w:val="000C4122"/>
    <w:rsid w:val="000D3D7E"/>
    <w:rsid w:val="000D5448"/>
    <w:rsid w:val="0010750C"/>
    <w:rsid w:val="0011478D"/>
    <w:rsid w:val="00120AB1"/>
    <w:rsid w:val="00170142"/>
    <w:rsid w:val="00172020"/>
    <w:rsid w:val="001904B3"/>
    <w:rsid w:val="001964BD"/>
    <w:rsid w:val="001A4B9A"/>
    <w:rsid w:val="001C0C77"/>
    <w:rsid w:val="001E3116"/>
    <w:rsid w:val="002409CB"/>
    <w:rsid w:val="00260F54"/>
    <w:rsid w:val="002B5095"/>
    <w:rsid w:val="002C57EE"/>
    <w:rsid w:val="002D4665"/>
    <w:rsid w:val="00327B64"/>
    <w:rsid w:val="003311E5"/>
    <w:rsid w:val="003569FB"/>
    <w:rsid w:val="003D4895"/>
    <w:rsid w:val="003F4F10"/>
    <w:rsid w:val="004044AA"/>
    <w:rsid w:val="0040774D"/>
    <w:rsid w:val="0041063E"/>
    <w:rsid w:val="00441DA3"/>
    <w:rsid w:val="00443789"/>
    <w:rsid w:val="0045438F"/>
    <w:rsid w:val="00477992"/>
    <w:rsid w:val="004C2663"/>
    <w:rsid w:val="0050041B"/>
    <w:rsid w:val="005112A4"/>
    <w:rsid w:val="00513BED"/>
    <w:rsid w:val="00520C91"/>
    <w:rsid w:val="00560E53"/>
    <w:rsid w:val="00561459"/>
    <w:rsid w:val="0058297A"/>
    <w:rsid w:val="005F48F6"/>
    <w:rsid w:val="0061292A"/>
    <w:rsid w:val="0064373A"/>
    <w:rsid w:val="006644E7"/>
    <w:rsid w:val="00667705"/>
    <w:rsid w:val="00686EE2"/>
    <w:rsid w:val="006958BD"/>
    <w:rsid w:val="006A6608"/>
    <w:rsid w:val="006E7FB1"/>
    <w:rsid w:val="00722B2A"/>
    <w:rsid w:val="00741B9E"/>
    <w:rsid w:val="00767C8A"/>
    <w:rsid w:val="00770681"/>
    <w:rsid w:val="00781081"/>
    <w:rsid w:val="00795684"/>
    <w:rsid w:val="007A6979"/>
    <w:rsid w:val="007C2F04"/>
    <w:rsid w:val="007D6DB2"/>
    <w:rsid w:val="007F5078"/>
    <w:rsid w:val="00821939"/>
    <w:rsid w:val="008413B6"/>
    <w:rsid w:val="0084781D"/>
    <w:rsid w:val="008729A1"/>
    <w:rsid w:val="00875A71"/>
    <w:rsid w:val="008C5A59"/>
    <w:rsid w:val="008D71E3"/>
    <w:rsid w:val="008F7B73"/>
    <w:rsid w:val="00910911"/>
    <w:rsid w:val="009209D3"/>
    <w:rsid w:val="009A40D4"/>
    <w:rsid w:val="009B2973"/>
    <w:rsid w:val="009D71E8"/>
    <w:rsid w:val="009E5161"/>
    <w:rsid w:val="009F0E5A"/>
    <w:rsid w:val="009F29AD"/>
    <w:rsid w:val="00A1016D"/>
    <w:rsid w:val="00A128E2"/>
    <w:rsid w:val="00A16275"/>
    <w:rsid w:val="00A24EA6"/>
    <w:rsid w:val="00A85671"/>
    <w:rsid w:val="00AA4201"/>
    <w:rsid w:val="00AD4FA8"/>
    <w:rsid w:val="00B1131F"/>
    <w:rsid w:val="00B20121"/>
    <w:rsid w:val="00B37E20"/>
    <w:rsid w:val="00B51D32"/>
    <w:rsid w:val="00B773DB"/>
    <w:rsid w:val="00B97FB1"/>
    <w:rsid w:val="00BB4C93"/>
    <w:rsid w:val="00C75409"/>
    <w:rsid w:val="00CD18A5"/>
    <w:rsid w:val="00CE05A0"/>
    <w:rsid w:val="00CF04B1"/>
    <w:rsid w:val="00D01E83"/>
    <w:rsid w:val="00D03ED7"/>
    <w:rsid w:val="00D33FE5"/>
    <w:rsid w:val="00D44341"/>
    <w:rsid w:val="00D70453"/>
    <w:rsid w:val="00DC2134"/>
    <w:rsid w:val="00DD2B3A"/>
    <w:rsid w:val="00DE6BA7"/>
    <w:rsid w:val="00DF446C"/>
    <w:rsid w:val="00E11D26"/>
    <w:rsid w:val="00E4111E"/>
    <w:rsid w:val="00E437DD"/>
    <w:rsid w:val="00E64B93"/>
    <w:rsid w:val="00E66558"/>
    <w:rsid w:val="00E76BC0"/>
    <w:rsid w:val="00E875DF"/>
    <w:rsid w:val="00F04A83"/>
    <w:rsid w:val="00F15386"/>
    <w:rsid w:val="00F211FB"/>
    <w:rsid w:val="00F31DAF"/>
    <w:rsid w:val="00F65C7E"/>
    <w:rsid w:val="00F75315"/>
    <w:rsid w:val="00F82336"/>
    <w:rsid w:val="00FC49A6"/>
    <w:rsid w:val="00FF2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1bodycopy">
    <w:name w:val="1 body copy"/>
    <w:basedOn w:val="Normal"/>
    <w:link w:val="1bodycopyChar"/>
    <w:qFormat/>
    <w:rsid w:val="001E3116"/>
    <w:pPr>
      <w:suppressAutoHyphens w:val="0"/>
      <w:autoSpaceDN/>
      <w:spacing w:after="120" w:line="240" w:lineRule="auto"/>
    </w:pPr>
    <w:rPr>
      <w:rFonts w:eastAsia="MS Mincho"/>
      <w:color w:val="auto"/>
      <w:sz w:val="20"/>
      <w:lang w:val="en-US" w:eastAsia="en-US"/>
    </w:rPr>
  </w:style>
  <w:style w:type="paragraph" w:customStyle="1" w:styleId="2Subheadpink">
    <w:name w:val="2 Subhead pink"/>
    <w:next w:val="1bodycopy"/>
    <w:qFormat/>
    <w:rsid w:val="001E3116"/>
    <w:pPr>
      <w:autoSpaceDN/>
      <w:spacing w:before="360" w:after="120" w:line="259" w:lineRule="auto"/>
    </w:pPr>
    <w:rPr>
      <w:rFonts w:eastAsia="MS Mincho" w:cs="Arial"/>
      <w:b/>
      <w:color w:val="FF1F64"/>
      <w:sz w:val="32"/>
      <w:szCs w:val="32"/>
      <w:lang w:val="en-US" w:eastAsia="en-US"/>
    </w:rPr>
  </w:style>
  <w:style w:type="character" w:customStyle="1" w:styleId="1bodycopyChar">
    <w:name w:val="1 body copy Char"/>
    <w:link w:val="1bodycopy"/>
    <w:rsid w:val="001E3116"/>
    <w:rPr>
      <w:rFonts w:eastAsia="MS Mincho"/>
      <w:szCs w:val="24"/>
      <w:lang w:val="en-US" w:eastAsia="en-US"/>
    </w:rPr>
  </w:style>
  <w:style w:type="paragraph" w:customStyle="1" w:styleId="5Abstract">
    <w:name w:val="5 Abstract"/>
    <w:qFormat/>
    <w:rsid w:val="001E3116"/>
    <w:pPr>
      <w:autoSpaceDN/>
      <w:spacing w:after="240" w:line="259" w:lineRule="auto"/>
      <w:ind w:right="1134"/>
    </w:pPr>
    <w:rPr>
      <w:rFonts w:eastAsia="MS Mincho"/>
      <w:sz w:val="28"/>
      <w:szCs w:val="28"/>
      <w:lang w:val="en-US" w:eastAsia="en-US"/>
    </w:rPr>
  </w:style>
  <w:style w:type="paragraph" w:customStyle="1" w:styleId="7Tablebodycopy">
    <w:name w:val="7 Table body copy"/>
    <w:basedOn w:val="1bodycopy"/>
    <w:qFormat/>
    <w:rsid w:val="001E3116"/>
    <w:pPr>
      <w:spacing w:after="60"/>
    </w:pPr>
  </w:style>
  <w:style w:type="paragraph" w:customStyle="1" w:styleId="7Tablebodybulleted">
    <w:name w:val="7 Table body bulleted"/>
    <w:basedOn w:val="Normal"/>
    <w:qFormat/>
    <w:rsid w:val="001E3116"/>
    <w:pPr>
      <w:numPr>
        <w:numId w:val="18"/>
      </w:numPr>
      <w:suppressAutoHyphens w:val="0"/>
      <w:autoSpaceDN/>
      <w:spacing w:after="120" w:line="240" w:lineRule="auto"/>
      <w:ind w:right="284"/>
    </w:pPr>
    <w:rPr>
      <w:rFonts w:eastAsia="MS Mincho"/>
      <w:color w:val="auto"/>
      <w:sz w:val="20"/>
      <w:lang w:val="en-US" w:eastAsia="en-US"/>
    </w:rPr>
  </w:style>
  <w:style w:type="table" w:styleId="TableGrid">
    <w:name w:val="Table Grid"/>
    <w:basedOn w:val="TableNormal"/>
    <w:uiPriority w:val="39"/>
    <w:rsid w:val="00C75409"/>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20C6D8BC556645BB67258110F6A341" ma:contentTypeVersion="13" ma:contentTypeDescription="Create a new document." ma:contentTypeScope="" ma:versionID="94fc2967c6282f766a0dbaaa1c10874d">
  <xsd:schema xmlns:xsd="http://www.w3.org/2001/XMLSchema" xmlns:xs="http://www.w3.org/2001/XMLSchema" xmlns:p="http://schemas.microsoft.com/office/2006/metadata/properties" xmlns:ns3="c765b590-1959-4171-85fc-f0f33b855db5" xmlns:ns4="69c1413d-2cd5-41cf-8ea7-60c98eac950f" targetNamespace="http://schemas.microsoft.com/office/2006/metadata/properties" ma:root="true" ma:fieldsID="c462ac2216a83697b586cb2baf7db0dd" ns3:_="" ns4:_="">
    <xsd:import namespace="c765b590-1959-4171-85fc-f0f33b855db5"/>
    <xsd:import namespace="69c1413d-2cd5-41cf-8ea7-60c98eac95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b590-1959-4171-85fc-f0f33b855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1413d-2cd5-41cf-8ea7-60c98eac95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5F645-74F4-49B9-AE39-A1128400F17E}">
  <ds:schemaRefs>
    <ds:schemaRef ds:uri="http://schemas.microsoft.com/sharepoint/v3/contenttype/forms"/>
  </ds:schemaRefs>
</ds:datastoreItem>
</file>

<file path=customXml/itemProps2.xml><?xml version="1.0" encoding="utf-8"?>
<ds:datastoreItem xmlns:ds="http://schemas.openxmlformats.org/officeDocument/2006/customXml" ds:itemID="{D759D0EC-D7D4-4AE3-AF48-D4C4B7FD6E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3B184-1C85-45CB-9E41-29DB573BF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b590-1959-4171-85fc-f0f33b855db5"/>
    <ds:schemaRef ds:uri="69c1413d-2cd5-41cf-8ea7-60c98eac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65B7F-18DB-42C0-8940-35E4DE19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CJackson</cp:lastModifiedBy>
  <cp:revision>12</cp:revision>
  <cp:lastPrinted>2022-01-20T08:27:00Z</cp:lastPrinted>
  <dcterms:created xsi:type="dcterms:W3CDTF">2024-01-11T14:46:00Z</dcterms:created>
  <dcterms:modified xsi:type="dcterms:W3CDTF">2024-01-12T07:51:00Z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0x0101008220C6D8BC556645BB67258110F6A341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