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79E90" w14:textId="4108EDDB" w:rsidR="001F5F28" w:rsidRDefault="001F5F28" w:rsidP="001F5F28">
      <w:pPr>
        <w:shd w:val="clear" w:color="auto" w:fill="FFFFFF"/>
        <w:spacing w:before="100" w:beforeAutospacing="1" w:after="100" w:afterAutospacing="1" w:line="240" w:lineRule="auto"/>
        <w:jc w:val="center"/>
        <w:outlineLvl w:val="2"/>
        <w:rPr>
          <w:rFonts w:ascii="SassoonPrimaryInfant" w:eastAsia="Times New Roman" w:hAnsi="SassoonPrimaryInfant" w:cs="Arial"/>
          <w:b/>
          <w:bCs/>
          <w:color w:val="538135" w:themeColor="accent6" w:themeShade="BF"/>
          <w:kern w:val="0"/>
          <w:sz w:val="27"/>
          <w:szCs w:val="27"/>
          <w:lang w:eastAsia="en-GB"/>
          <w14:ligatures w14:val="none"/>
        </w:rPr>
      </w:pPr>
      <w:r>
        <w:rPr>
          <w:noProof/>
        </w:rPr>
        <w:drawing>
          <wp:anchor distT="0" distB="0" distL="114300" distR="114300" simplePos="0" relativeHeight="251659264" behindDoc="1" locked="0" layoutInCell="1" allowOverlap="1" wp14:anchorId="73E71E7A" wp14:editId="52970B72">
            <wp:simplePos x="0" y="0"/>
            <wp:positionH relativeFrom="margin">
              <wp:align>left</wp:align>
            </wp:positionH>
            <wp:positionV relativeFrom="margin">
              <wp:posOffset>-64308</wp:posOffset>
            </wp:positionV>
            <wp:extent cx="766445" cy="781050"/>
            <wp:effectExtent l="0" t="0" r="0" b="0"/>
            <wp:wrapSquare wrapText="bothSides"/>
            <wp:docPr id="41086160" name="Picture 1" descr="Hardwick Green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dwick Green Academ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644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59EA7DA" wp14:editId="3D0A637A">
            <wp:simplePos x="0" y="0"/>
            <wp:positionH relativeFrom="margin">
              <wp:align>right</wp:align>
            </wp:positionH>
            <wp:positionV relativeFrom="margin">
              <wp:posOffset>211975</wp:posOffset>
            </wp:positionV>
            <wp:extent cx="1209675" cy="525780"/>
            <wp:effectExtent l="0" t="0" r="9525" b="7620"/>
            <wp:wrapSquare wrapText="bothSides"/>
            <wp:docPr id="2065438530" name="Picture 2" descr="The Enquire Learning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Enquire Learning Tru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B4A6DD" w14:textId="5C70858D" w:rsidR="00182A82" w:rsidRPr="00182A82" w:rsidRDefault="00182A82" w:rsidP="001F5F28">
      <w:pPr>
        <w:shd w:val="clear" w:color="auto" w:fill="FFFFFF"/>
        <w:spacing w:before="100" w:beforeAutospacing="1" w:after="100" w:afterAutospacing="1" w:line="240" w:lineRule="auto"/>
        <w:jc w:val="center"/>
        <w:outlineLvl w:val="2"/>
        <w:rPr>
          <w:rFonts w:ascii="SassoonPrimaryInfant" w:eastAsia="Times New Roman" w:hAnsi="SassoonPrimaryInfant" w:cs="Arial"/>
          <w:b/>
          <w:bCs/>
          <w:color w:val="538135" w:themeColor="accent6" w:themeShade="BF"/>
          <w:kern w:val="0"/>
          <w:sz w:val="27"/>
          <w:szCs w:val="27"/>
          <w:lang w:eastAsia="en-GB"/>
          <w14:ligatures w14:val="none"/>
        </w:rPr>
      </w:pPr>
      <w:r w:rsidRPr="00182A82">
        <w:rPr>
          <w:rFonts w:ascii="SassoonPrimaryInfant" w:eastAsia="Times New Roman" w:hAnsi="SassoonPrimaryInfant" w:cs="Arial"/>
          <w:b/>
          <w:bCs/>
          <w:color w:val="538135" w:themeColor="accent6" w:themeShade="BF"/>
          <w:kern w:val="0"/>
          <w:sz w:val="27"/>
          <w:szCs w:val="27"/>
          <w:lang w:eastAsia="en-GB"/>
          <w14:ligatures w14:val="none"/>
        </w:rPr>
        <w:t>Our Early Years Curriculum Intent</w:t>
      </w:r>
    </w:p>
    <w:p w14:paraId="06722D40" w14:textId="2F20BAC8" w:rsidR="00182A82" w:rsidRPr="00182A82" w:rsidRDefault="00182A82" w:rsidP="00182A82">
      <w:pPr>
        <w:shd w:val="clear" w:color="auto" w:fill="FFFFFF"/>
        <w:spacing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 xml:space="preserve">At </w:t>
      </w:r>
      <w:r>
        <w:rPr>
          <w:rFonts w:ascii="SassoonPrimaryInfant" w:eastAsia="Times New Roman" w:hAnsi="SassoonPrimaryInfant" w:cs="Arial"/>
          <w:kern w:val="0"/>
          <w:sz w:val="26"/>
          <w:szCs w:val="26"/>
          <w:lang w:eastAsia="en-GB"/>
          <w14:ligatures w14:val="none"/>
        </w:rPr>
        <w:t xml:space="preserve">Hardwick Green Primary </w:t>
      </w:r>
      <w:proofErr w:type="gramStart"/>
      <w:r>
        <w:rPr>
          <w:rFonts w:ascii="SassoonPrimaryInfant" w:eastAsia="Times New Roman" w:hAnsi="SassoonPrimaryInfant" w:cs="Arial"/>
          <w:kern w:val="0"/>
          <w:sz w:val="26"/>
          <w:szCs w:val="26"/>
          <w:lang w:eastAsia="en-GB"/>
          <w14:ligatures w14:val="none"/>
        </w:rPr>
        <w:t>Academy</w:t>
      </w:r>
      <w:proofErr w:type="gramEnd"/>
      <w:r w:rsidRPr="00182A82">
        <w:rPr>
          <w:rFonts w:ascii="SassoonPrimaryInfant" w:eastAsia="Times New Roman" w:hAnsi="SassoonPrimaryInfant" w:cs="Arial"/>
          <w:kern w:val="0"/>
          <w:sz w:val="26"/>
          <w:szCs w:val="26"/>
          <w:lang w:eastAsia="en-GB"/>
          <w14:ligatures w14:val="none"/>
        </w:rPr>
        <w:t xml:space="preserve"> we offer an Early Years curriculum that is rich in wonder and memorable experiences.  We ensure that </w:t>
      </w:r>
      <w:proofErr w:type="gramStart"/>
      <w:r w:rsidRPr="00182A82">
        <w:rPr>
          <w:rFonts w:ascii="SassoonPrimaryInfant" w:eastAsia="Times New Roman" w:hAnsi="SassoonPrimaryInfant" w:cs="Arial"/>
          <w:kern w:val="0"/>
          <w:sz w:val="26"/>
          <w:szCs w:val="26"/>
          <w:lang w:eastAsia="en-GB"/>
          <w14:ligatures w14:val="none"/>
        </w:rPr>
        <w:t>all of</w:t>
      </w:r>
      <w:proofErr w:type="gramEnd"/>
      <w:r w:rsidRPr="00182A82">
        <w:rPr>
          <w:rFonts w:ascii="SassoonPrimaryInfant" w:eastAsia="Times New Roman" w:hAnsi="SassoonPrimaryInfant" w:cs="Arial"/>
          <w:kern w:val="0"/>
          <w:sz w:val="26"/>
          <w:szCs w:val="26"/>
          <w:lang w:eastAsia="en-GB"/>
          <w14:ligatures w14:val="none"/>
        </w:rPr>
        <w:t xml:space="preserve"> our children have a broad curriculum with a good balance of adult led and </w:t>
      </w:r>
      <w:r w:rsidR="00DB6ADB" w:rsidRPr="00182A82">
        <w:rPr>
          <w:rFonts w:ascii="SassoonPrimaryInfant" w:eastAsia="Times New Roman" w:hAnsi="SassoonPrimaryInfant" w:cs="Arial"/>
          <w:kern w:val="0"/>
          <w:sz w:val="26"/>
          <w:szCs w:val="26"/>
          <w:lang w:eastAsia="en-GB"/>
          <w14:ligatures w14:val="none"/>
        </w:rPr>
        <w:t>child-initiated</w:t>
      </w:r>
      <w:r w:rsidRPr="00182A82">
        <w:rPr>
          <w:rFonts w:ascii="SassoonPrimaryInfant" w:eastAsia="Times New Roman" w:hAnsi="SassoonPrimaryInfant" w:cs="Arial"/>
          <w:kern w:val="0"/>
          <w:sz w:val="26"/>
          <w:szCs w:val="26"/>
          <w:lang w:eastAsia="en-GB"/>
          <w14:ligatures w14:val="none"/>
        </w:rPr>
        <w:t xml:space="preserve"> activities to ensure the best outcomes for all pupils. We understand that play is an integral part of learning and this is at the heart of our Early Years curriculum. It is our intent that the children who enter our Early Years develop physically, verbally, cognitively, and emotionally whilst embedding a positive attitude to school and learning. That they feel safe and secure and ready to learn.  We are passionate about creating opportunities for children to communicate more easily through developing language and communication skills and specifically teaching vocabulary. We</w:t>
      </w:r>
      <w:r>
        <w:rPr>
          <w:rFonts w:ascii="SassoonPrimaryInfant" w:eastAsia="Times New Roman" w:hAnsi="SassoonPrimaryInfant" w:cs="Arial"/>
          <w:kern w:val="0"/>
          <w:sz w:val="26"/>
          <w:szCs w:val="26"/>
          <w:lang w:eastAsia="en-GB"/>
          <w14:ligatures w14:val="none"/>
        </w:rPr>
        <w:t xml:space="preserve"> </w:t>
      </w:r>
      <w:r w:rsidRPr="00182A82">
        <w:rPr>
          <w:rFonts w:ascii="SassoonPrimaryInfant" w:eastAsia="Times New Roman" w:hAnsi="SassoonPrimaryInfant" w:cs="Arial"/>
          <w:kern w:val="0"/>
          <w:sz w:val="26"/>
          <w:szCs w:val="26"/>
          <w:lang w:eastAsia="en-GB"/>
          <w14:ligatures w14:val="none"/>
        </w:rPr>
        <w:t>believe that all children deserve to be valued as an</w:t>
      </w:r>
      <w:r>
        <w:rPr>
          <w:rFonts w:ascii="SassoonPrimaryInfant" w:eastAsia="Times New Roman" w:hAnsi="SassoonPrimaryInfant" w:cs="Arial"/>
          <w:kern w:val="0"/>
          <w:sz w:val="26"/>
          <w:szCs w:val="26"/>
          <w:lang w:eastAsia="en-GB"/>
          <w14:ligatures w14:val="none"/>
        </w:rPr>
        <w:t xml:space="preserve"> </w:t>
      </w:r>
      <w:r w:rsidRPr="00182A82">
        <w:rPr>
          <w:rFonts w:ascii="SassoonPrimaryInfant" w:eastAsia="Times New Roman" w:hAnsi="SassoonPrimaryInfant" w:cs="Arial"/>
          <w:kern w:val="0"/>
          <w:sz w:val="26"/>
          <w:szCs w:val="26"/>
          <w:lang w:eastAsia="en-GB"/>
          <w14:ligatures w14:val="none"/>
        </w:rPr>
        <w:t>individual and we are passionate in allowing all children to achieve their full, unique potential.</w:t>
      </w:r>
    </w:p>
    <w:p w14:paraId="653EB63B" w14:textId="6FB3DB88" w:rsidR="00182A82" w:rsidRPr="00182A82" w:rsidRDefault="00182A82" w:rsidP="00182A82">
      <w:pPr>
        <w:shd w:val="clear" w:color="auto" w:fill="FFFFFF"/>
        <w:spacing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 xml:space="preserve">We provide a </w:t>
      </w:r>
      <w:r>
        <w:rPr>
          <w:rFonts w:ascii="SassoonPrimaryInfant" w:eastAsia="Times New Roman" w:hAnsi="SassoonPrimaryInfant" w:cs="Arial"/>
          <w:kern w:val="0"/>
          <w:sz w:val="26"/>
          <w:szCs w:val="26"/>
          <w:lang w:eastAsia="en-GB"/>
          <w14:ligatures w14:val="none"/>
        </w:rPr>
        <w:t xml:space="preserve">cosy yet </w:t>
      </w:r>
      <w:r w:rsidRPr="00182A82">
        <w:rPr>
          <w:rFonts w:ascii="SassoonPrimaryInfant" w:eastAsia="Times New Roman" w:hAnsi="SassoonPrimaryInfant" w:cs="Arial"/>
          <w:kern w:val="0"/>
          <w:sz w:val="26"/>
          <w:szCs w:val="26"/>
          <w:lang w:eastAsia="en-GB"/>
          <w14:ligatures w14:val="none"/>
        </w:rPr>
        <w:t>stimulating environment that provides exciting opportunities, both indoors and outdoors in promoting challenge, exploration, problem solving, adventure and a real love of learning.</w:t>
      </w:r>
    </w:p>
    <w:p w14:paraId="31E1E84D" w14:textId="2D9C2B7D" w:rsidR="00182A82" w:rsidRPr="00182A82" w:rsidRDefault="00182A82" w:rsidP="00182A82">
      <w:pPr>
        <w:shd w:val="clear" w:color="auto" w:fill="FFFFFF"/>
        <w:spacing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We aim for our children to be confident, resilient and independent, to believe in themselves and interact positively with others.</w:t>
      </w:r>
      <w:r w:rsidRPr="00182A82">
        <w:rPr>
          <w:rFonts w:ascii="SassoonPrimaryInfant" w:eastAsia="Times New Roman" w:hAnsi="SassoonPrimaryInfant" w:cs="Arial"/>
          <w:kern w:val="0"/>
          <w:sz w:val="26"/>
          <w:szCs w:val="26"/>
          <w:lang w:eastAsia="en-GB"/>
          <w14:ligatures w14:val="none"/>
        </w:rPr>
        <w:br/>
        <w:t>We endeavour to give the children the Cultural Capital they need for future</w:t>
      </w:r>
      <w:r>
        <w:rPr>
          <w:rFonts w:ascii="SassoonPrimaryInfant" w:eastAsia="Times New Roman" w:hAnsi="SassoonPrimaryInfant" w:cs="Arial"/>
          <w:kern w:val="0"/>
          <w:sz w:val="26"/>
          <w:szCs w:val="26"/>
          <w:lang w:eastAsia="en-GB"/>
          <w14:ligatures w14:val="none"/>
        </w:rPr>
        <w:t xml:space="preserve"> </w:t>
      </w:r>
      <w:r w:rsidRPr="00182A82">
        <w:rPr>
          <w:rFonts w:ascii="SassoonPrimaryInfant" w:eastAsia="Times New Roman" w:hAnsi="SassoonPrimaryInfant" w:cs="Arial"/>
          <w:kern w:val="0"/>
          <w:sz w:val="26"/>
          <w:szCs w:val="26"/>
          <w:lang w:eastAsia="en-GB"/>
          <w14:ligatures w14:val="none"/>
        </w:rPr>
        <w:t>success i.e. giving each child the best start in life enabling them to fulfil their full potential and achieve future success.</w:t>
      </w:r>
      <w:r w:rsidRPr="00182A82">
        <w:rPr>
          <w:rFonts w:ascii="SassoonPrimaryInfant" w:eastAsia="Times New Roman" w:hAnsi="SassoonPrimaryInfant" w:cs="Arial"/>
          <w:kern w:val="0"/>
          <w:sz w:val="26"/>
          <w:szCs w:val="26"/>
          <w:lang w:eastAsia="en-GB"/>
          <w14:ligatures w14:val="none"/>
        </w:rPr>
        <w:br/>
        <w:t xml:space="preserve">Positive relationships between staff and children, consistent routines and strong relationships with parents are key. We recognise the crucial role that early year’s education </w:t>
      </w:r>
      <w:proofErr w:type="gramStart"/>
      <w:r w:rsidRPr="00182A82">
        <w:rPr>
          <w:rFonts w:ascii="SassoonPrimaryInfant" w:eastAsia="Times New Roman" w:hAnsi="SassoonPrimaryInfant" w:cs="Arial"/>
          <w:kern w:val="0"/>
          <w:sz w:val="26"/>
          <w:szCs w:val="26"/>
          <w:lang w:eastAsia="en-GB"/>
          <w14:ligatures w14:val="none"/>
        </w:rPr>
        <w:t>has to</w:t>
      </w:r>
      <w:proofErr w:type="gramEnd"/>
      <w:r w:rsidRPr="00182A82">
        <w:rPr>
          <w:rFonts w:ascii="SassoonPrimaryInfant" w:eastAsia="Times New Roman" w:hAnsi="SassoonPrimaryInfant" w:cs="Arial"/>
          <w:kern w:val="0"/>
          <w:sz w:val="26"/>
          <w:szCs w:val="26"/>
          <w:lang w:eastAsia="en-GB"/>
          <w14:ligatures w14:val="none"/>
        </w:rPr>
        <w:t xml:space="preserve"> play in providing firm foundations in order for children to become successful learners. </w:t>
      </w:r>
    </w:p>
    <w:p w14:paraId="429996E8" w14:textId="77777777" w:rsidR="00182A82" w:rsidRPr="00182A82" w:rsidRDefault="00182A82" w:rsidP="00182A82">
      <w:pPr>
        <w:shd w:val="clear" w:color="auto" w:fill="FFFFFF"/>
        <w:spacing w:after="0"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Times New Roman"/>
          <w:kern w:val="0"/>
          <w:sz w:val="20"/>
          <w:szCs w:val="20"/>
          <w:lang w:eastAsia="en-GB"/>
          <w14:ligatures w14:val="none"/>
        </w:rPr>
        <w:t> </w:t>
      </w:r>
    </w:p>
    <w:p w14:paraId="193F2052" w14:textId="77777777" w:rsidR="00182A82" w:rsidRPr="00182A82" w:rsidRDefault="00182A82" w:rsidP="00182A82">
      <w:pPr>
        <w:shd w:val="clear" w:color="auto" w:fill="FFFFFF"/>
        <w:spacing w:before="100" w:beforeAutospacing="1" w:after="100" w:afterAutospacing="1" w:line="240" w:lineRule="auto"/>
        <w:outlineLvl w:val="2"/>
        <w:rPr>
          <w:rFonts w:ascii="SassoonPrimaryInfant" w:eastAsia="Times New Roman" w:hAnsi="SassoonPrimaryInfant" w:cs="Arial"/>
          <w:kern w:val="0"/>
          <w:sz w:val="27"/>
          <w:szCs w:val="27"/>
          <w:lang w:eastAsia="en-GB"/>
          <w14:ligatures w14:val="none"/>
        </w:rPr>
      </w:pPr>
      <w:r w:rsidRPr="00182A82">
        <w:rPr>
          <w:rFonts w:ascii="SassoonPrimaryInfant" w:eastAsia="Times New Roman" w:hAnsi="SassoonPrimaryInfant" w:cs="Arial"/>
          <w:b/>
          <w:bCs/>
          <w:kern w:val="0"/>
          <w:sz w:val="27"/>
          <w:szCs w:val="27"/>
          <w:lang w:eastAsia="en-GB"/>
          <w14:ligatures w14:val="none"/>
        </w:rPr>
        <w:t>The EYFS Framework</w:t>
      </w:r>
    </w:p>
    <w:p w14:paraId="25C79BB1" w14:textId="77777777" w:rsidR="00182A82" w:rsidRPr="00182A82" w:rsidRDefault="00182A82" w:rsidP="00182A82">
      <w:pPr>
        <w:shd w:val="clear" w:color="auto" w:fill="FFFFFF"/>
        <w:spacing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There are seven areas of learning and development that help to shape educational provision in Early Years settings. All areas of learning and development are important and inter-connected. None of the areas of learning can be delivered in isolation from the others. Our children’s learning experiences enable them to develop competency and skills not just academically but also socially, emotionally and physically.</w:t>
      </w:r>
    </w:p>
    <w:p w14:paraId="75ACAE16" w14:textId="77777777" w:rsidR="00182A82" w:rsidRPr="00182A82" w:rsidRDefault="00182A82" w:rsidP="00182A82">
      <w:pPr>
        <w:shd w:val="clear" w:color="auto" w:fill="FFFFFF"/>
        <w:spacing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The </w:t>
      </w:r>
      <w:r w:rsidRPr="00182A82">
        <w:rPr>
          <w:rFonts w:ascii="SassoonPrimaryInfant" w:eastAsia="Times New Roman" w:hAnsi="SassoonPrimaryInfant" w:cs="Arial"/>
          <w:b/>
          <w:bCs/>
          <w:kern w:val="0"/>
          <w:sz w:val="26"/>
          <w:szCs w:val="26"/>
          <w:lang w:eastAsia="en-GB"/>
          <w14:ligatures w14:val="none"/>
        </w:rPr>
        <w:t>three prime areas</w:t>
      </w:r>
      <w:r w:rsidRPr="00182A82">
        <w:rPr>
          <w:rFonts w:ascii="SassoonPrimaryInfant" w:eastAsia="Times New Roman" w:hAnsi="SassoonPrimaryInfant" w:cs="Arial"/>
          <w:kern w:val="0"/>
          <w:sz w:val="26"/>
          <w:szCs w:val="26"/>
          <w:lang w:eastAsia="en-GB"/>
          <w14:ligatures w14:val="none"/>
        </w:rPr>
        <w:t> which are particularly crucial for igniting children’s curiosity and enthusiasm for learning, and for building their capacity to learn, form relationships are:</w:t>
      </w:r>
    </w:p>
    <w:p w14:paraId="7C9F8B8F" w14:textId="77777777" w:rsidR="00182A82" w:rsidRPr="00182A82" w:rsidRDefault="00182A82" w:rsidP="00182A82">
      <w:pPr>
        <w:numPr>
          <w:ilvl w:val="0"/>
          <w:numId w:val="1"/>
        </w:numPr>
        <w:shd w:val="clear" w:color="auto" w:fill="FFFFFF"/>
        <w:spacing w:before="100" w:beforeAutospacing="1"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Personal, Social and Emotional Development </w:t>
      </w:r>
    </w:p>
    <w:p w14:paraId="0FB9D9AC" w14:textId="77777777" w:rsidR="00182A82" w:rsidRPr="00182A82" w:rsidRDefault="00182A82" w:rsidP="00182A82">
      <w:pPr>
        <w:numPr>
          <w:ilvl w:val="0"/>
          <w:numId w:val="1"/>
        </w:numPr>
        <w:shd w:val="clear" w:color="auto" w:fill="FFFFFF"/>
        <w:spacing w:before="100" w:beforeAutospacing="1"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Communication and Language </w:t>
      </w:r>
    </w:p>
    <w:p w14:paraId="67E0648A" w14:textId="77777777" w:rsidR="00182A82" w:rsidRPr="00182A82" w:rsidRDefault="00182A82" w:rsidP="00182A82">
      <w:pPr>
        <w:numPr>
          <w:ilvl w:val="0"/>
          <w:numId w:val="1"/>
        </w:numPr>
        <w:shd w:val="clear" w:color="auto" w:fill="FFFFFF"/>
        <w:spacing w:before="100" w:beforeAutospacing="1"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Physical Development </w:t>
      </w:r>
    </w:p>
    <w:p w14:paraId="267DDFCC" w14:textId="77777777" w:rsidR="00182A82" w:rsidRPr="00182A82" w:rsidRDefault="00182A82" w:rsidP="00182A82">
      <w:pPr>
        <w:shd w:val="clear" w:color="auto" w:fill="FFFFFF"/>
        <w:spacing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Staff will also support children in </w:t>
      </w:r>
      <w:r w:rsidRPr="00182A82">
        <w:rPr>
          <w:rFonts w:ascii="SassoonPrimaryInfant" w:eastAsia="Times New Roman" w:hAnsi="SassoonPrimaryInfant" w:cs="Arial"/>
          <w:b/>
          <w:bCs/>
          <w:kern w:val="0"/>
          <w:sz w:val="26"/>
          <w:szCs w:val="26"/>
          <w:lang w:eastAsia="en-GB"/>
          <w14:ligatures w14:val="none"/>
        </w:rPr>
        <w:t>four specific areas</w:t>
      </w:r>
      <w:r w:rsidRPr="00182A82">
        <w:rPr>
          <w:rFonts w:ascii="SassoonPrimaryInfant" w:eastAsia="Times New Roman" w:hAnsi="SassoonPrimaryInfant" w:cs="Arial"/>
          <w:kern w:val="0"/>
          <w:sz w:val="26"/>
          <w:szCs w:val="26"/>
          <w:lang w:eastAsia="en-GB"/>
          <w14:ligatures w14:val="none"/>
        </w:rPr>
        <w:t>, through which the three prime areas are strengthened and applied: </w:t>
      </w:r>
    </w:p>
    <w:p w14:paraId="45FF4A89" w14:textId="77777777" w:rsidR="00182A82" w:rsidRPr="00182A82" w:rsidRDefault="00182A82" w:rsidP="00182A82">
      <w:pPr>
        <w:numPr>
          <w:ilvl w:val="0"/>
          <w:numId w:val="2"/>
        </w:numPr>
        <w:shd w:val="clear" w:color="auto" w:fill="FFFFFF"/>
        <w:spacing w:before="100" w:beforeAutospacing="1"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Literacy </w:t>
      </w:r>
    </w:p>
    <w:p w14:paraId="6DDB30CD" w14:textId="77777777" w:rsidR="00182A82" w:rsidRPr="00182A82" w:rsidRDefault="00182A82" w:rsidP="00182A82">
      <w:pPr>
        <w:numPr>
          <w:ilvl w:val="0"/>
          <w:numId w:val="2"/>
        </w:numPr>
        <w:shd w:val="clear" w:color="auto" w:fill="FFFFFF"/>
        <w:spacing w:before="100" w:beforeAutospacing="1"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Mathematics </w:t>
      </w:r>
    </w:p>
    <w:p w14:paraId="0CEC09CF" w14:textId="77777777" w:rsidR="00182A82" w:rsidRPr="00182A82" w:rsidRDefault="00182A82" w:rsidP="00182A82">
      <w:pPr>
        <w:numPr>
          <w:ilvl w:val="0"/>
          <w:numId w:val="2"/>
        </w:numPr>
        <w:shd w:val="clear" w:color="auto" w:fill="FFFFFF"/>
        <w:spacing w:before="100" w:beforeAutospacing="1"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lastRenderedPageBreak/>
        <w:t>Understanding the world </w:t>
      </w:r>
    </w:p>
    <w:p w14:paraId="5640FBE0" w14:textId="77777777" w:rsidR="00182A82" w:rsidRPr="00182A82" w:rsidRDefault="00182A82" w:rsidP="00182A82">
      <w:pPr>
        <w:numPr>
          <w:ilvl w:val="0"/>
          <w:numId w:val="2"/>
        </w:numPr>
        <w:shd w:val="clear" w:color="auto" w:fill="FFFFFF"/>
        <w:spacing w:before="100" w:beforeAutospacing="1"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Expressive arts and design </w:t>
      </w:r>
    </w:p>
    <w:p w14:paraId="160BAAA0" w14:textId="51D2D1FD" w:rsidR="00182A82" w:rsidRPr="00182A82" w:rsidRDefault="00182A82" w:rsidP="00182A82">
      <w:pPr>
        <w:shd w:val="clear" w:color="auto" w:fill="FFFFFF"/>
        <w:spacing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 xml:space="preserve">All those areas of learning are </w:t>
      </w:r>
      <w:proofErr w:type="gramStart"/>
      <w:r w:rsidRPr="00182A82">
        <w:rPr>
          <w:rFonts w:ascii="SassoonPrimaryInfant" w:eastAsia="Times New Roman" w:hAnsi="SassoonPrimaryInfant" w:cs="Arial"/>
          <w:kern w:val="0"/>
          <w:sz w:val="26"/>
          <w:szCs w:val="26"/>
          <w:lang w:eastAsia="en-GB"/>
          <w14:ligatures w14:val="none"/>
        </w:rPr>
        <w:t>connected together</w:t>
      </w:r>
      <w:proofErr w:type="gramEnd"/>
      <w:r w:rsidRPr="00182A82">
        <w:rPr>
          <w:rFonts w:ascii="SassoonPrimaryInfant" w:eastAsia="Times New Roman" w:hAnsi="SassoonPrimaryInfant" w:cs="Arial"/>
          <w:kern w:val="0"/>
          <w:sz w:val="26"/>
          <w:szCs w:val="26"/>
          <w:lang w:eastAsia="en-GB"/>
          <w14:ligatures w14:val="none"/>
        </w:rPr>
        <w:t>. The characteristics of effective teaching and learning weave through them all. That’s because children in the early years are becoming more powerful learners and thinkers. These characteristics develop as they learn to do new things, acquire new skills, develop socially and emotionally, and become better communicators.</w:t>
      </w:r>
    </w:p>
    <w:p w14:paraId="589D8554" w14:textId="582A31D4" w:rsidR="00182A82" w:rsidRPr="00182A82" w:rsidRDefault="00182A82" w:rsidP="00182A82">
      <w:pPr>
        <w:shd w:val="clear" w:color="auto" w:fill="FFFFFF"/>
        <w:spacing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 xml:space="preserve">At </w:t>
      </w:r>
      <w:r>
        <w:rPr>
          <w:rFonts w:ascii="SassoonPrimaryInfant" w:eastAsia="Times New Roman" w:hAnsi="SassoonPrimaryInfant" w:cs="Arial"/>
          <w:kern w:val="0"/>
          <w:sz w:val="26"/>
          <w:szCs w:val="26"/>
          <w:lang w:eastAsia="en-GB"/>
          <w14:ligatures w14:val="none"/>
        </w:rPr>
        <w:t>Hardwick Green Primary</w:t>
      </w:r>
      <w:r w:rsidRPr="00182A82">
        <w:rPr>
          <w:rFonts w:ascii="SassoonPrimaryInfant" w:eastAsia="Times New Roman" w:hAnsi="SassoonPrimaryInfant" w:cs="Arial"/>
          <w:kern w:val="0"/>
          <w:sz w:val="26"/>
          <w:szCs w:val="26"/>
          <w:lang w:eastAsia="en-GB"/>
          <w14:ligatures w14:val="none"/>
        </w:rPr>
        <w:t xml:space="preserve"> Academy, we plan learning experiences considering both the children's individual needs and achievements as well as a range of learning experiences that will assist them to make progress. Well planned play is a key way in which children learn with enjoyment and challenge during the Foundation Stage. Children deepen their understanding by playing, talking, observing, planning, questioning, experimenting, testing, repeating, reflecting and responding to adults and to each other.</w:t>
      </w:r>
    </w:p>
    <w:p w14:paraId="2E10D31D" w14:textId="5825B256" w:rsidR="00182A82" w:rsidRPr="00182A82" w:rsidRDefault="00182A82" w:rsidP="00182A82">
      <w:pPr>
        <w:shd w:val="clear" w:color="auto" w:fill="FFFFFF"/>
        <w:spacing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 xml:space="preserve">Our learning environment is made up of areas which reflect all areas of the curriculum. Here children can make their own choices, encouraging them to play and explore. They can be active learners and are able to create and think critically. Links are made between both </w:t>
      </w:r>
      <w:r>
        <w:rPr>
          <w:rFonts w:ascii="SassoonPrimaryInfant" w:eastAsia="Times New Roman" w:hAnsi="SassoonPrimaryInfant" w:cs="Arial"/>
          <w:kern w:val="0"/>
          <w:sz w:val="26"/>
          <w:szCs w:val="26"/>
          <w:lang w:eastAsia="en-GB"/>
          <w14:ligatures w14:val="none"/>
        </w:rPr>
        <w:t xml:space="preserve">indoor and outdoor </w:t>
      </w:r>
      <w:r w:rsidRPr="00182A82">
        <w:rPr>
          <w:rFonts w:ascii="SassoonPrimaryInfant" w:eastAsia="Times New Roman" w:hAnsi="SassoonPrimaryInfant" w:cs="Arial"/>
          <w:kern w:val="0"/>
          <w:sz w:val="26"/>
          <w:szCs w:val="26"/>
          <w:lang w:eastAsia="en-GB"/>
          <w14:ligatures w14:val="none"/>
        </w:rPr>
        <w:t>learning environments, to ensure that all children receive a rich and varied curriculum that supports their learning and development.</w:t>
      </w:r>
    </w:p>
    <w:p w14:paraId="03AE3D17" w14:textId="77777777" w:rsidR="00182A82" w:rsidRPr="00182A82" w:rsidRDefault="00182A82">
      <w:pPr>
        <w:rPr>
          <w:rFonts w:ascii="SassoonPrimaryInfant" w:hAnsi="SassoonPrimaryInfant"/>
        </w:rPr>
      </w:pPr>
    </w:p>
    <w:sectPr w:rsidR="00182A82" w:rsidRPr="00182A82" w:rsidSect="006800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7350E"/>
    <w:multiLevelType w:val="multilevel"/>
    <w:tmpl w:val="4B16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86BDE"/>
    <w:multiLevelType w:val="multilevel"/>
    <w:tmpl w:val="DD12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7847">
    <w:abstractNumId w:val="1"/>
  </w:num>
  <w:num w:numId="2" w16cid:durableId="210687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82"/>
    <w:rsid w:val="00182A82"/>
    <w:rsid w:val="001F5F28"/>
    <w:rsid w:val="0068002C"/>
    <w:rsid w:val="00DB6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DA08"/>
  <w15:chartTrackingRefBased/>
  <w15:docId w15:val="{90AB6752-70AD-46DA-971D-93D780FB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82A8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2A82"/>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182A8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82A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2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dc7e8a-585a-4a61-b5ae-75eefa10ede3">
      <Terms xmlns="http://schemas.microsoft.com/office/infopath/2007/PartnerControls"/>
    </lcf76f155ced4ddcb4097134ff3c332f>
    <TaxCatchAll xmlns="934a3ab3-bc61-4a89-8167-4e51cb550c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72D27D2E27114C83B49F81FB598F77" ma:contentTypeVersion="15" ma:contentTypeDescription="Create a new document." ma:contentTypeScope="" ma:versionID="be57caaeaea516cc46d9bc36fb9a5566">
  <xsd:schema xmlns:xsd="http://www.w3.org/2001/XMLSchema" xmlns:xs="http://www.w3.org/2001/XMLSchema" xmlns:p="http://schemas.microsoft.com/office/2006/metadata/properties" xmlns:ns2="8ddc7e8a-585a-4a61-b5ae-75eefa10ede3" xmlns:ns3="934a3ab3-bc61-4a89-8167-4e51cb550c0f" targetNamespace="http://schemas.microsoft.com/office/2006/metadata/properties" ma:root="true" ma:fieldsID="89da0be4cf4c317b11d96887816a2baa" ns2:_="" ns3:_="">
    <xsd:import namespace="8ddc7e8a-585a-4a61-b5ae-75eefa10ede3"/>
    <xsd:import namespace="934a3ab3-bc61-4a89-8167-4e51cb550c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7e8a-585a-4a61-b5ae-75eefa10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4a3ab3-bc61-4a89-8167-4e51cb550c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f8c75f-1f23-4125-9ac0-f7eaba91f9ca}" ma:internalName="TaxCatchAll" ma:showField="CatchAllData" ma:web="934a3ab3-bc61-4a89-8167-4e51cb550c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FE176-CAEC-4410-AF6A-2B3A6B1DF741}">
  <ds:schemaRefs>
    <ds:schemaRef ds:uri="http://schemas.microsoft.com/office/2006/metadata/properties"/>
    <ds:schemaRef ds:uri="http://schemas.microsoft.com/office/infopath/2007/PartnerControls"/>
    <ds:schemaRef ds:uri="8ddc7e8a-585a-4a61-b5ae-75eefa10ede3"/>
    <ds:schemaRef ds:uri="934a3ab3-bc61-4a89-8167-4e51cb550c0f"/>
  </ds:schemaRefs>
</ds:datastoreItem>
</file>

<file path=customXml/itemProps2.xml><?xml version="1.0" encoding="utf-8"?>
<ds:datastoreItem xmlns:ds="http://schemas.openxmlformats.org/officeDocument/2006/customXml" ds:itemID="{5171A317-586F-43C5-92D1-1CFA7DA9E683}">
  <ds:schemaRefs>
    <ds:schemaRef ds:uri="http://schemas.microsoft.com/sharepoint/v3/contenttype/forms"/>
  </ds:schemaRefs>
</ds:datastoreItem>
</file>

<file path=customXml/itemProps3.xml><?xml version="1.0" encoding="utf-8"?>
<ds:datastoreItem xmlns:ds="http://schemas.openxmlformats.org/officeDocument/2006/customXml" ds:itemID="{DFE41483-E8C2-4C07-82E5-37165984C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c7e8a-585a-4a61-b5ae-75eefa10ede3"/>
    <ds:schemaRef ds:uri="934a3ab3-bc61-4a89-8167-4e51cb550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dc:creator>
  <cp:keywords/>
  <dc:description/>
  <cp:lastModifiedBy>Gorman, N</cp:lastModifiedBy>
  <cp:revision>2</cp:revision>
  <dcterms:created xsi:type="dcterms:W3CDTF">2023-09-19T12:42:00Z</dcterms:created>
  <dcterms:modified xsi:type="dcterms:W3CDTF">2024-04-23T12:39:00Z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0x010100C572D27D2E27114C83B49F81FB598F77</vt:lpwstr>
  </property>
  <property fmtid="{D5CDD505-2E9C-101B-9397-08002B2CF9AE}" pid="3" name="Order">
    <vt:r8>8701000</vt:r8>
  </property>
  <property fmtid="{D5CDD505-2E9C-101B-9397-08002B2CF9AE}" pid="4" name="MediaServiceImageTags">
    <vt:lpwstr/>
  </property>
</Properties>
</file>