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7D54B1" w14:textId="40F8A670" w:rsidR="00E66558" w:rsidRDefault="006C08C0" w:rsidP="006C08C0">
      <w:pPr>
        <w:pStyle w:val="Heading1"/>
        <w:ind w:left="720"/>
      </w:pPr>
      <w:bookmarkStart w:id="0" w:name="_Toc400361362"/>
      <w:bookmarkStart w:id="1" w:name="_Toc443397153"/>
      <w:bookmarkStart w:id="2" w:name="_Toc357771638"/>
      <w:bookmarkStart w:id="3" w:name="_Toc346793416"/>
      <w:bookmarkStart w:id="4" w:name="_Toc328122777"/>
      <w:r w:rsidRPr="006C08C0">
        <w:rPr>
          <w:noProof/>
          <w:color w:val="FF0000"/>
        </w:rPr>
        <w:drawing>
          <wp:anchor distT="0" distB="0" distL="114300" distR="114300" simplePos="0" relativeHeight="251658240" behindDoc="1" locked="0" layoutInCell="1" allowOverlap="1" wp14:anchorId="3C9E8D3B" wp14:editId="0A80098B">
            <wp:simplePos x="0" y="0"/>
            <wp:positionH relativeFrom="column">
              <wp:posOffset>-473600</wp:posOffset>
            </wp:positionH>
            <wp:positionV relativeFrom="paragraph">
              <wp:posOffset>2678</wp:posOffset>
            </wp:positionV>
            <wp:extent cx="834887" cy="83894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row Gate Primary Academy Logo Red Circle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2808" cy="846904"/>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1" locked="0" layoutInCell="1" allowOverlap="1" wp14:anchorId="5E0D1E4F" wp14:editId="052AABD3">
            <wp:simplePos x="0" y="0"/>
            <wp:positionH relativeFrom="column">
              <wp:posOffset>5346258</wp:posOffset>
            </wp:positionH>
            <wp:positionV relativeFrom="paragraph">
              <wp:posOffset>304</wp:posOffset>
            </wp:positionV>
            <wp:extent cx="1158240" cy="640080"/>
            <wp:effectExtent l="0" t="0" r="3810" b="7620"/>
            <wp:wrapTight wrapText="bothSides">
              <wp:wrapPolygon edited="0">
                <wp:start x="0" y="0"/>
                <wp:lineTo x="0" y="21214"/>
                <wp:lineTo x="21316" y="21214"/>
                <wp:lineTo x="2131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58240" cy="640080"/>
                    </a:xfrm>
                    <a:prstGeom prst="rect">
                      <a:avLst/>
                    </a:prstGeom>
                    <a:noFill/>
                  </pic:spPr>
                </pic:pic>
              </a:graphicData>
            </a:graphic>
          </wp:anchor>
        </w:drawing>
      </w:r>
      <w:r w:rsidRPr="006C08C0">
        <w:rPr>
          <w:color w:val="FF0000"/>
        </w:rPr>
        <w:t xml:space="preserve">Harrow Gate Primary Academy               </w:t>
      </w:r>
      <w:r>
        <w:rPr>
          <w:color w:val="FF0000"/>
        </w:rPr>
        <w:t xml:space="preserve">           </w:t>
      </w:r>
      <w:r w:rsidRPr="006C08C0">
        <w:rPr>
          <w:color w:val="FF0000"/>
        </w:rPr>
        <w:t xml:space="preserve"> </w:t>
      </w:r>
      <w:r w:rsidR="009D71E8">
        <w:t>Pupil premium strategy statement</w:t>
      </w:r>
      <w:bookmarkStart w:id="5" w:name="_Toc338167830"/>
      <w:bookmarkStart w:id="6" w:name="_Toc361136403"/>
      <w:bookmarkStart w:id="7" w:name="_Toc364235708"/>
      <w:bookmarkStart w:id="8" w:name="_Toc364235752"/>
      <w:bookmarkStart w:id="9" w:name="_Toc364235834"/>
      <w:bookmarkStart w:id="10" w:name="_Toc364840099"/>
      <w:bookmarkStart w:id="11" w:name="_Toc364864309"/>
      <w:bookmarkStart w:id="12" w:name="_Toc400361364"/>
      <w:bookmarkStart w:id="13" w:name="_Toc443397154"/>
      <w:bookmarkEnd w:id="0"/>
      <w:bookmarkEnd w:id="1"/>
    </w:p>
    <w:p w14:paraId="2A7D54B2" w14:textId="2565454E" w:rsidR="00E66558" w:rsidRDefault="009D71E8">
      <w:pPr>
        <w:pStyle w:val="Heading2"/>
        <w:rPr>
          <w:b w:val="0"/>
          <w:bCs/>
          <w:color w:val="auto"/>
          <w:sz w:val="24"/>
          <w:szCs w:val="24"/>
        </w:rPr>
      </w:pPr>
      <w:r>
        <w:rPr>
          <w:b w:val="0"/>
          <w:bCs/>
          <w:color w:val="auto"/>
          <w:sz w:val="24"/>
          <w:szCs w:val="24"/>
        </w:rPr>
        <w:t>This statement details our school’s use of pupil premium (a</w:t>
      </w:r>
      <w:r w:rsidR="00945C76">
        <w:rPr>
          <w:b w:val="0"/>
          <w:bCs/>
          <w:color w:val="auto"/>
          <w:sz w:val="24"/>
          <w:szCs w:val="24"/>
        </w:rPr>
        <w:t>nd recovery premium for the 2021</w:t>
      </w:r>
      <w:r w:rsidR="004C7194">
        <w:rPr>
          <w:b w:val="0"/>
          <w:bCs/>
          <w:color w:val="auto"/>
          <w:sz w:val="24"/>
          <w:szCs w:val="24"/>
        </w:rPr>
        <w:t xml:space="preserve"> to 2023</w:t>
      </w:r>
      <w:r>
        <w:rPr>
          <w:b w:val="0"/>
          <w:bCs/>
          <w:color w:val="auto"/>
          <w:sz w:val="24"/>
          <w:szCs w:val="24"/>
        </w:rPr>
        <w:t xml:space="preserve"> academic year) funding to help improve the attainment of our disadvantaged pupils. </w:t>
      </w:r>
    </w:p>
    <w:p w14:paraId="2A7D54B3" w14:textId="77777777" w:rsidR="00E66558" w:rsidRDefault="009D71E8">
      <w:pPr>
        <w:pStyle w:val="Heading2"/>
        <w:spacing w:before="240"/>
        <w:rPr>
          <w:b w:val="0"/>
          <w:bCs/>
          <w:color w:val="auto"/>
          <w:sz w:val="24"/>
          <w:szCs w:val="24"/>
        </w:rPr>
      </w:pPr>
      <w:r>
        <w:rPr>
          <w:b w:val="0"/>
          <w:bCs/>
          <w:color w:val="auto"/>
          <w:sz w:val="24"/>
          <w:szCs w:val="24"/>
        </w:rPr>
        <w:t xml:space="preserve">It outlines our pupil premium strategy, how we intend to spend the funding in this academic year and the effect that last year’s spending of pupil premium had within our school. </w:t>
      </w:r>
    </w:p>
    <w:p w14:paraId="2A7D54B4" w14:textId="77777777" w:rsidR="00E66558" w:rsidRDefault="009D71E8">
      <w:pPr>
        <w:pStyle w:val="Heading2"/>
      </w:pPr>
      <w:r>
        <w:t>School overview</w:t>
      </w:r>
      <w:bookmarkEnd w:id="5"/>
      <w:bookmarkEnd w:id="6"/>
      <w:bookmarkEnd w:id="7"/>
      <w:bookmarkEnd w:id="8"/>
      <w:bookmarkEnd w:id="9"/>
      <w:bookmarkEnd w:id="10"/>
      <w:bookmarkEnd w:id="11"/>
      <w:bookmarkEnd w:id="12"/>
      <w:bookmarkEnd w:id="13"/>
    </w:p>
    <w:tbl>
      <w:tblPr>
        <w:tblW w:w="5000" w:type="pct"/>
        <w:tblCellMar>
          <w:left w:w="10" w:type="dxa"/>
          <w:right w:w="10" w:type="dxa"/>
        </w:tblCellMar>
        <w:tblLook w:val="04A0" w:firstRow="1" w:lastRow="0" w:firstColumn="1" w:lastColumn="0" w:noHBand="0" w:noVBand="1"/>
      </w:tblPr>
      <w:tblGrid>
        <w:gridCol w:w="6517"/>
        <w:gridCol w:w="2969"/>
      </w:tblGrid>
      <w:tr w:rsidR="00E66558" w14:paraId="2A7D54B7" w14:textId="77777777">
        <w:tc>
          <w:tcPr>
            <w:tcW w:w="651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5" w14:textId="77777777" w:rsidR="00E66558" w:rsidRDefault="009D71E8">
            <w:pPr>
              <w:pStyle w:val="TableHeader"/>
              <w:jc w:val="left"/>
            </w:pPr>
            <w:r>
              <w:t>Detail</w:t>
            </w:r>
          </w:p>
        </w:tc>
        <w:tc>
          <w:tcPr>
            <w:tcW w:w="296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B6" w14:textId="77777777" w:rsidR="00E66558" w:rsidRDefault="009D71E8">
            <w:pPr>
              <w:pStyle w:val="TableHeader"/>
              <w:jc w:val="left"/>
            </w:pPr>
            <w:r>
              <w:t>Data</w:t>
            </w:r>
          </w:p>
        </w:tc>
      </w:tr>
      <w:tr w:rsidR="00E66558" w14:paraId="2A7D54BA"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8" w14:textId="77777777" w:rsidR="00E66558" w:rsidRDefault="009D71E8">
            <w:pPr>
              <w:pStyle w:val="TableRow"/>
            </w:pPr>
            <w:r>
              <w:t>School name</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9" w14:textId="71D6971A" w:rsidR="00E66558" w:rsidRDefault="008D1F3F">
            <w:pPr>
              <w:pStyle w:val="TableRow"/>
            </w:pPr>
            <w:r>
              <w:t>Harrow Gate Primary Academy</w:t>
            </w:r>
          </w:p>
        </w:tc>
      </w:tr>
      <w:tr w:rsidR="00E66558" w14:paraId="2A7D54BD"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B" w14:textId="77777777" w:rsidR="00E66558" w:rsidRDefault="009D71E8">
            <w:pPr>
              <w:pStyle w:val="TableRow"/>
            </w:pPr>
            <w:r>
              <w:t xml:space="preserve">Number of pupils in school </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C" w14:textId="1896FAEB" w:rsidR="00E66558" w:rsidRDefault="004B125A">
            <w:pPr>
              <w:pStyle w:val="TableRow"/>
            </w:pPr>
            <w:r>
              <w:t>421</w:t>
            </w:r>
          </w:p>
        </w:tc>
      </w:tr>
      <w:tr w:rsidR="00E66558" w14:paraId="2A7D54C0"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E" w14:textId="77777777" w:rsidR="00E66558" w:rsidRDefault="009D71E8">
            <w:pPr>
              <w:pStyle w:val="TableRow"/>
            </w:pPr>
            <w:r>
              <w:t>Proportion (%) of pupil premium eligible pupils</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BF" w14:textId="68E6A190" w:rsidR="00E66558" w:rsidRDefault="00D2686E">
            <w:pPr>
              <w:pStyle w:val="TableRow"/>
            </w:pPr>
            <w:r>
              <w:t>(220) 58</w:t>
            </w:r>
            <w:r w:rsidR="00D02CAA">
              <w:t>%</w:t>
            </w:r>
          </w:p>
        </w:tc>
      </w:tr>
      <w:tr w:rsidR="00E66558" w14:paraId="2A7D54C3"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1" w14:textId="77777777" w:rsidR="00E66558" w:rsidRDefault="009D71E8">
            <w:pPr>
              <w:pStyle w:val="TableRow"/>
            </w:pPr>
            <w:r>
              <w:rPr>
                <w:szCs w:val="22"/>
              </w:rPr>
              <w:t xml:space="preserve">Academic year/years that our current pupil premium strategy plan covers </w:t>
            </w:r>
            <w:r>
              <w:rPr>
                <w:b/>
                <w:bCs/>
                <w:szCs w:val="22"/>
              </w:rPr>
              <w:t>(3 year plans are recommended)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2" w14:textId="05A2A803" w:rsidR="00E66558" w:rsidRDefault="006C08C0">
            <w:pPr>
              <w:pStyle w:val="TableRow"/>
            </w:pPr>
            <w:r>
              <w:t>2021 - 2023</w:t>
            </w:r>
          </w:p>
        </w:tc>
      </w:tr>
      <w:tr w:rsidR="00E66558" w14:paraId="2A7D54C6"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4" w14:textId="77777777" w:rsidR="00E66558" w:rsidRDefault="009D71E8">
            <w:pPr>
              <w:pStyle w:val="TableRow"/>
            </w:pPr>
            <w:r>
              <w:rPr>
                <w:szCs w:val="22"/>
              </w:rPr>
              <w:t>Date this statement was published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5" w14:textId="3966E4B7" w:rsidR="00E66558" w:rsidRDefault="00D02CAA">
            <w:pPr>
              <w:pStyle w:val="TableRow"/>
            </w:pPr>
            <w:r>
              <w:t>October 2021</w:t>
            </w:r>
          </w:p>
        </w:tc>
      </w:tr>
      <w:tr w:rsidR="00E66558" w14:paraId="2A7D54C9"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7" w14:textId="79370C5E" w:rsidR="00E66558" w:rsidRDefault="004B125A">
            <w:pPr>
              <w:pStyle w:val="TableRow"/>
            </w:pPr>
            <w:r>
              <w:rPr>
                <w:szCs w:val="22"/>
              </w:rPr>
              <w:t xml:space="preserve">Date </w:t>
            </w:r>
            <w:r w:rsidR="009D71E8">
              <w:rPr>
                <w:szCs w:val="22"/>
              </w:rPr>
              <w:t>reviewed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8" w14:textId="6752DD80" w:rsidR="00E66558" w:rsidRDefault="00D02CAA">
            <w:pPr>
              <w:pStyle w:val="TableRow"/>
            </w:pPr>
            <w:r>
              <w:t>October 2022</w:t>
            </w:r>
          </w:p>
        </w:tc>
      </w:tr>
      <w:tr w:rsidR="00E66558" w14:paraId="2A7D54CC"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A" w14:textId="77777777" w:rsidR="00E66558" w:rsidRDefault="009D71E8">
            <w:pPr>
              <w:pStyle w:val="TableRow"/>
            </w:pPr>
            <w:r>
              <w:t>Statement authorised by</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B" w14:textId="69351594" w:rsidR="00E66558" w:rsidRDefault="00D02CAA">
            <w:pPr>
              <w:pStyle w:val="TableRow"/>
            </w:pPr>
            <w:r>
              <w:t>Vicky Galt</w:t>
            </w:r>
          </w:p>
        </w:tc>
      </w:tr>
      <w:tr w:rsidR="00E66558" w14:paraId="2A7D54CF"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D" w14:textId="77777777" w:rsidR="00E66558" w:rsidRDefault="009D71E8">
            <w:pPr>
              <w:pStyle w:val="TableRow"/>
            </w:pPr>
            <w:r>
              <w:t>Pupil premium 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CE" w14:textId="21B54F66" w:rsidR="00E66558" w:rsidRDefault="00D02CAA">
            <w:pPr>
              <w:pStyle w:val="TableRow"/>
            </w:pPr>
            <w:r>
              <w:t>Vicky Galt</w:t>
            </w:r>
          </w:p>
        </w:tc>
      </w:tr>
      <w:tr w:rsidR="00E66558" w14:paraId="2A7D54D2" w14:textId="77777777">
        <w:tc>
          <w:tcPr>
            <w:tcW w:w="65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0" w14:textId="77777777" w:rsidR="00E66558" w:rsidRDefault="009D71E8">
            <w:pPr>
              <w:pStyle w:val="TableRow"/>
            </w:pPr>
            <w:r>
              <w:t xml:space="preserve">Governor </w:t>
            </w:r>
            <w:r>
              <w:rPr>
                <w:szCs w:val="22"/>
              </w:rPr>
              <w:t xml:space="preserve">/ Trustee </w:t>
            </w:r>
            <w:r>
              <w:t>lead</w:t>
            </w:r>
          </w:p>
        </w:tc>
        <w:tc>
          <w:tcPr>
            <w:tcW w:w="2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1" w14:textId="5182F1B7" w:rsidR="00E66558" w:rsidRDefault="006C08C0">
            <w:pPr>
              <w:pStyle w:val="TableRow"/>
            </w:pPr>
            <w:r>
              <w:t xml:space="preserve">Academy Improvement </w:t>
            </w:r>
            <w:r w:rsidR="00AD375C">
              <w:t>Committee</w:t>
            </w:r>
          </w:p>
        </w:tc>
      </w:tr>
    </w:tbl>
    <w:bookmarkEnd w:id="2"/>
    <w:bookmarkEnd w:id="3"/>
    <w:bookmarkEnd w:id="4"/>
    <w:p w14:paraId="2A7D54D3" w14:textId="77777777" w:rsidR="00E66558" w:rsidRDefault="009D71E8">
      <w:pPr>
        <w:spacing w:before="480" w:line="240" w:lineRule="auto"/>
        <w:rPr>
          <w:b/>
          <w:color w:val="104F75"/>
          <w:sz w:val="32"/>
          <w:szCs w:val="32"/>
        </w:rPr>
      </w:pPr>
      <w:r>
        <w:rPr>
          <w:b/>
          <w:color w:val="104F75"/>
          <w:sz w:val="32"/>
          <w:szCs w:val="32"/>
        </w:rPr>
        <w:t>Funding overview</w:t>
      </w:r>
    </w:p>
    <w:tbl>
      <w:tblPr>
        <w:tblW w:w="9486" w:type="dxa"/>
        <w:tblCellMar>
          <w:left w:w="10" w:type="dxa"/>
          <w:right w:w="10" w:type="dxa"/>
        </w:tblCellMar>
        <w:tblLook w:val="04A0" w:firstRow="1" w:lastRow="0" w:firstColumn="1" w:lastColumn="0" w:noHBand="0" w:noVBand="1"/>
      </w:tblPr>
      <w:tblGrid>
        <w:gridCol w:w="6516"/>
        <w:gridCol w:w="2970"/>
      </w:tblGrid>
      <w:tr w:rsidR="00E66558" w14:paraId="2A7D54D6"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4" w14:textId="77777777" w:rsidR="00E66558" w:rsidRDefault="009D71E8">
            <w:pPr>
              <w:pStyle w:val="TableRow"/>
            </w:pPr>
            <w:r>
              <w:rPr>
                <w:b/>
              </w:rPr>
              <w:t>Detail</w:t>
            </w:r>
          </w:p>
        </w:tc>
        <w:tc>
          <w:tcPr>
            <w:tcW w:w="2970"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vAlign w:val="center"/>
          </w:tcPr>
          <w:p w14:paraId="2A7D54D5" w14:textId="77777777" w:rsidR="00E66558" w:rsidRDefault="009D71E8">
            <w:pPr>
              <w:pStyle w:val="TableRow"/>
            </w:pPr>
            <w:r>
              <w:rPr>
                <w:b/>
              </w:rPr>
              <w:t>Amount</w:t>
            </w:r>
          </w:p>
        </w:tc>
      </w:tr>
      <w:tr w:rsidR="00E66558" w14:paraId="2A7D54D9"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7" w14:textId="05DB00FF" w:rsidR="00E66558" w:rsidRDefault="009D71E8">
            <w:pPr>
              <w:pStyle w:val="TableRow"/>
            </w:pPr>
            <w:r>
              <w:t>Pupil premium fundi</w:t>
            </w:r>
            <w:r w:rsidR="004B125A">
              <w:t>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362B9DF" w14:textId="77777777" w:rsidR="00E66558" w:rsidRDefault="009D71E8">
            <w:pPr>
              <w:pStyle w:val="TableRow"/>
            </w:pPr>
            <w:r>
              <w:t>£</w:t>
            </w:r>
            <w:r w:rsidR="00E4334A">
              <w:t>254,205</w:t>
            </w:r>
            <w:r w:rsidR="00AF23B7">
              <w:t xml:space="preserve"> (2021 – 2022)</w:t>
            </w:r>
          </w:p>
          <w:p w14:paraId="2A7D54D8" w14:textId="3C07065F" w:rsidR="00AF23B7" w:rsidRDefault="00AF23B7">
            <w:pPr>
              <w:pStyle w:val="TableRow"/>
            </w:pPr>
            <w:r>
              <w:t>£250,020 (2022 – 2023)</w:t>
            </w:r>
          </w:p>
        </w:tc>
      </w:tr>
      <w:tr w:rsidR="00E66558" w14:paraId="2A7D54DC"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A" w14:textId="77777777" w:rsidR="00E66558" w:rsidRDefault="009D71E8">
            <w:pPr>
              <w:pStyle w:val="TableRow"/>
            </w:pPr>
            <w:r>
              <w:t>Recovery premium funding allocation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08051B" w14:textId="769A4BF7" w:rsidR="00E66558" w:rsidRDefault="009D71E8">
            <w:pPr>
              <w:pStyle w:val="TableRow"/>
              <w:rPr>
                <w:color w:val="FF0000"/>
              </w:rPr>
            </w:pPr>
            <w:r w:rsidRPr="00305205">
              <w:rPr>
                <w:color w:val="FF0000"/>
              </w:rPr>
              <w:t>£</w:t>
            </w:r>
            <w:r w:rsidR="00A66E9B">
              <w:rPr>
                <w:color w:val="FF0000"/>
              </w:rPr>
              <w:t>25,992</w:t>
            </w:r>
            <w:r w:rsidR="00AF23B7">
              <w:rPr>
                <w:color w:val="FF0000"/>
              </w:rPr>
              <w:t xml:space="preserve"> (2021 – 2022)</w:t>
            </w:r>
          </w:p>
          <w:p w14:paraId="2A7D54DB" w14:textId="003DC1CB" w:rsidR="00AF23B7" w:rsidRDefault="00D2686E" w:rsidP="00D2686E">
            <w:pPr>
              <w:pStyle w:val="TableRow"/>
              <w:ind w:left="0"/>
            </w:pPr>
            <w:r>
              <w:t>£26,100</w:t>
            </w:r>
            <w:r w:rsidR="00A66E9B">
              <w:t xml:space="preserve"> (2022 – 2023)</w:t>
            </w:r>
          </w:p>
        </w:tc>
      </w:tr>
      <w:tr w:rsidR="00E66558" w14:paraId="2A7D54DF" w14:textId="77777777">
        <w:trPr>
          <w:trHeight w:val="374"/>
        </w:trPr>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D54DD" w14:textId="77777777" w:rsidR="00E66558" w:rsidRDefault="009D71E8">
            <w:pPr>
              <w:pStyle w:val="TableRow"/>
            </w:pPr>
            <w:r>
              <w:t>Pupil premium funding carried forward from previous years (enter £0 if not applicable)</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DE" w14:textId="2E65E0E1" w:rsidR="00E66558" w:rsidRDefault="009D71E8">
            <w:pPr>
              <w:pStyle w:val="TableRow"/>
            </w:pPr>
            <w:r>
              <w:t>£</w:t>
            </w:r>
            <w:r w:rsidR="00A733A5">
              <w:t>0</w:t>
            </w:r>
          </w:p>
        </w:tc>
      </w:tr>
      <w:tr w:rsidR="00E66558" w14:paraId="2A7D54E3" w14:textId="77777777">
        <w:tc>
          <w:tcPr>
            <w:tcW w:w="65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0" w14:textId="77777777" w:rsidR="00E66558" w:rsidRDefault="009D71E8">
            <w:pPr>
              <w:pStyle w:val="TableRow"/>
              <w:rPr>
                <w:b/>
              </w:rPr>
            </w:pPr>
            <w:r>
              <w:rPr>
                <w:b/>
              </w:rPr>
              <w:t>Total budget for this academic year</w:t>
            </w:r>
          </w:p>
          <w:p w14:paraId="2A7D54E1" w14:textId="77777777" w:rsidR="00E66558" w:rsidRDefault="009D71E8">
            <w:pPr>
              <w:pStyle w:val="TableRow"/>
            </w:pPr>
            <w:r>
              <w:t>If your school is an academy in a trust that pools this funding, state the amount available to your school this academic year</w:t>
            </w:r>
          </w:p>
        </w:tc>
        <w:tc>
          <w:tcPr>
            <w:tcW w:w="29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E2" w14:textId="0914DB8B" w:rsidR="00E66558" w:rsidRDefault="00231AC0" w:rsidP="00A66E9B">
            <w:pPr>
              <w:pStyle w:val="TableRow"/>
            </w:pPr>
            <w:r>
              <w:t>£</w:t>
            </w:r>
            <w:r w:rsidR="00A66E9B">
              <w:t>276,120</w:t>
            </w:r>
          </w:p>
        </w:tc>
      </w:tr>
    </w:tbl>
    <w:p w14:paraId="2A7D54E4" w14:textId="77777777" w:rsidR="00E66558" w:rsidRDefault="009D71E8">
      <w:pPr>
        <w:pStyle w:val="Heading1"/>
      </w:pPr>
      <w:r>
        <w:lastRenderedPageBreak/>
        <w:t>Part A: Pupil premium strategy plan</w:t>
      </w:r>
    </w:p>
    <w:p w14:paraId="2A7D54E5" w14:textId="77777777" w:rsidR="00E66558" w:rsidRDefault="009D71E8">
      <w:pPr>
        <w:pStyle w:val="Heading2"/>
      </w:pPr>
      <w:bookmarkStart w:id="14" w:name="_Toc357771640"/>
      <w:bookmarkStart w:id="15" w:name="_Toc346793418"/>
      <w:r>
        <w:t>Statement of intent</w:t>
      </w:r>
    </w:p>
    <w:tbl>
      <w:tblPr>
        <w:tblW w:w="9486" w:type="dxa"/>
        <w:tblCellMar>
          <w:left w:w="10" w:type="dxa"/>
          <w:right w:w="10" w:type="dxa"/>
        </w:tblCellMar>
        <w:tblLook w:val="04A0" w:firstRow="1" w:lastRow="0" w:firstColumn="1" w:lastColumn="0" w:noHBand="0" w:noVBand="1"/>
      </w:tblPr>
      <w:tblGrid>
        <w:gridCol w:w="9486"/>
      </w:tblGrid>
      <w:tr w:rsidR="00E66558" w14:paraId="2A7D54EA" w14:textId="77777777">
        <w:tc>
          <w:tcPr>
            <w:tcW w:w="948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85530C" w14:textId="77777777" w:rsidR="00E66558" w:rsidRPr="0000578A" w:rsidRDefault="007E6EC0" w:rsidP="007E6EC0">
            <w:pPr>
              <w:spacing w:after="0"/>
              <w:rPr>
                <w:iCs/>
                <w:sz w:val="18"/>
              </w:rPr>
            </w:pPr>
            <w:r w:rsidRPr="0000578A">
              <w:rPr>
                <w:iCs/>
                <w:sz w:val="18"/>
              </w:rPr>
              <w:t xml:space="preserve">All members of staff accept responsibility for ‘socially disadvantaged’ pupils and are committed to meeting their pastoral, social and academic needs within a caring and nurturing environment. We strive for each child to develop a love for learning and acquire skills and abilities commensurate with fulfilling their potential. </w:t>
            </w:r>
          </w:p>
          <w:p w14:paraId="6AB18A15" w14:textId="03EB56D9" w:rsidR="007E6EC0" w:rsidRPr="0000578A" w:rsidRDefault="007E6EC0" w:rsidP="007E6EC0">
            <w:pPr>
              <w:spacing w:after="0"/>
              <w:rPr>
                <w:iCs/>
                <w:sz w:val="18"/>
              </w:rPr>
            </w:pPr>
            <w:r w:rsidRPr="0000578A">
              <w:rPr>
                <w:iCs/>
                <w:sz w:val="18"/>
              </w:rPr>
              <w:t>In order to be highly successful in improving achievement for the children eligible for pupil premium, the staff at Harrow Gate Primary Academy:</w:t>
            </w:r>
          </w:p>
          <w:p w14:paraId="2115077B" w14:textId="62A64C9E" w:rsidR="007E6EC0" w:rsidRPr="0000578A" w:rsidRDefault="007E6EC0" w:rsidP="009C4D71">
            <w:pPr>
              <w:pStyle w:val="ListParagraph"/>
              <w:numPr>
                <w:ilvl w:val="0"/>
                <w:numId w:val="14"/>
              </w:numPr>
              <w:spacing w:after="0"/>
              <w:rPr>
                <w:iCs/>
                <w:sz w:val="18"/>
              </w:rPr>
            </w:pPr>
            <w:r w:rsidRPr="0000578A">
              <w:rPr>
                <w:iCs/>
                <w:sz w:val="18"/>
              </w:rPr>
              <w:t>Carefully ring-fence the funding so that it is always spent on the targeted group of pupils.</w:t>
            </w:r>
          </w:p>
          <w:p w14:paraId="4DA2E97D" w14:textId="38986860" w:rsidR="007E6EC0" w:rsidRPr="0000578A" w:rsidRDefault="007E6EC0" w:rsidP="009C4D71">
            <w:pPr>
              <w:pStyle w:val="ListParagraph"/>
              <w:numPr>
                <w:ilvl w:val="0"/>
                <w:numId w:val="14"/>
              </w:numPr>
              <w:spacing w:after="0"/>
              <w:rPr>
                <w:iCs/>
                <w:sz w:val="18"/>
              </w:rPr>
            </w:pPr>
            <w:r w:rsidRPr="0000578A">
              <w:rPr>
                <w:iCs/>
                <w:sz w:val="18"/>
              </w:rPr>
              <w:t>Never confuse eligibility for the Pupil Premium with low ability, and focus on supporting our disadvantaged pupils to achieve the highest levels.</w:t>
            </w:r>
          </w:p>
          <w:p w14:paraId="37425EEF" w14:textId="5A7F7EC9" w:rsidR="007E6EC0" w:rsidRPr="0000578A" w:rsidRDefault="007E6EC0" w:rsidP="009C4D71">
            <w:pPr>
              <w:pStyle w:val="ListParagraph"/>
              <w:numPr>
                <w:ilvl w:val="0"/>
                <w:numId w:val="14"/>
              </w:numPr>
              <w:spacing w:after="0"/>
              <w:rPr>
                <w:iCs/>
                <w:sz w:val="18"/>
              </w:rPr>
            </w:pPr>
            <w:r w:rsidRPr="0000578A">
              <w:rPr>
                <w:iCs/>
                <w:sz w:val="18"/>
              </w:rPr>
              <w:t>Thoroughly analyse which pupils were underachieving, particularly in English and Mathematics, and why.</w:t>
            </w:r>
          </w:p>
          <w:p w14:paraId="43E3F266" w14:textId="7D076F75" w:rsidR="007E6EC0" w:rsidRPr="0000578A" w:rsidRDefault="007E6EC0" w:rsidP="009C4D71">
            <w:pPr>
              <w:pStyle w:val="ListParagraph"/>
              <w:numPr>
                <w:ilvl w:val="0"/>
                <w:numId w:val="14"/>
              </w:numPr>
              <w:spacing w:after="0"/>
              <w:rPr>
                <w:iCs/>
                <w:sz w:val="18"/>
              </w:rPr>
            </w:pPr>
            <w:r w:rsidRPr="0000578A">
              <w:rPr>
                <w:iCs/>
                <w:sz w:val="18"/>
              </w:rPr>
              <w:t>Draw on research evidence (EEF</w:t>
            </w:r>
            <w:r w:rsidR="00E4334A" w:rsidRPr="0000578A">
              <w:rPr>
                <w:iCs/>
                <w:sz w:val="18"/>
              </w:rPr>
              <w:t xml:space="preserve"> / Sutton Trust</w:t>
            </w:r>
            <w:r w:rsidRPr="0000578A">
              <w:rPr>
                <w:iCs/>
                <w:sz w:val="18"/>
              </w:rPr>
              <w:t>) and evidence from our own and others’ experiences to allocate the funding to the activities that were most likely to have significant impact on improving achievement.</w:t>
            </w:r>
          </w:p>
          <w:p w14:paraId="2D2306F3" w14:textId="65FF6C59" w:rsidR="007E6EC0" w:rsidRPr="0000578A" w:rsidRDefault="007E6EC0" w:rsidP="009C4D71">
            <w:pPr>
              <w:pStyle w:val="ListParagraph"/>
              <w:numPr>
                <w:ilvl w:val="0"/>
                <w:numId w:val="14"/>
              </w:numPr>
              <w:spacing w:after="0"/>
              <w:rPr>
                <w:iCs/>
                <w:sz w:val="18"/>
              </w:rPr>
            </w:pPr>
            <w:r w:rsidRPr="0000578A">
              <w:rPr>
                <w:iCs/>
                <w:sz w:val="18"/>
              </w:rPr>
              <w:t>Are very clear about the importance of ensuring that all day-to-day teaching meets the needs of each learner, rather than relying on interventions to compensate for teaching that is less than good. Quality First Teaching is paramount.</w:t>
            </w:r>
          </w:p>
          <w:p w14:paraId="0D56B01D" w14:textId="7D11B430" w:rsidR="007E6EC0" w:rsidRPr="0000578A" w:rsidRDefault="007E6EC0" w:rsidP="009C4D71">
            <w:pPr>
              <w:pStyle w:val="ListParagraph"/>
              <w:numPr>
                <w:ilvl w:val="0"/>
                <w:numId w:val="14"/>
              </w:numPr>
              <w:spacing w:after="0"/>
              <w:rPr>
                <w:iCs/>
                <w:sz w:val="18"/>
              </w:rPr>
            </w:pPr>
            <w:r w:rsidRPr="0000578A">
              <w:rPr>
                <w:iCs/>
                <w:sz w:val="18"/>
              </w:rPr>
              <w:t xml:space="preserve">Allocate their best </w:t>
            </w:r>
            <w:r w:rsidR="00E4334A" w:rsidRPr="0000578A">
              <w:rPr>
                <w:iCs/>
                <w:sz w:val="18"/>
              </w:rPr>
              <w:t>staff</w:t>
            </w:r>
            <w:r w:rsidRPr="0000578A">
              <w:rPr>
                <w:iCs/>
                <w:sz w:val="18"/>
              </w:rPr>
              <w:t xml:space="preserve"> to teach interventio</w:t>
            </w:r>
            <w:r w:rsidR="009C4D71" w:rsidRPr="0000578A">
              <w:rPr>
                <w:iCs/>
                <w:sz w:val="18"/>
              </w:rPr>
              <w:t xml:space="preserve">n groups to improve Mathematics </w:t>
            </w:r>
            <w:r w:rsidRPr="0000578A">
              <w:rPr>
                <w:iCs/>
                <w:sz w:val="18"/>
              </w:rPr>
              <w:t>and English.</w:t>
            </w:r>
          </w:p>
          <w:p w14:paraId="28376454" w14:textId="5DD315B4" w:rsidR="009C4D71" w:rsidRPr="0000578A" w:rsidRDefault="007E6EC0" w:rsidP="009C4D71">
            <w:pPr>
              <w:pStyle w:val="ListParagraph"/>
              <w:numPr>
                <w:ilvl w:val="0"/>
                <w:numId w:val="14"/>
              </w:numPr>
              <w:spacing w:after="0"/>
              <w:rPr>
                <w:iCs/>
                <w:sz w:val="18"/>
              </w:rPr>
            </w:pPr>
            <w:r w:rsidRPr="0000578A">
              <w:rPr>
                <w:iCs/>
                <w:sz w:val="18"/>
              </w:rPr>
              <w:t xml:space="preserve">Use data frequently to check whether </w:t>
            </w:r>
            <w:r w:rsidR="009C4D71" w:rsidRPr="0000578A">
              <w:rPr>
                <w:iCs/>
                <w:sz w:val="18"/>
              </w:rPr>
              <w:t xml:space="preserve">interventions or strategies are </w:t>
            </w:r>
            <w:r w:rsidRPr="0000578A">
              <w:rPr>
                <w:iCs/>
                <w:sz w:val="18"/>
              </w:rPr>
              <w:t>working and make adjustments accordin</w:t>
            </w:r>
            <w:r w:rsidR="009C4D71" w:rsidRPr="0000578A">
              <w:rPr>
                <w:iCs/>
                <w:sz w:val="18"/>
              </w:rPr>
              <w:t xml:space="preserve">gly, rather than using the data </w:t>
            </w:r>
            <w:r w:rsidRPr="0000578A">
              <w:rPr>
                <w:iCs/>
                <w:sz w:val="18"/>
              </w:rPr>
              <w:t xml:space="preserve">retrospectively </w:t>
            </w:r>
            <w:r w:rsidR="009C4D71" w:rsidRPr="0000578A">
              <w:rPr>
                <w:iCs/>
                <w:sz w:val="18"/>
              </w:rPr>
              <w:t>to see if something has worked.</w:t>
            </w:r>
          </w:p>
          <w:p w14:paraId="1DBBCD3C" w14:textId="310B5191" w:rsidR="007E6EC0" w:rsidRPr="0000578A" w:rsidRDefault="007E6EC0" w:rsidP="009C4D71">
            <w:pPr>
              <w:pStyle w:val="ListParagraph"/>
              <w:numPr>
                <w:ilvl w:val="0"/>
                <w:numId w:val="14"/>
              </w:numPr>
              <w:spacing w:after="0"/>
              <w:rPr>
                <w:iCs/>
                <w:sz w:val="18"/>
              </w:rPr>
            </w:pPr>
            <w:r w:rsidRPr="0000578A">
              <w:rPr>
                <w:iCs/>
                <w:sz w:val="18"/>
              </w:rPr>
              <w:t>Make sure that support staff, particularly teaching assista</w:t>
            </w:r>
            <w:r w:rsidR="009C4D71" w:rsidRPr="0000578A">
              <w:rPr>
                <w:iCs/>
                <w:sz w:val="18"/>
              </w:rPr>
              <w:t xml:space="preserve">nts, are highly trained and </w:t>
            </w:r>
            <w:r w:rsidRPr="0000578A">
              <w:rPr>
                <w:iCs/>
                <w:sz w:val="18"/>
              </w:rPr>
              <w:t>understand their role in helping pupils to achieve.</w:t>
            </w:r>
          </w:p>
          <w:p w14:paraId="1B5C38FE" w14:textId="139697F1" w:rsidR="007E6EC0" w:rsidRPr="0000578A" w:rsidRDefault="007E6EC0" w:rsidP="009C4D71">
            <w:pPr>
              <w:pStyle w:val="ListParagraph"/>
              <w:numPr>
                <w:ilvl w:val="0"/>
                <w:numId w:val="14"/>
              </w:numPr>
              <w:spacing w:after="0"/>
              <w:rPr>
                <w:iCs/>
                <w:sz w:val="18"/>
              </w:rPr>
            </w:pPr>
            <w:r w:rsidRPr="0000578A">
              <w:rPr>
                <w:iCs/>
                <w:sz w:val="18"/>
              </w:rPr>
              <w:t>Systematically focus on giving pupils clear, useful</w:t>
            </w:r>
            <w:r w:rsidR="009C4D71" w:rsidRPr="0000578A">
              <w:rPr>
                <w:iCs/>
                <w:sz w:val="18"/>
              </w:rPr>
              <w:t xml:space="preserve"> feedback about their work, and </w:t>
            </w:r>
            <w:r w:rsidRPr="0000578A">
              <w:rPr>
                <w:iCs/>
                <w:sz w:val="18"/>
              </w:rPr>
              <w:t>ways that they could improve it. (AFL)</w:t>
            </w:r>
          </w:p>
          <w:p w14:paraId="6168A299" w14:textId="12A2A8C7" w:rsidR="007E6EC0" w:rsidRPr="0000578A" w:rsidRDefault="007E6EC0" w:rsidP="009C4D71">
            <w:pPr>
              <w:pStyle w:val="ListParagraph"/>
              <w:numPr>
                <w:ilvl w:val="0"/>
                <w:numId w:val="14"/>
              </w:numPr>
              <w:spacing w:after="0"/>
              <w:rPr>
                <w:iCs/>
                <w:sz w:val="18"/>
              </w:rPr>
            </w:pPr>
            <w:r w:rsidRPr="0000578A">
              <w:rPr>
                <w:iCs/>
                <w:sz w:val="18"/>
              </w:rPr>
              <w:t>Ensure that the Senior Leadership Team has a clear</w:t>
            </w:r>
            <w:r w:rsidR="00E4334A" w:rsidRPr="0000578A">
              <w:rPr>
                <w:iCs/>
                <w:sz w:val="18"/>
              </w:rPr>
              <w:t xml:space="preserve"> overview of how </w:t>
            </w:r>
            <w:r w:rsidR="009C4D71" w:rsidRPr="0000578A">
              <w:rPr>
                <w:iCs/>
                <w:sz w:val="18"/>
              </w:rPr>
              <w:t>funding is</w:t>
            </w:r>
            <w:r w:rsidR="00E4334A" w:rsidRPr="0000578A">
              <w:rPr>
                <w:iCs/>
                <w:sz w:val="18"/>
              </w:rPr>
              <w:t xml:space="preserve"> </w:t>
            </w:r>
            <w:r w:rsidRPr="0000578A">
              <w:rPr>
                <w:iCs/>
                <w:sz w:val="18"/>
              </w:rPr>
              <w:t>allocated and the difference it is making to the outcomes for pupils.</w:t>
            </w:r>
          </w:p>
          <w:p w14:paraId="63113FA8" w14:textId="5102DC34" w:rsidR="007E6EC0" w:rsidRPr="0000578A" w:rsidRDefault="007E6EC0" w:rsidP="00E4334A">
            <w:pPr>
              <w:pStyle w:val="ListParagraph"/>
              <w:numPr>
                <w:ilvl w:val="0"/>
                <w:numId w:val="14"/>
              </w:numPr>
              <w:spacing w:after="0"/>
              <w:rPr>
                <w:iCs/>
                <w:sz w:val="18"/>
              </w:rPr>
            </w:pPr>
            <w:r w:rsidRPr="0000578A">
              <w:rPr>
                <w:iCs/>
                <w:sz w:val="18"/>
              </w:rPr>
              <w:t>Ensure that class and subject teachers know which pupils are eligible for the Pupil</w:t>
            </w:r>
            <w:r w:rsidR="00E4334A" w:rsidRPr="0000578A">
              <w:rPr>
                <w:iCs/>
                <w:sz w:val="18"/>
              </w:rPr>
              <w:t xml:space="preserve"> </w:t>
            </w:r>
            <w:r w:rsidRPr="0000578A">
              <w:rPr>
                <w:iCs/>
                <w:sz w:val="18"/>
              </w:rPr>
              <w:t>Premium so that they can take responsibility for ac</w:t>
            </w:r>
            <w:r w:rsidR="009C4D71" w:rsidRPr="0000578A">
              <w:rPr>
                <w:iCs/>
                <w:sz w:val="18"/>
              </w:rPr>
              <w:t xml:space="preserve">celerating their progress. This </w:t>
            </w:r>
            <w:r w:rsidRPr="0000578A">
              <w:rPr>
                <w:iCs/>
                <w:sz w:val="18"/>
              </w:rPr>
              <w:t>also applies to teaching assistants.</w:t>
            </w:r>
          </w:p>
          <w:p w14:paraId="0DADDE2D" w14:textId="0EB75A90" w:rsidR="007E6EC0" w:rsidRPr="0000578A" w:rsidRDefault="007E6EC0" w:rsidP="009C4D71">
            <w:pPr>
              <w:pStyle w:val="ListParagraph"/>
              <w:numPr>
                <w:ilvl w:val="0"/>
                <w:numId w:val="14"/>
              </w:numPr>
              <w:spacing w:after="0"/>
              <w:rPr>
                <w:iCs/>
                <w:sz w:val="18"/>
              </w:rPr>
            </w:pPr>
            <w:r w:rsidRPr="0000578A">
              <w:rPr>
                <w:iCs/>
                <w:sz w:val="18"/>
              </w:rPr>
              <w:t>Provide well-targeted support to improve atte</w:t>
            </w:r>
            <w:r w:rsidR="009C4D71" w:rsidRPr="0000578A">
              <w:rPr>
                <w:iCs/>
                <w:sz w:val="18"/>
              </w:rPr>
              <w:t xml:space="preserve">ndance, behaviour or links with </w:t>
            </w:r>
            <w:r w:rsidRPr="0000578A">
              <w:rPr>
                <w:iCs/>
                <w:sz w:val="18"/>
              </w:rPr>
              <w:t>families where these were barriers to a pupil’s learning.</w:t>
            </w:r>
          </w:p>
          <w:p w14:paraId="2A7D54E9" w14:textId="3C70146E" w:rsidR="007E6EC0" w:rsidRPr="009C4D71" w:rsidRDefault="007E6EC0" w:rsidP="009C4D71">
            <w:pPr>
              <w:pStyle w:val="ListParagraph"/>
              <w:numPr>
                <w:ilvl w:val="0"/>
                <w:numId w:val="14"/>
              </w:numPr>
              <w:spacing w:after="0"/>
              <w:rPr>
                <w:iCs/>
              </w:rPr>
            </w:pPr>
            <w:r w:rsidRPr="0000578A">
              <w:rPr>
                <w:iCs/>
                <w:sz w:val="18"/>
              </w:rPr>
              <w:t>Are able, through careful monitoring and evaluation, to demonstrate the impact of</w:t>
            </w:r>
            <w:r w:rsidR="009C4D71" w:rsidRPr="0000578A">
              <w:rPr>
                <w:iCs/>
                <w:sz w:val="18"/>
              </w:rPr>
              <w:t xml:space="preserve"> </w:t>
            </w:r>
            <w:r w:rsidRPr="0000578A">
              <w:rPr>
                <w:iCs/>
                <w:sz w:val="18"/>
              </w:rPr>
              <w:t>each aspect of their spending on the outcomes for pupils</w:t>
            </w:r>
          </w:p>
        </w:tc>
      </w:tr>
    </w:tbl>
    <w:p w14:paraId="2A7D54EB" w14:textId="77777777" w:rsidR="00E66558" w:rsidRDefault="009D71E8">
      <w:pPr>
        <w:pStyle w:val="Heading2"/>
        <w:spacing w:before="600"/>
      </w:pPr>
      <w:r>
        <w:t>Challenges</w:t>
      </w:r>
    </w:p>
    <w:p w14:paraId="2A7D54EC" w14:textId="77777777" w:rsidR="00E66558" w:rsidRDefault="009D71E8">
      <w:pPr>
        <w:spacing w:before="120" w:line="240" w:lineRule="auto"/>
        <w:textAlignment w:val="baseline"/>
        <w:outlineLvl w:val="0"/>
      </w:pPr>
      <w:r>
        <w:rPr>
          <w:bCs/>
          <w:color w:val="auto"/>
        </w:rPr>
        <w:t>This details</w:t>
      </w:r>
      <w:r>
        <w:rPr>
          <w:color w:val="auto"/>
        </w:rPr>
        <w:t xml:space="preserve"> the key</w:t>
      </w:r>
      <w:r>
        <w:rPr>
          <w:bCs/>
          <w:color w:val="auto"/>
        </w:rPr>
        <w:t xml:space="preserve"> </w:t>
      </w:r>
      <w:r>
        <w:rPr>
          <w:color w:val="auto"/>
        </w:rPr>
        <w:t xml:space="preserve">challenges to </w:t>
      </w:r>
      <w:r>
        <w:rPr>
          <w:bCs/>
          <w:color w:val="auto"/>
        </w:rPr>
        <w:t>achievement that we have</w:t>
      </w:r>
      <w:r>
        <w:rPr>
          <w:color w:val="auto"/>
        </w:rPr>
        <w:t xml:space="preserve"> identified among </w:t>
      </w:r>
      <w:r>
        <w:rPr>
          <w:bCs/>
          <w:color w:val="auto"/>
        </w:rPr>
        <w:t>our</w:t>
      </w:r>
      <w:r>
        <w:rPr>
          <w:color w:val="auto"/>
        </w:rPr>
        <w:t xml:space="preserve"> disadvantaged pupils.</w:t>
      </w:r>
    </w:p>
    <w:tbl>
      <w:tblPr>
        <w:tblW w:w="5000" w:type="pct"/>
        <w:tblCellMar>
          <w:left w:w="10" w:type="dxa"/>
          <w:right w:w="10" w:type="dxa"/>
        </w:tblCellMar>
        <w:tblLook w:val="04A0" w:firstRow="1" w:lastRow="0" w:firstColumn="1" w:lastColumn="0" w:noHBand="0" w:noVBand="1"/>
      </w:tblPr>
      <w:tblGrid>
        <w:gridCol w:w="1477"/>
        <w:gridCol w:w="8009"/>
      </w:tblGrid>
      <w:tr w:rsidR="00E66558" w14:paraId="2A7D54EF" w14:textId="77777777">
        <w:tc>
          <w:tcPr>
            <w:tcW w:w="1477"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D" w14:textId="77777777" w:rsidR="00E66558" w:rsidRDefault="009D71E8">
            <w:pPr>
              <w:pStyle w:val="TableHeader"/>
              <w:jc w:val="left"/>
            </w:pPr>
            <w:r>
              <w:t>Challenge number</w:t>
            </w:r>
          </w:p>
        </w:tc>
        <w:tc>
          <w:tcPr>
            <w:tcW w:w="800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4EE" w14:textId="77777777" w:rsidR="00E66558" w:rsidRDefault="009D71E8">
            <w:pPr>
              <w:pStyle w:val="TableHeader"/>
              <w:jc w:val="left"/>
            </w:pPr>
            <w:r>
              <w:t xml:space="preserve">Detail of challenge </w:t>
            </w:r>
          </w:p>
        </w:tc>
      </w:tr>
      <w:tr w:rsidR="00E66558" w14:paraId="2A7D54F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0" w14:textId="77777777" w:rsidR="00E66558" w:rsidRDefault="009D71E8">
            <w:pPr>
              <w:pStyle w:val="TableRow"/>
              <w:rPr>
                <w:sz w:val="22"/>
                <w:szCs w:val="22"/>
              </w:rPr>
            </w:pPr>
            <w:r>
              <w:rPr>
                <w:sz w:val="22"/>
                <w:szCs w:val="22"/>
              </w:rPr>
              <w:t>1</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1" w14:textId="67097A3C" w:rsidR="00E66558" w:rsidRPr="00993300" w:rsidRDefault="00CF2774">
            <w:pPr>
              <w:pStyle w:val="TableRowCentered"/>
              <w:jc w:val="left"/>
            </w:pPr>
            <w:r w:rsidRPr="00CF2774">
              <w:rPr>
                <w:sz w:val="22"/>
              </w:rPr>
              <w:t>Attainment in Reading, Writing and Maths on entry and exit, in all areas of school, is below their peers</w:t>
            </w:r>
          </w:p>
        </w:tc>
      </w:tr>
      <w:tr w:rsidR="00E66558" w14:paraId="2A7D54F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3" w14:textId="77777777" w:rsidR="00E66558" w:rsidRDefault="009D71E8">
            <w:pPr>
              <w:pStyle w:val="TableRow"/>
              <w:rPr>
                <w:sz w:val="22"/>
                <w:szCs w:val="22"/>
              </w:rPr>
            </w:pPr>
            <w:r>
              <w:rPr>
                <w:sz w:val="22"/>
                <w:szCs w:val="22"/>
              </w:rPr>
              <w:t>2</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4" w14:textId="49ED0306" w:rsidR="00E66558" w:rsidRDefault="00CF2774">
            <w:pPr>
              <w:pStyle w:val="TableRowCentered"/>
              <w:jc w:val="left"/>
              <w:rPr>
                <w:sz w:val="22"/>
                <w:szCs w:val="22"/>
              </w:rPr>
            </w:pPr>
            <w:r>
              <w:rPr>
                <w:sz w:val="22"/>
                <w:szCs w:val="22"/>
              </w:rPr>
              <w:t>Reading difficulties are a barrier to all learning</w:t>
            </w:r>
          </w:p>
        </w:tc>
      </w:tr>
      <w:tr w:rsidR="00E66558" w14:paraId="2A7D54F8"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6" w14:textId="77777777" w:rsidR="00E66558" w:rsidRDefault="009D71E8">
            <w:pPr>
              <w:pStyle w:val="TableRow"/>
              <w:rPr>
                <w:sz w:val="22"/>
                <w:szCs w:val="22"/>
              </w:rPr>
            </w:pPr>
            <w:r>
              <w:rPr>
                <w:sz w:val="22"/>
                <w:szCs w:val="22"/>
              </w:rPr>
              <w:t>3</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7" w14:textId="51954304" w:rsidR="00E66558" w:rsidRDefault="00CF2774">
            <w:pPr>
              <w:pStyle w:val="TableRowCentered"/>
              <w:jc w:val="left"/>
              <w:rPr>
                <w:sz w:val="22"/>
                <w:szCs w:val="22"/>
              </w:rPr>
            </w:pPr>
            <w:r>
              <w:rPr>
                <w:sz w:val="22"/>
                <w:szCs w:val="22"/>
              </w:rPr>
              <w:t xml:space="preserve">Oral, speech and language difficulties </w:t>
            </w:r>
          </w:p>
        </w:tc>
      </w:tr>
      <w:tr w:rsidR="00E66558" w14:paraId="2A7D54FB"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9" w14:textId="77777777" w:rsidR="00E66558" w:rsidRDefault="009D71E8">
            <w:pPr>
              <w:pStyle w:val="TableRow"/>
              <w:rPr>
                <w:sz w:val="22"/>
                <w:szCs w:val="22"/>
              </w:rPr>
            </w:pPr>
            <w:r>
              <w:rPr>
                <w:sz w:val="22"/>
                <w:szCs w:val="22"/>
              </w:rPr>
              <w:t>4</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A" w14:textId="186606FE" w:rsidR="00E66558" w:rsidRDefault="00CF2774">
            <w:pPr>
              <w:pStyle w:val="TableRowCentered"/>
              <w:jc w:val="left"/>
              <w:rPr>
                <w:iCs/>
                <w:sz w:val="22"/>
              </w:rPr>
            </w:pPr>
            <w:r>
              <w:rPr>
                <w:iCs/>
                <w:sz w:val="22"/>
              </w:rPr>
              <w:t>Higher proportion of significant SEND needs</w:t>
            </w:r>
          </w:p>
        </w:tc>
      </w:tr>
      <w:tr w:rsidR="00E66558" w14:paraId="2A7D54FE"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C" w14:textId="77777777" w:rsidR="00E66558" w:rsidRDefault="009D71E8">
            <w:pPr>
              <w:pStyle w:val="TableRow"/>
              <w:rPr>
                <w:sz w:val="22"/>
                <w:szCs w:val="22"/>
              </w:rPr>
            </w:pPr>
            <w:bookmarkStart w:id="16" w:name="_Toc443397160"/>
            <w:r>
              <w:rPr>
                <w:sz w:val="22"/>
                <w:szCs w:val="22"/>
              </w:rPr>
              <w:t>5</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4FD" w14:textId="7096DC67" w:rsidR="00E66558" w:rsidRDefault="00CF2774">
            <w:pPr>
              <w:pStyle w:val="TableRowCentered"/>
              <w:jc w:val="left"/>
              <w:rPr>
                <w:iCs/>
                <w:sz w:val="22"/>
              </w:rPr>
            </w:pPr>
            <w:r>
              <w:rPr>
                <w:iCs/>
                <w:sz w:val="22"/>
              </w:rPr>
              <w:t>Complex backgrounds leading to SEMH difficulties</w:t>
            </w:r>
          </w:p>
        </w:tc>
      </w:tr>
      <w:tr w:rsidR="00202CDE" w14:paraId="2BB34F05"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BE794A" w14:textId="15FB73F0" w:rsidR="00202CDE" w:rsidRDefault="00202CDE">
            <w:pPr>
              <w:pStyle w:val="TableRow"/>
              <w:rPr>
                <w:sz w:val="22"/>
                <w:szCs w:val="22"/>
              </w:rPr>
            </w:pPr>
            <w:r>
              <w:rPr>
                <w:sz w:val="22"/>
                <w:szCs w:val="22"/>
              </w:rPr>
              <w:t>6</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3FDAA3" w14:textId="6F831D72" w:rsidR="00202CDE" w:rsidRDefault="00CF2774">
            <w:pPr>
              <w:pStyle w:val="TableRowCentered"/>
              <w:jc w:val="left"/>
              <w:rPr>
                <w:iCs/>
                <w:sz w:val="22"/>
              </w:rPr>
            </w:pPr>
            <w:r>
              <w:rPr>
                <w:iCs/>
                <w:sz w:val="22"/>
              </w:rPr>
              <w:t>Social service involvement and concerns around safeguarding</w:t>
            </w:r>
          </w:p>
        </w:tc>
      </w:tr>
      <w:tr w:rsidR="00CF2774" w14:paraId="486A6EC2" w14:textId="77777777">
        <w:tc>
          <w:tcPr>
            <w:tcW w:w="147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6BB6F8" w14:textId="4B63B124" w:rsidR="00CF2774" w:rsidRDefault="00CF2774">
            <w:pPr>
              <w:pStyle w:val="TableRow"/>
              <w:rPr>
                <w:sz w:val="22"/>
                <w:szCs w:val="22"/>
              </w:rPr>
            </w:pPr>
            <w:r>
              <w:rPr>
                <w:sz w:val="22"/>
                <w:szCs w:val="22"/>
              </w:rPr>
              <w:t>7</w:t>
            </w:r>
          </w:p>
        </w:tc>
        <w:tc>
          <w:tcPr>
            <w:tcW w:w="8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571918" w14:textId="6660B4C8" w:rsidR="00CF2774" w:rsidRDefault="00CF2774">
            <w:pPr>
              <w:pStyle w:val="TableRowCentered"/>
              <w:jc w:val="left"/>
              <w:rPr>
                <w:iCs/>
                <w:sz w:val="22"/>
              </w:rPr>
            </w:pPr>
            <w:r>
              <w:rPr>
                <w:iCs/>
                <w:sz w:val="22"/>
              </w:rPr>
              <w:t>Attendance is low where families do not engage with the education process</w:t>
            </w:r>
          </w:p>
        </w:tc>
      </w:tr>
    </w:tbl>
    <w:p w14:paraId="2A7D54FF" w14:textId="77777777" w:rsidR="00E66558" w:rsidRDefault="009D71E8">
      <w:pPr>
        <w:pStyle w:val="Heading2"/>
        <w:spacing w:before="600"/>
      </w:pPr>
      <w:r>
        <w:lastRenderedPageBreak/>
        <w:t xml:space="preserve">Intended outcomes </w:t>
      </w:r>
    </w:p>
    <w:p w14:paraId="2A7D5500" w14:textId="7E9FDF30" w:rsidR="00E66558" w:rsidRDefault="009D71E8">
      <w:pPr>
        <w:rPr>
          <w:color w:val="auto"/>
        </w:rPr>
      </w:pPr>
      <w:r>
        <w:rPr>
          <w:color w:val="auto"/>
        </w:rPr>
        <w:t xml:space="preserve">This explains the outcomes we are aiming for </w:t>
      </w:r>
      <w:r>
        <w:rPr>
          <w:b/>
          <w:bCs/>
          <w:color w:val="auto"/>
        </w:rPr>
        <w:t>by the end of our current strategy plan</w:t>
      </w:r>
      <w:r>
        <w:rPr>
          <w:color w:val="auto"/>
        </w:rPr>
        <w:t>, and how we will measure whether they have been achieved.</w:t>
      </w:r>
    </w:p>
    <w:p w14:paraId="56423085" w14:textId="643B154D" w:rsidR="00767080" w:rsidRPr="00767080" w:rsidRDefault="00767080" w:rsidP="00767080">
      <w:pPr>
        <w:spacing w:after="0"/>
        <w:rPr>
          <w:sz w:val="18"/>
        </w:rPr>
      </w:pPr>
      <w:r w:rsidRPr="00767080">
        <w:rPr>
          <w:color w:val="auto"/>
          <w:sz w:val="18"/>
        </w:rPr>
        <w:t>*2021 data is internal due to COVID 19</w:t>
      </w:r>
    </w:p>
    <w:tbl>
      <w:tblPr>
        <w:tblW w:w="5000" w:type="pct"/>
        <w:tblCellMar>
          <w:left w:w="10" w:type="dxa"/>
          <w:right w:w="10" w:type="dxa"/>
        </w:tblCellMar>
        <w:tblLook w:val="04A0" w:firstRow="1" w:lastRow="0" w:firstColumn="1" w:lastColumn="0" w:noHBand="0" w:noVBand="1"/>
      </w:tblPr>
      <w:tblGrid>
        <w:gridCol w:w="2972"/>
        <w:gridCol w:w="6514"/>
      </w:tblGrid>
      <w:tr w:rsidR="00E66558" w14:paraId="2A7D5503" w14:textId="77777777" w:rsidTr="00D856E3">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1" w14:textId="77777777" w:rsidR="00E66558" w:rsidRDefault="009D71E8">
            <w:pPr>
              <w:pStyle w:val="TableHeader"/>
              <w:jc w:val="left"/>
            </w:pPr>
            <w:r>
              <w:t>Intended outcome</w:t>
            </w:r>
          </w:p>
        </w:tc>
        <w:tc>
          <w:tcPr>
            <w:tcW w:w="651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02" w14:textId="77777777" w:rsidR="00E66558" w:rsidRDefault="009D71E8">
            <w:pPr>
              <w:pStyle w:val="TableHeader"/>
              <w:jc w:val="left"/>
            </w:pPr>
            <w:r>
              <w:t>Success criteria</w:t>
            </w:r>
          </w:p>
        </w:tc>
      </w:tr>
      <w:tr w:rsidR="00A35D5A" w14:paraId="2A7D5509" w14:textId="77777777" w:rsidTr="00D856E3">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7" w14:textId="08567787" w:rsidR="00A35D5A" w:rsidRDefault="00A35D5A" w:rsidP="00A35D5A">
            <w:pPr>
              <w:pStyle w:val="TableRow"/>
              <w:rPr>
                <w:sz w:val="22"/>
                <w:szCs w:val="22"/>
              </w:rPr>
            </w:pPr>
            <w:r w:rsidRPr="00AA0CF3">
              <w:rPr>
                <w:rFonts w:cs="Arial"/>
                <w:sz w:val="18"/>
                <w:szCs w:val="18"/>
              </w:rPr>
              <w:t>Increase the proportion of disadvantaged leaners entering KS1 ready to access the full curriculum.</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83438BA" w14:textId="77777777" w:rsidR="00A35D5A" w:rsidRPr="00AA0CF3" w:rsidRDefault="00A35D5A" w:rsidP="00A35D5A">
            <w:pPr>
              <w:pStyle w:val="TableRowCentered"/>
              <w:ind w:left="0"/>
              <w:jc w:val="left"/>
              <w:rPr>
                <w:rStyle w:val="eop"/>
                <w:rFonts w:cs="Arial"/>
                <w:sz w:val="18"/>
                <w:szCs w:val="18"/>
              </w:rPr>
            </w:pPr>
            <w:r w:rsidRPr="00AA0CF3">
              <w:rPr>
                <w:rStyle w:val="normaltextrun"/>
                <w:rFonts w:cs="Arial"/>
                <w:sz w:val="18"/>
                <w:szCs w:val="18"/>
              </w:rPr>
              <w:t>Increase in GLD for disadvantaged leaners, so that it is closer to national average and there is no difference when compared to their peers.</w:t>
            </w:r>
            <w:r w:rsidRPr="00AA0CF3">
              <w:rPr>
                <w:rStyle w:val="eop"/>
                <w:rFonts w:cs="Arial"/>
                <w:sz w:val="18"/>
                <w:szCs w:val="18"/>
              </w:rPr>
              <w:t> </w:t>
            </w:r>
          </w:p>
          <w:p w14:paraId="06712ABD" w14:textId="77777777" w:rsidR="00A35D5A" w:rsidRPr="00AA0CF3" w:rsidRDefault="00A35D5A" w:rsidP="00A35D5A">
            <w:pPr>
              <w:pStyle w:val="TableRowCentered"/>
              <w:jc w:val="left"/>
              <w:rPr>
                <w:rStyle w:val="eop"/>
                <w:rFonts w:cs="Arial"/>
                <w:sz w:val="18"/>
                <w:szCs w:val="18"/>
              </w:rPr>
            </w:pPr>
          </w:p>
          <w:p w14:paraId="3E814F2E" w14:textId="77777777" w:rsidR="00A35D5A" w:rsidRPr="00AA0CF3" w:rsidRDefault="00A35D5A" w:rsidP="00A35D5A">
            <w:pPr>
              <w:pStyle w:val="TableRowCentered"/>
              <w:ind w:left="0"/>
              <w:jc w:val="left"/>
              <w:rPr>
                <w:rStyle w:val="eop"/>
                <w:rFonts w:cs="Arial"/>
                <w:b/>
                <w:sz w:val="18"/>
                <w:szCs w:val="18"/>
              </w:rPr>
            </w:pPr>
            <w:r w:rsidRPr="00AA0CF3">
              <w:rPr>
                <w:rStyle w:val="eop"/>
                <w:rFonts w:cs="Arial"/>
                <w:b/>
                <w:sz w:val="18"/>
                <w:szCs w:val="18"/>
              </w:rPr>
              <w:t>Baseline data from start of strategy:</w:t>
            </w:r>
          </w:p>
          <w:p w14:paraId="01C76C3C" w14:textId="77777777" w:rsidR="00A35D5A" w:rsidRPr="00AA0CF3" w:rsidRDefault="00A35D5A" w:rsidP="00A35D5A">
            <w:pPr>
              <w:pStyle w:val="TableRowCentered"/>
              <w:ind w:left="0"/>
              <w:jc w:val="left"/>
              <w:rPr>
                <w:rStyle w:val="eop"/>
                <w:rFonts w:cs="Arial"/>
                <w:sz w:val="18"/>
                <w:szCs w:val="18"/>
              </w:rPr>
            </w:pPr>
            <w:r w:rsidRPr="00AA0CF3">
              <w:rPr>
                <w:rStyle w:val="eop"/>
                <w:rFonts w:cs="Arial"/>
                <w:sz w:val="18"/>
                <w:szCs w:val="18"/>
              </w:rPr>
              <w:t>National average</w:t>
            </w:r>
            <w:r>
              <w:rPr>
                <w:rStyle w:val="eop"/>
                <w:rFonts w:cs="Arial"/>
                <w:sz w:val="18"/>
                <w:szCs w:val="18"/>
              </w:rPr>
              <w:t xml:space="preserve"> GLD</w:t>
            </w:r>
            <w:r w:rsidRPr="00AA0CF3">
              <w:rPr>
                <w:rStyle w:val="eop"/>
                <w:rFonts w:cs="Arial"/>
                <w:sz w:val="18"/>
                <w:szCs w:val="18"/>
              </w:rPr>
              <w:t xml:space="preserve"> 2019</w:t>
            </w:r>
            <w:r>
              <w:rPr>
                <w:rStyle w:val="eop"/>
                <w:rFonts w:cs="Arial"/>
                <w:sz w:val="18"/>
                <w:szCs w:val="18"/>
              </w:rPr>
              <w:t>:</w:t>
            </w:r>
            <w:r w:rsidRPr="00AA0CF3">
              <w:rPr>
                <w:rStyle w:val="eop"/>
                <w:rFonts w:cs="Arial"/>
                <w:sz w:val="18"/>
                <w:szCs w:val="18"/>
              </w:rPr>
              <w:t xml:space="preserve"> 72%</w:t>
            </w:r>
          </w:p>
          <w:p w14:paraId="5A8FE913" w14:textId="2E2FCAA1" w:rsidR="00A35D5A" w:rsidRPr="00AA0CF3" w:rsidRDefault="00A35D5A" w:rsidP="00A35D5A">
            <w:pPr>
              <w:pStyle w:val="TableRowCentered"/>
              <w:ind w:left="0"/>
              <w:jc w:val="left"/>
              <w:rPr>
                <w:rStyle w:val="eop"/>
                <w:rFonts w:cs="Arial"/>
                <w:sz w:val="18"/>
                <w:szCs w:val="18"/>
              </w:rPr>
            </w:pPr>
            <w:r w:rsidRPr="00AA0CF3">
              <w:rPr>
                <w:rStyle w:val="eop"/>
                <w:rFonts w:cs="Arial"/>
                <w:sz w:val="18"/>
                <w:szCs w:val="18"/>
              </w:rPr>
              <w:t xml:space="preserve">School </w:t>
            </w:r>
            <w:r>
              <w:rPr>
                <w:rStyle w:val="eop"/>
                <w:rFonts w:cs="Arial"/>
                <w:sz w:val="18"/>
                <w:szCs w:val="18"/>
              </w:rPr>
              <w:t xml:space="preserve">GLD </w:t>
            </w:r>
            <w:r w:rsidR="00767080">
              <w:rPr>
                <w:rStyle w:val="eop"/>
                <w:rFonts w:cs="Arial"/>
                <w:sz w:val="18"/>
                <w:szCs w:val="18"/>
              </w:rPr>
              <w:t>2021</w:t>
            </w:r>
            <w:r>
              <w:rPr>
                <w:rStyle w:val="eop"/>
                <w:rFonts w:cs="Arial"/>
                <w:sz w:val="18"/>
                <w:szCs w:val="18"/>
              </w:rPr>
              <w:t>:</w:t>
            </w:r>
            <w:r w:rsidR="00767080">
              <w:rPr>
                <w:rStyle w:val="eop"/>
                <w:rFonts w:cs="Arial"/>
                <w:sz w:val="18"/>
                <w:szCs w:val="18"/>
              </w:rPr>
              <w:t xml:space="preserve"> 47%</w:t>
            </w:r>
            <w:r w:rsidRPr="00AA0CF3">
              <w:rPr>
                <w:rStyle w:val="eop"/>
                <w:rFonts w:cs="Arial"/>
                <w:sz w:val="18"/>
                <w:szCs w:val="18"/>
              </w:rPr>
              <w:t>%</w:t>
            </w:r>
          </w:p>
          <w:p w14:paraId="5DED6F58" w14:textId="31FFA9B2" w:rsidR="00A35D5A" w:rsidRPr="00AA0CF3" w:rsidRDefault="00A35D5A" w:rsidP="00A35D5A">
            <w:pPr>
              <w:pStyle w:val="TableRowCentered"/>
              <w:ind w:left="0"/>
              <w:jc w:val="left"/>
              <w:rPr>
                <w:rStyle w:val="eop"/>
                <w:rFonts w:cs="Arial"/>
                <w:sz w:val="18"/>
                <w:szCs w:val="18"/>
              </w:rPr>
            </w:pPr>
            <w:r w:rsidRPr="00AA0CF3">
              <w:rPr>
                <w:rStyle w:val="eop"/>
                <w:rFonts w:cs="Arial"/>
                <w:sz w:val="18"/>
                <w:szCs w:val="18"/>
              </w:rPr>
              <w:t xml:space="preserve">School </w:t>
            </w:r>
            <w:r>
              <w:rPr>
                <w:rStyle w:val="eop"/>
                <w:rFonts w:cs="Arial"/>
                <w:sz w:val="18"/>
                <w:szCs w:val="18"/>
              </w:rPr>
              <w:t xml:space="preserve">GLD </w:t>
            </w:r>
            <w:r w:rsidR="00767080">
              <w:rPr>
                <w:rStyle w:val="eop"/>
                <w:rFonts w:cs="Arial"/>
                <w:sz w:val="18"/>
                <w:szCs w:val="18"/>
              </w:rPr>
              <w:t>2021</w:t>
            </w:r>
            <w:r w:rsidRPr="00AA0CF3">
              <w:rPr>
                <w:rStyle w:val="eop"/>
                <w:rFonts w:cs="Arial"/>
                <w:sz w:val="18"/>
                <w:szCs w:val="18"/>
              </w:rPr>
              <w:t xml:space="preserve"> disadvantaged</w:t>
            </w:r>
            <w:r>
              <w:rPr>
                <w:rStyle w:val="eop"/>
                <w:rFonts w:cs="Arial"/>
                <w:sz w:val="18"/>
                <w:szCs w:val="18"/>
              </w:rPr>
              <w:t>:</w:t>
            </w:r>
            <w:r w:rsidR="00767080">
              <w:rPr>
                <w:rStyle w:val="eop"/>
                <w:rFonts w:cs="Arial"/>
                <w:sz w:val="18"/>
                <w:szCs w:val="18"/>
              </w:rPr>
              <w:t xml:space="preserve"> 54</w:t>
            </w:r>
            <w:r w:rsidRPr="00AA0CF3">
              <w:rPr>
                <w:rStyle w:val="eop"/>
                <w:rFonts w:cs="Arial"/>
                <w:sz w:val="18"/>
                <w:szCs w:val="18"/>
              </w:rPr>
              <w:t>%</w:t>
            </w:r>
          </w:p>
          <w:p w14:paraId="2A7D5508" w14:textId="25773430" w:rsidR="00A35D5A" w:rsidRDefault="00A35D5A" w:rsidP="00767080">
            <w:pPr>
              <w:pStyle w:val="TableRowCentered"/>
              <w:ind w:left="0"/>
              <w:jc w:val="left"/>
              <w:rPr>
                <w:sz w:val="22"/>
                <w:szCs w:val="22"/>
              </w:rPr>
            </w:pPr>
            <w:r w:rsidRPr="001344E2">
              <w:rPr>
                <w:sz w:val="18"/>
                <w:szCs w:val="18"/>
              </w:rPr>
              <w:t xml:space="preserve">School GLD </w:t>
            </w:r>
            <w:r w:rsidR="00767080">
              <w:rPr>
                <w:sz w:val="18"/>
                <w:szCs w:val="18"/>
              </w:rPr>
              <w:t>2021</w:t>
            </w:r>
            <w:r w:rsidRPr="00AA0CF3">
              <w:rPr>
                <w:sz w:val="18"/>
                <w:szCs w:val="18"/>
              </w:rPr>
              <w:t xml:space="preserve"> non-disadvantaged</w:t>
            </w:r>
            <w:r>
              <w:rPr>
                <w:sz w:val="18"/>
                <w:szCs w:val="18"/>
              </w:rPr>
              <w:t xml:space="preserve">: </w:t>
            </w:r>
            <w:r w:rsidR="00767080">
              <w:rPr>
                <w:sz w:val="18"/>
                <w:szCs w:val="18"/>
              </w:rPr>
              <w:t>67</w:t>
            </w:r>
            <w:r w:rsidRPr="00AA0CF3">
              <w:rPr>
                <w:sz w:val="18"/>
                <w:szCs w:val="18"/>
              </w:rPr>
              <w:t>%</w:t>
            </w:r>
          </w:p>
        </w:tc>
      </w:tr>
      <w:tr w:rsidR="001E7F52" w14:paraId="2AC10F59" w14:textId="77777777" w:rsidTr="001E7F52">
        <w:tc>
          <w:tcPr>
            <w:tcW w:w="297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tcPr>
          <w:p w14:paraId="3ECCD849" w14:textId="1A984360" w:rsidR="001E7F52" w:rsidRPr="00AA0CF3" w:rsidRDefault="001E7F52" w:rsidP="00A35D5A">
            <w:pPr>
              <w:pStyle w:val="TableRow"/>
              <w:rPr>
                <w:rFonts w:cs="Arial"/>
                <w:sz w:val="18"/>
                <w:szCs w:val="18"/>
              </w:rPr>
            </w:pPr>
            <w:r>
              <w:rPr>
                <w:rFonts w:cs="Arial"/>
                <w:sz w:val="18"/>
                <w:szCs w:val="18"/>
              </w:rPr>
              <w:t>2021 – 2022 Review</w:t>
            </w:r>
          </w:p>
        </w:tc>
        <w:tc>
          <w:tcPr>
            <w:tcW w:w="65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tcPr>
          <w:p w14:paraId="7C53CCA9" w14:textId="77777777" w:rsidR="001E7F52" w:rsidRDefault="00A66E9B" w:rsidP="00A35D5A">
            <w:pPr>
              <w:pStyle w:val="TableRowCentered"/>
              <w:ind w:left="0"/>
              <w:jc w:val="left"/>
              <w:rPr>
                <w:rStyle w:val="normaltextrun"/>
                <w:rFonts w:cs="Arial"/>
                <w:sz w:val="18"/>
                <w:szCs w:val="18"/>
              </w:rPr>
            </w:pPr>
            <w:r>
              <w:rPr>
                <w:rStyle w:val="normaltextrun"/>
                <w:rFonts w:cs="Arial"/>
                <w:sz w:val="18"/>
                <w:szCs w:val="18"/>
              </w:rPr>
              <w:t xml:space="preserve">Data 2022: </w:t>
            </w:r>
          </w:p>
          <w:p w14:paraId="5834B172" w14:textId="58560937" w:rsidR="00A66E9B" w:rsidRDefault="00A66E9B" w:rsidP="00A35D5A">
            <w:pPr>
              <w:pStyle w:val="TableRowCentered"/>
              <w:ind w:left="0"/>
              <w:jc w:val="left"/>
              <w:rPr>
                <w:rStyle w:val="normaltextrun"/>
                <w:rFonts w:cs="Arial"/>
                <w:sz w:val="18"/>
                <w:szCs w:val="18"/>
              </w:rPr>
            </w:pPr>
            <w:r>
              <w:rPr>
                <w:rStyle w:val="normaltextrun"/>
                <w:rFonts w:cs="Arial"/>
                <w:sz w:val="18"/>
                <w:szCs w:val="18"/>
              </w:rPr>
              <w:t>GLD- 72% PP= 67%</w:t>
            </w:r>
          </w:p>
          <w:p w14:paraId="53923326" w14:textId="1C8A9405" w:rsidR="00A66E9B" w:rsidRPr="00AA0CF3" w:rsidRDefault="00A66E9B" w:rsidP="00A35D5A">
            <w:pPr>
              <w:pStyle w:val="TableRowCentered"/>
              <w:ind w:left="0"/>
              <w:jc w:val="left"/>
              <w:rPr>
                <w:rStyle w:val="normaltextrun"/>
                <w:rFonts w:cs="Arial"/>
                <w:sz w:val="18"/>
                <w:szCs w:val="18"/>
              </w:rPr>
            </w:pPr>
            <w:r>
              <w:rPr>
                <w:rStyle w:val="normaltextrun"/>
                <w:rFonts w:cs="Arial"/>
                <w:sz w:val="18"/>
                <w:szCs w:val="18"/>
              </w:rPr>
              <w:t>Children made good progress, especially in the Prime areas to ensure behaviours for learning.</w:t>
            </w:r>
          </w:p>
        </w:tc>
      </w:tr>
      <w:tr w:rsidR="00A35D5A" w14:paraId="2A7D550C" w14:textId="77777777" w:rsidTr="00D856E3">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A" w14:textId="2FCE7AE9" w:rsidR="00A35D5A" w:rsidRDefault="00A35D5A" w:rsidP="00A35D5A">
            <w:pPr>
              <w:pStyle w:val="TableRow"/>
              <w:rPr>
                <w:sz w:val="22"/>
                <w:szCs w:val="22"/>
              </w:rPr>
            </w:pPr>
            <w:r w:rsidRPr="00AA0CF3">
              <w:rPr>
                <w:rFonts w:cs="Arial"/>
                <w:sz w:val="18"/>
                <w:szCs w:val="18"/>
              </w:rPr>
              <w:t>Improve the proportion of disadvantaged leaners leaving Year 1 who are fluent in decoding.</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F4E0EB1" w14:textId="77777777" w:rsidR="00A35D5A" w:rsidRPr="00AA0CF3" w:rsidRDefault="00A35D5A" w:rsidP="00A35D5A">
            <w:pPr>
              <w:pStyle w:val="TableRowCentered"/>
              <w:ind w:left="0"/>
              <w:jc w:val="left"/>
              <w:rPr>
                <w:rStyle w:val="eop"/>
                <w:rFonts w:cs="Arial"/>
                <w:sz w:val="18"/>
                <w:szCs w:val="18"/>
                <w:shd w:val="clear" w:color="auto" w:fill="FFFFFF"/>
              </w:rPr>
            </w:pPr>
            <w:r w:rsidRPr="00AA0CF3">
              <w:rPr>
                <w:rStyle w:val="normaltextrun"/>
                <w:rFonts w:cs="Arial"/>
                <w:sz w:val="18"/>
                <w:szCs w:val="18"/>
                <w:shd w:val="clear" w:color="auto" w:fill="FFFFFF"/>
              </w:rPr>
              <w:t>Increase in Y1 PSC pass rate for disadvantaged learners so that it is closer to national average and there is no difference when compared to their peers.</w:t>
            </w:r>
            <w:r w:rsidRPr="00AA0CF3">
              <w:rPr>
                <w:rStyle w:val="eop"/>
                <w:rFonts w:cs="Arial"/>
                <w:sz w:val="18"/>
                <w:szCs w:val="18"/>
                <w:shd w:val="clear" w:color="auto" w:fill="FFFFFF"/>
              </w:rPr>
              <w:t> </w:t>
            </w:r>
          </w:p>
          <w:p w14:paraId="1096722C" w14:textId="77777777" w:rsidR="00A35D5A" w:rsidRPr="00AA0CF3" w:rsidRDefault="00A35D5A" w:rsidP="00A35D5A">
            <w:pPr>
              <w:pStyle w:val="TableRowCentered"/>
              <w:jc w:val="left"/>
              <w:rPr>
                <w:rStyle w:val="eop"/>
                <w:rFonts w:cs="Arial"/>
                <w:sz w:val="18"/>
                <w:szCs w:val="18"/>
                <w:shd w:val="clear" w:color="auto" w:fill="FFFFFF"/>
              </w:rPr>
            </w:pPr>
          </w:p>
          <w:p w14:paraId="76A6BB9A" w14:textId="77777777" w:rsidR="00A35D5A" w:rsidRPr="00AA0CF3" w:rsidRDefault="00A35D5A" w:rsidP="00A35D5A">
            <w:pPr>
              <w:pStyle w:val="TableRowCentered"/>
              <w:ind w:left="0"/>
              <w:jc w:val="left"/>
              <w:rPr>
                <w:rStyle w:val="eop"/>
                <w:rFonts w:cs="Arial"/>
                <w:b/>
                <w:sz w:val="18"/>
                <w:szCs w:val="18"/>
              </w:rPr>
            </w:pPr>
            <w:r w:rsidRPr="00AA0CF3">
              <w:rPr>
                <w:rStyle w:val="eop"/>
                <w:rFonts w:cs="Arial"/>
                <w:b/>
                <w:sz w:val="18"/>
                <w:szCs w:val="18"/>
              </w:rPr>
              <w:t>Baseline data from start of strategy:</w:t>
            </w:r>
          </w:p>
          <w:p w14:paraId="7577F6EE" w14:textId="77777777" w:rsidR="00A35D5A" w:rsidRPr="00AA0CF3" w:rsidRDefault="00A35D5A" w:rsidP="00A35D5A">
            <w:pPr>
              <w:pStyle w:val="TableRowCentered"/>
              <w:ind w:left="0"/>
              <w:jc w:val="left"/>
              <w:rPr>
                <w:rStyle w:val="eop"/>
                <w:rFonts w:cs="Arial"/>
                <w:sz w:val="18"/>
                <w:szCs w:val="18"/>
              </w:rPr>
            </w:pPr>
            <w:r w:rsidRPr="00AA0CF3">
              <w:rPr>
                <w:rStyle w:val="eop"/>
                <w:rFonts w:cs="Arial"/>
                <w:sz w:val="18"/>
                <w:szCs w:val="18"/>
              </w:rPr>
              <w:t>National average</w:t>
            </w:r>
            <w:r>
              <w:rPr>
                <w:rStyle w:val="eop"/>
                <w:rFonts w:cs="Arial"/>
                <w:sz w:val="18"/>
                <w:szCs w:val="18"/>
              </w:rPr>
              <w:t xml:space="preserve"> PSC</w:t>
            </w:r>
            <w:r w:rsidRPr="00AA0CF3">
              <w:rPr>
                <w:rStyle w:val="eop"/>
                <w:rFonts w:cs="Arial"/>
                <w:sz w:val="18"/>
                <w:szCs w:val="18"/>
              </w:rPr>
              <w:t xml:space="preserve"> 2019</w:t>
            </w:r>
            <w:r>
              <w:rPr>
                <w:rStyle w:val="eop"/>
                <w:rFonts w:cs="Arial"/>
                <w:sz w:val="18"/>
                <w:szCs w:val="18"/>
              </w:rPr>
              <w:t>:</w:t>
            </w:r>
            <w:r w:rsidRPr="00AA0CF3">
              <w:rPr>
                <w:rStyle w:val="eop"/>
                <w:rFonts w:cs="Arial"/>
                <w:sz w:val="18"/>
                <w:szCs w:val="18"/>
              </w:rPr>
              <w:t xml:space="preserve"> 82%</w:t>
            </w:r>
          </w:p>
          <w:p w14:paraId="16490F8F" w14:textId="35314AA2" w:rsidR="00A35D5A" w:rsidRPr="00AA0CF3" w:rsidRDefault="00A35D5A" w:rsidP="00A35D5A">
            <w:pPr>
              <w:pStyle w:val="TableRowCentered"/>
              <w:ind w:left="0"/>
              <w:jc w:val="left"/>
              <w:rPr>
                <w:rStyle w:val="eop"/>
                <w:rFonts w:cs="Arial"/>
                <w:sz w:val="18"/>
                <w:szCs w:val="18"/>
              </w:rPr>
            </w:pPr>
            <w:r w:rsidRPr="00AA0CF3">
              <w:rPr>
                <w:rStyle w:val="eop"/>
                <w:rFonts w:cs="Arial"/>
                <w:sz w:val="18"/>
                <w:szCs w:val="18"/>
              </w:rPr>
              <w:t xml:space="preserve">School </w:t>
            </w:r>
            <w:r>
              <w:rPr>
                <w:rStyle w:val="eop"/>
                <w:rFonts w:cs="Arial"/>
                <w:sz w:val="18"/>
                <w:szCs w:val="18"/>
              </w:rPr>
              <w:t xml:space="preserve">PSC </w:t>
            </w:r>
            <w:r w:rsidR="00767080">
              <w:rPr>
                <w:rStyle w:val="eop"/>
                <w:rFonts w:cs="Arial"/>
                <w:sz w:val="18"/>
                <w:szCs w:val="18"/>
              </w:rPr>
              <w:t>2021</w:t>
            </w:r>
            <w:r>
              <w:rPr>
                <w:rStyle w:val="eop"/>
                <w:rFonts w:cs="Arial"/>
                <w:sz w:val="18"/>
                <w:szCs w:val="18"/>
              </w:rPr>
              <w:t>:</w:t>
            </w:r>
            <w:r w:rsidR="003D02DE">
              <w:rPr>
                <w:rStyle w:val="eop"/>
                <w:rFonts w:cs="Arial"/>
                <w:sz w:val="18"/>
                <w:szCs w:val="18"/>
              </w:rPr>
              <w:t xml:space="preserve"> 56</w:t>
            </w:r>
            <w:r w:rsidRPr="00AA0CF3">
              <w:rPr>
                <w:rStyle w:val="eop"/>
                <w:rFonts w:cs="Arial"/>
                <w:sz w:val="18"/>
                <w:szCs w:val="18"/>
              </w:rPr>
              <w:t>%</w:t>
            </w:r>
          </w:p>
          <w:p w14:paraId="0BE6A79C" w14:textId="66CD11E1" w:rsidR="00A35D5A" w:rsidRPr="00AA0CF3" w:rsidRDefault="00A35D5A" w:rsidP="00A35D5A">
            <w:pPr>
              <w:pStyle w:val="TableRowCentered"/>
              <w:ind w:left="0"/>
              <w:jc w:val="left"/>
              <w:rPr>
                <w:rStyle w:val="eop"/>
                <w:rFonts w:cs="Arial"/>
                <w:sz w:val="18"/>
                <w:szCs w:val="18"/>
              </w:rPr>
            </w:pPr>
            <w:r w:rsidRPr="00AA0CF3">
              <w:rPr>
                <w:rStyle w:val="eop"/>
                <w:rFonts w:cs="Arial"/>
                <w:sz w:val="18"/>
                <w:szCs w:val="18"/>
              </w:rPr>
              <w:t xml:space="preserve">School </w:t>
            </w:r>
            <w:r>
              <w:rPr>
                <w:rStyle w:val="eop"/>
                <w:rFonts w:cs="Arial"/>
                <w:sz w:val="18"/>
                <w:szCs w:val="18"/>
              </w:rPr>
              <w:t xml:space="preserve">PSC </w:t>
            </w:r>
            <w:r w:rsidR="00767080">
              <w:rPr>
                <w:rStyle w:val="eop"/>
                <w:rFonts w:cs="Arial"/>
                <w:sz w:val="18"/>
                <w:szCs w:val="18"/>
              </w:rPr>
              <w:t>2021:</w:t>
            </w:r>
            <w:r w:rsidRPr="00AA0CF3">
              <w:rPr>
                <w:rStyle w:val="eop"/>
                <w:rFonts w:cs="Arial"/>
                <w:sz w:val="18"/>
                <w:szCs w:val="18"/>
              </w:rPr>
              <w:t xml:space="preserve"> disadvantaged</w:t>
            </w:r>
            <w:r>
              <w:rPr>
                <w:rStyle w:val="eop"/>
                <w:rFonts w:cs="Arial"/>
                <w:sz w:val="18"/>
                <w:szCs w:val="18"/>
              </w:rPr>
              <w:t>:</w:t>
            </w:r>
            <w:r w:rsidRPr="00AA0CF3">
              <w:rPr>
                <w:rStyle w:val="eop"/>
                <w:rFonts w:cs="Arial"/>
                <w:sz w:val="18"/>
                <w:szCs w:val="18"/>
              </w:rPr>
              <w:t xml:space="preserve"> </w:t>
            </w:r>
            <w:r w:rsidR="00E76BB1">
              <w:rPr>
                <w:rStyle w:val="eop"/>
                <w:rFonts w:cs="Arial"/>
                <w:sz w:val="18"/>
                <w:szCs w:val="18"/>
              </w:rPr>
              <w:t>40</w:t>
            </w:r>
            <w:r w:rsidRPr="00AA0CF3">
              <w:rPr>
                <w:rStyle w:val="eop"/>
                <w:rFonts w:cs="Arial"/>
                <w:sz w:val="18"/>
                <w:szCs w:val="18"/>
              </w:rPr>
              <w:t>%</w:t>
            </w:r>
          </w:p>
          <w:p w14:paraId="2A7D550B" w14:textId="63B27351" w:rsidR="00A35D5A" w:rsidRDefault="00A35D5A" w:rsidP="00767080">
            <w:pPr>
              <w:pStyle w:val="TableRowCentered"/>
              <w:ind w:left="0"/>
              <w:jc w:val="left"/>
              <w:rPr>
                <w:sz w:val="22"/>
                <w:szCs w:val="22"/>
              </w:rPr>
            </w:pPr>
            <w:r w:rsidRPr="001344E2">
              <w:rPr>
                <w:sz w:val="18"/>
                <w:szCs w:val="18"/>
              </w:rPr>
              <w:t xml:space="preserve">School PSC </w:t>
            </w:r>
            <w:r w:rsidR="00767080">
              <w:rPr>
                <w:sz w:val="18"/>
                <w:szCs w:val="18"/>
              </w:rPr>
              <w:t>2021:</w:t>
            </w:r>
            <w:r w:rsidRPr="00AA0CF3">
              <w:rPr>
                <w:sz w:val="18"/>
                <w:szCs w:val="18"/>
              </w:rPr>
              <w:t xml:space="preserve"> non-disadvantage</w:t>
            </w:r>
            <w:r>
              <w:rPr>
                <w:sz w:val="18"/>
                <w:szCs w:val="18"/>
              </w:rPr>
              <w:t>:</w:t>
            </w:r>
            <w:r w:rsidR="003D02DE">
              <w:rPr>
                <w:sz w:val="18"/>
                <w:szCs w:val="18"/>
              </w:rPr>
              <w:t xml:space="preserve"> </w:t>
            </w:r>
            <w:r w:rsidR="00E76BB1">
              <w:rPr>
                <w:sz w:val="18"/>
                <w:szCs w:val="18"/>
              </w:rPr>
              <w:t>76</w:t>
            </w:r>
            <w:r w:rsidRPr="00AA0CF3">
              <w:rPr>
                <w:sz w:val="18"/>
                <w:szCs w:val="18"/>
              </w:rPr>
              <w:t>%</w:t>
            </w:r>
          </w:p>
        </w:tc>
      </w:tr>
      <w:tr w:rsidR="00A66E9B" w14:paraId="654086C1" w14:textId="77777777" w:rsidTr="002847E9">
        <w:tc>
          <w:tcPr>
            <w:tcW w:w="297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tcPr>
          <w:p w14:paraId="64AD1702" w14:textId="7EAA5809" w:rsidR="00A66E9B" w:rsidRPr="002847E9" w:rsidRDefault="00A66E9B" w:rsidP="00A35D5A">
            <w:pPr>
              <w:pStyle w:val="TableRow"/>
              <w:rPr>
                <w:rFonts w:cs="Arial"/>
                <w:sz w:val="18"/>
                <w:szCs w:val="18"/>
              </w:rPr>
            </w:pPr>
            <w:r w:rsidRPr="002847E9">
              <w:rPr>
                <w:rFonts w:cs="Arial"/>
                <w:sz w:val="18"/>
                <w:szCs w:val="18"/>
              </w:rPr>
              <w:t>2021 – 2022 Review</w:t>
            </w:r>
          </w:p>
        </w:tc>
        <w:tc>
          <w:tcPr>
            <w:tcW w:w="65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tcPr>
          <w:p w14:paraId="7BE017E1" w14:textId="77777777" w:rsidR="00A66E9B" w:rsidRPr="002847E9" w:rsidRDefault="00A66E9B" w:rsidP="00A35D5A">
            <w:pPr>
              <w:pStyle w:val="TableRowCentered"/>
              <w:ind w:left="0"/>
              <w:jc w:val="left"/>
              <w:rPr>
                <w:rStyle w:val="normaltextrun"/>
                <w:rFonts w:cs="Arial"/>
                <w:sz w:val="18"/>
                <w:szCs w:val="18"/>
                <w:shd w:val="clear" w:color="auto" w:fill="FFFFFF"/>
              </w:rPr>
            </w:pPr>
            <w:r w:rsidRPr="002847E9">
              <w:rPr>
                <w:rStyle w:val="normaltextrun"/>
                <w:rFonts w:cs="Arial"/>
                <w:sz w:val="18"/>
                <w:szCs w:val="18"/>
                <w:shd w:val="clear" w:color="auto" w:fill="FFFFFF"/>
              </w:rPr>
              <w:t>PSC 2022: 73%</w:t>
            </w:r>
          </w:p>
          <w:p w14:paraId="53828F9F" w14:textId="43B0B38F" w:rsidR="00A66E9B" w:rsidRPr="002847E9" w:rsidRDefault="00A66E9B" w:rsidP="00A66E9B">
            <w:pPr>
              <w:pStyle w:val="TableRowCentered"/>
              <w:ind w:left="0"/>
              <w:jc w:val="left"/>
              <w:rPr>
                <w:rStyle w:val="eop"/>
                <w:rFonts w:cs="Arial"/>
                <w:sz w:val="18"/>
                <w:szCs w:val="18"/>
              </w:rPr>
            </w:pPr>
            <w:r w:rsidRPr="002847E9">
              <w:rPr>
                <w:rStyle w:val="eop"/>
                <w:rFonts w:cs="Arial"/>
                <w:sz w:val="18"/>
                <w:szCs w:val="18"/>
              </w:rPr>
              <w:t xml:space="preserve">School PSC 2021: disadvantaged: </w:t>
            </w:r>
            <w:r w:rsidR="002847E9" w:rsidRPr="002847E9">
              <w:rPr>
                <w:rStyle w:val="eop"/>
                <w:rFonts w:cs="Arial"/>
                <w:sz w:val="18"/>
                <w:szCs w:val="18"/>
              </w:rPr>
              <w:t>71</w:t>
            </w:r>
            <w:r w:rsidRPr="002847E9">
              <w:rPr>
                <w:rStyle w:val="eop"/>
                <w:rFonts w:cs="Arial"/>
                <w:sz w:val="18"/>
                <w:szCs w:val="18"/>
              </w:rPr>
              <w:t>%</w:t>
            </w:r>
          </w:p>
          <w:p w14:paraId="5F589B09" w14:textId="7C85A132" w:rsidR="00A66E9B" w:rsidRPr="002847E9" w:rsidRDefault="00A66E9B" w:rsidP="00A66E9B">
            <w:pPr>
              <w:pStyle w:val="TableRowCentered"/>
              <w:ind w:left="0"/>
              <w:jc w:val="left"/>
              <w:rPr>
                <w:rStyle w:val="normaltextrun"/>
                <w:rFonts w:cs="Arial"/>
                <w:sz w:val="18"/>
                <w:szCs w:val="18"/>
                <w:shd w:val="clear" w:color="auto" w:fill="FFFFFF"/>
              </w:rPr>
            </w:pPr>
            <w:r w:rsidRPr="002847E9">
              <w:rPr>
                <w:sz w:val="18"/>
                <w:szCs w:val="18"/>
              </w:rPr>
              <w:t xml:space="preserve">School PSC 2021: non-disadvantage: </w:t>
            </w:r>
            <w:r w:rsidR="002847E9" w:rsidRPr="002847E9">
              <w:rPr>
                <w:sz w:val="18"/>
                <w:szCs w:val="18"/>
              </w:rPr>
              <w:t>75</w:t>
            </w:r>
            <w:r w:rsidRPr="002847E9">
              <w:rPr>
                <w:sz w:val="18"/>
                <w:szCs w:val="18"/>
              </w:rPr>
              <w:t>%</w:t>
            </w:r>
          </w:p>
        </w:tc>
      </w:tr>
      <w:tr w:rsidR="00A35D5A" w14:paraId="2A7D550F" w14:textId="77777777" w:rsidTr="00D856E3">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0D" w14:textId="0E307378" w:rsidR="00A35D5A" w:rsidRDefault="00A35D5A" w:rsidP="00A35D5A">
            <w:pPr>
              <w:pStyle w:val="TableRow"/>
              <w:rPr>
                <w:sz w:val="22"/>
                <w:szCs w:val="22"/>
              </w:rPr>
            </w:pPr>
            <w:r w:rsidRPr="00AA0CF3">
              <w:rPr>
                <w:rFonts w:cs="Arial"/>
                <w:sz w:val="18"/>
                <w:szCs w:val="18"/>
              </w:rPr>
              <w:t>Close the gap between the attainment of disadvantaged pupils and their peers by the end of KS2.</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A7DA2" w14:textId="29A13CEF" w:rsidR="00A35D5A" w:rsidRPr="00AA0CF3" w:rsidRDefault="00A35D5A" w:rsidP="00A35D5A">
            <w:pPr>
              <w:pStyle w:val="TableRowCentered"/>
              <w:ind w:left="0"/>
              <w:jc w:val="left"/>
              <w:rPr>
                <w:rStyle w:val="eop"/>
                <w:rFonts w:cs="Arial"/>
                <w:sz w:val="18"/>
                <w:szCs w:val="18"/>
                <w:shd w:val="clear" w:color="auto" w:fill="FFFFFF"/>
              </w:rPr>
            </w:pPr>
            <w:r w:rsidRPr="00AA0CF3">
              <w:rPr>
                <w:sz w:val="18"/>
                <w:szCs w:val="18"/>
              </w:rPr>
              <w:t xml:space="preserve">At the end of KS2, attainment in the combined reading, writing and maths EXS+ measure for disadvantaged </w:t>
            </w:r>
            <w:r w:rsidR="002847E9" w:rsidRPr="00AA0CF3">
              <w:rPr>
                <w:sz w:val="18"/>
                <w:szCs w:val="18"/>
              </w:rPr>
              <w:t>learners’</w:t>
            </w:r>
            <w:r w:rsidRPr="00AA0CF3">
              <w:rPr>
                <w:sz w:val="18"/>
                <w:szCs w:val="18"/>
              </w:rPr>
              <w:t xml:space="preserve"> increases </w:t>
            </w:r>
            <w:r w:rsidRPr="00AA0CF3">
              <w:rPr>
                <w:rStyle w:val="normaltextrun"/>
                <w:rFonts w:cs="Arial"/>
                <w:sz w:val="18"/>
                <w:szCs w:val="18"/>
                <w:shd w:val="clear" w:color="auto" w:fill="FFFFFF"/>
              </w:rPr>
              <w:t>so that it is closer to national average and there is no difference when compared to their peers.</w:t>
            </w:r>
            <w:r w:rsidRPr="00AA0CF3">
              <w:rPr>
                <w:rStyle w:val="eop"/>
                <w:rFonts w:cs="Arial"/>
                <w:sz w:val="18"/>
                <w:szCs w:val="18"/>
                <w:shd w:val="clear" w:color="auto" w:fill="FFFFFF"/>
              </w:rPr>
              <w:t> </w:t>
            </w:r>
          </w:p>
          <w:p w14:paraId="3A42B526" w14:textId="77777777" w:rsidR="00A35D5A" w:rsidRPr="00AA0CF3" w:rsidRDefault="00A35D5A" w:rsidP="00A35D5A">
            <w:pPr>
              <w:pStyle w:val="TableRowCentered"/>
              <w:jc w:val="left"/>
              <w:rPr>
                <w:rStyle w:val="eop"/>
                <w:rFonts w:cs="Arial"/>
                <w:sz w:val="18"/>
                <w:szCs w:val="18"/>
                <w:shd w:val="clear" w:color="auto" w:fill="FFFFFF"/>
              </w:rPr>
            </w:pPr>
          </w:p>
          <w:p w14:paraId="2C2C520A" w14:textId="77777777" w:rsidR="00A35D5A" w:rsidRPr="00AA0CF3" w:rsidRDefault="00A35D5A" w:rsidP="00A35D5A">
            <w:pPr>
              <w:pStyle w:val="TableRowCentered"/>
              <w:ind w:left="0"/>
              <w:jc w:val="left"/>
              <w:rPr>
                <w:rStyle w:val="eop"/>
                <w:rFonts w:cs="Arial"/>
                <w:b/>
                <w:sz w:val="18"/>
                <w:szCs w:val="18"/>
              </w:rPr>
            </w:pPr>
            <w:r w:rsidRPr="00AA0CF3">
              <w:rPr>
                <w:rStyle w:val="eop"/>
                <w:rFonts w:cs="Arial"/>
                <w:b/>
                <w:sz w:val="18"/>
                <w:szCs w:val="18"/>
              </w:rPr>
              <w:t>Baseline data from start of strategy:</w:t>
            </w:r>
          </w:p>
          <w:p w14:paraId="3B541E4D" w14:textId="77777777" w:rsidR="00A35D5A" w:rsidRPr="00AA0CF3" w:rsidRDefault="00A35D5A" w:rsidP="00A35D5A">
            <w:pPr>
              <w:pStyle w:val="TableRowCentered"/>
              <w:ind w:left="0"/>
              <w:jc w:val="left"/>
              <w:rPr>
                <w:rStyle w:val="eop"/>
                <w:rFonts w:cs="Arial"/>
                <w:sz w:val="18"/>
                <w:szCs w:val="18"/>
                <w:shd w:val="clear" w:color="auto" w:fill="FFFFFF"/>
              </w:rPr>
            </w:pPr>
            <w:r w:rsidRPr="00AA0CF3">
              <w:rPr>
                <w:rStyle w:val="eop"/>
                <w:rFonts w:cs="Arial"/>
                <w:sz w:val="18"/>
                <w:szCs w:val="18"/>
              </w:rPr>
              <w:t xml:space="preserve">National average </w:t>
            </w:r>
            <w:r>
              <w:rPr>
                <w:rStyle w:val="eop"/>
                <w:rFonts w:cs="Arial"/>
                <w:sz w:val="18"/>
                <w:szCs w:val="18"/>
              </w:rPr>
              <w:t xml:space="preserve">KS2 CRWM EXS+ </w:t>
            </w:r>
            <w:r w:rsidRPr="00AA0CF3">
              <w:rPr>
                <w:rStyle w:val="eop"/>
                <w:rFonts w:cs="Arial"/>
                <w:sz w:val="18"/>
                <w:szCs w:val="18"/>
              </w:rPr>
              <w:t>2019</w:t>
            </w:r>
            <w:r>
              <w:rPr>
                <w:rStyle w:val="eop"/>
                <w:rFonts w:cs="Arial"/>
                <w:sz w:val="18"/>
                <w:szCs w:val="18"/>
              </w:rPr>
              <w:t>:</w:t>
            </w:r>
            <w:r w:rsidRPr="00AA0CF3">
              <w:rPr>
                <w:rStyle w:val="eop"/>
                <w:rFonts w:cs="Arial"/>
                <w:sz w:val="18"/>
                <w:szCs w:val="18"/>
              </w:rPr>
              <w:t xml:space="preserve"> 65%</w:t>
            </w:r>
          </w:p>
          <w:p w14:paraId="251B538E" w14:textId="50BC507A" w:rsidR="00A35D5A" w:rsidRPr="00AA0CF3" w:rsidRDefault="00A35D5A" w:rsidP="00A35D5A">
            <w:pPr>
              <w:pStyle w:val="TableRowCentered"/>
              <w:ind w:left="0"/>
              <w:jc w:val="left"/>
              <w:rPr>
                <w:rStyle w:val="eop"/>
                <w:rFonts w:cs="Arial"/>
                <w:sz w:val="18"/>
                <w:szCs w:val="18"/>
              </w:rPr>
            </w:pPr>
            <w:r w:rsidRPr="00AA0CF3">
              <w:rPr>
                <w:rStyle w:val="eop"/>
                <w:rFonts w:cs="Arial"/>
                <w:sz w:val="18"/>
                <w:szCs w:val="18"/>
              </w:rPr>
              <w:t xml:space="preserve">School </w:t>
            </w:r>
            <w:r>
              <w:rPr>
                <w:rStyle w:val="eop"/>
                <w:rFonts w:cs="Arial"/>
                <w:sz w:val="18"/>
                <w:szCs w:val="18"/>
              </w:rPr>
              <w:t xml:space="preserve">KS2 CRWM EXS+ </w:t>
            </w:r>
            <w:r w:rsidR="00F36A35">
              <w:rPr>
                <w:rStyle w:val="eop"/>
                <w:rFonts w:cs="Arial"/>
                <w:sz w:val="18"/>
                <w:szCs w:val="18"/>
              </w:rPr>
              <w:t>2021</w:t>
            </w:r>
            <w:r>
              <w:rPr>
                <w:rStyle w:val="eop"/>
                <w:rFonts w:cs="Arial"/>
                <w:sz w:val="18"/>
                <w:szCs w:val="18"/>
              </w:rPr>
              <w:t>:</w:t>
            </w:r>
            <w:r w:rsidRPr="00AA0CF3">
              <w:rPr>
                <w:rStyle w:val="eop"/>
                <w:rFonts w:cs="Arial"/>
                <w:sz w:val="18"/>
                <w:szCs w:val="18"/>
              </w:rPr>
              <w:t xml:space="preserve"> </w:t>
            </w:r>
            <w:r w:rsidR="00F36A35">
              <w:rPr>
                <w:rStyle w:val="eop"/>
                <w:rFonts w:cs="Arial"/>
                <w:sz w:val="18"/>
                <w:szCs w:val="18"/>
              </w:rPr>
              <w:t>64</w:t>
            </w:r>
            <w:r w:rsidRPr="00AA0CF3">
              <w:rPr>
                <w:rStyle w:val="eop"/>
                <w:rFonts w:cs="Arial"/>
                <w:sz w:val="18"/>
                <w:szCs w:val="18"/>
              </w:rPr>
              <w:t>%</w:t>
            </w:r>
          </w:p>
          <w:p w14:paraId="2461316D" w14:textId="109EF24F" w:rsidR="00A35D5A" w:rsidRPr="00AA0CF3" w:rsidRDefault="00A35D5A" w:rsidP="00A35D5A">
            <w:pPr>
              <w:pStyle w:val="TableRowCentered"/>
              <w:ind w:left="0"/>
              <w:jc w:val="left"/>
              <w:rPr>
                <w:rStyle w:val="eop"/>
                <w:rFonts w:cs="Arial"/>
                <w:sz w:val="18"/>
                <w:szCs w:val="18"/>
              </w:rPr>
            </w:pPr>
            <w:r w:rsidRPr="00AA0CF3">
              <w:rPr>
                <w:rStyle w:val="eop"/>
                <w:rFonts w:cs="Arial"/>
                <w:sz w:val="18"/>
                <w:szCs w:val="18"/>
              </w:rPr>
              <w:t>School</w:t>
            </w:r>
            <w:r>
              <w:rPr>
                <w:rStyle w:val="eop"/>
                <w:rFonts w:cs="Arial"/>
                <w:sz w:val="18"/>
                <w:szCs w:val="18"/>
              </w:rPr>
              <w:t xml:space="preserve"> KS2 CRWM EXS+ </w:t>
            </w:r>
            <w:r w:rsidR="00F36A35">
              <w:rPr>
                <w:rStyle w:val="eop"/>
                <w:rFonts w:cs="Arial"/>
                <w:sz w:val="18"/>
                <w:szCs w:val="18"/>
              </w:rPr>
              <w:t>2021</w:t>
            </w:r>
            <w:r w:rsidRPr="00AA0CF3">
              <w:rPr>
                <w:rStyle w:val="eop"/>
                <w:rFonts w:cs="Arial"/>
                <w:sz w:val="18"/>
                <w:szCs w:val="18"/>
              </w:rPr>
              <w:t xml:space="preserve"> disadvantaged</w:t>
            </w:r>
            <w:r>
              <w:rPr>
                <w:rStyle w:val="eop"/>
                <w:rFonts w:cs="Arial"/>
                <w:sz w:val="18"/>
                <w:szCs w:val="18"/>
              </w:rPr>
              <w:t>:</w:t>
            </w:r>
            <w:r w:rsidRPr="00AA0CF3">
              <w:rPr>
                <w:rStyle w:val="eop"/>
                <w:rFonts w:cs="Arial"/>
                <w:sz w:val="18"/>
                <w:szCs w:val="18"/>
              </w:rPr>
              <w:t xml:space="preserve"> </w:t>
            </w:r>
            <w:r w:rsidR="00F36A35">
              <w:rPr>
                <w:rStyle w:val="eop"/>
                <w:rFonts w:cs="Arial"/>
                <w:sz w:val="18"/>
                <w:szCs w:val="18"/>
              </w:rPr>
              <w:t>59</w:t>
            </w:r>
            <w:r w:rsidRPr="00AA0CF3">
              <w:rPr>
                <w:rStyle w:val="eop"/>
                <w:rFonts w:cs="Arial"/>
                <w:sz w:val="18"/>
                <w:szCs w:val="18"/>
              </w:rPr>
              <w:t>%</w:t>
            </w:r>
          </w:p>
          <w:p w14:paraId="2A7D550E" w14:textId="4317AEE8" w:rsidR="00A35D5A" w:rsidRDefault="00A35D5A" w:rsidP="00F36A35">
            <w:pPr>
              <w:pStyle w:val="TableRowCentered"/>
              <w:ind w:left="0"/>
              <w:jc w:val="left"/>
              <w:rPr>
                <w:sz w:val="22"/>
                <w:szCs w:val="22"/>
              </w:rPr>
            </w:pPr>
            <w:r w:rsidRPr="00AA0CF3">
              <w:rPr>
                <w:sz w:val="18"/>
                <w:szCs w:val="18"/>
              </w:rPr>
              <w:t xml:space="preserve">School </w:t>
            </w:r>
            <w:r>
              <w:rPr>
                <w:rStyle w:val="eop"/>
                <w:rFonts w:cs="Arial"/>
                <w:sz w:val="18"/>
                <w:szCs w:val="18"/>
              </w:rPr>
              <w:t xml:space="preserve">KS2 CRWM EXS+ </w:t>
            </w:r>
            <w:r w:rsidR="00F36A35">
              <w:rPr>
                <w:sz w:val="18"/>
                <w:szCs w:val="18"/>
              </w:rPr>
              <w:t>2021</w:t>
            </w:r>
            <w:r w:rsidRPr="00AA0CF3">
              <w:rPr>
                <w:sz w:val="18"/>
                <w:szCs w:val="18"/>
              </w:rPr>
              <w:t xml:space="preserve"> non-disadvantaged</w:t>
            </w:r>
            <w:r>
              <w:rPr>
                <w:sz w:val="18"/>
                <w:szCs w:val="18"/>
              </w:rPr>
              <w:t>:</w:t>
            </w:r>
            <w:r w:rsidR="00F36A35">
              <w:rPr>
                <w:sz w:val="18"/>
                <w:szCs w:val="18"/>
              </w:rPr>
              <w:t xml:space="preserve"> 73</w:t>
            </w:r>
            <w:r w:rsidRPr="00AA0CF3">
              <w:rPr>
                <w:sz w:val="18"/>
                <w:szCs w:val="18"/>
              </w:rPr>
              <w:t>%</w:t>
            </w:r>
          </w:p>
        </w:tc>
      </w:tr>
      <w:tr w:rsidR="001E7F52" w14:paraId="2D105A61" w14:textId="77777777" w:rsidTr="001E7F52">
        <w:tc>
          <w:tcPr>
            <w:tcW w:w="297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tcPr>
          <w:p w14:paraId="1351B90E" w14:textId="480ED27D" w:rsidR="001E7F52" w:rsidRPr="00AA0CF3" w:rsidRDefault="001E7F52" w:rsidP="00A35D5A">
            <w:pPr>
              <w:pStyle w:val="TableRow"/>
              <w:rPr>
                <w:rFonts w:cs="Arial"/>
                <w:sz w:val="18"/>
                <w:szCs w:val="18"/>
              </w:rPr>
            </w:pPr>
            <w:r>
              <w:rPr>
                <w:rFonts w:cs="Arial"/>
                <w:sz w:val="18"/>
                <w:szCs w:val="18"/>
              </w:rPr>
              <w:t>2021 – 2022 Review</w:t>
            </w:r>
          </w:p>
        </w:tc>
        <w:tc>
          <w:tcPr>
            <w:tcW w:w="65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tcPr>
          <w:p w14:paraId="6B8834C7" w14:textId="0091D060" w:rsidR="002847E9" w:rsidRPr="00AA0CF3" w:rsidRDefault="002847E9" w:rsidP="002847E9">
            <w:pPr>
              <w:pStyle w:val="TableRowCentered"/>
              <w:ind w:left="0"/>
              <w:jc w:val="left"/>
              <w:rPr>
                <w:rStyle w:val="eop"/>
                <w:rFonts w:cs="Arial"/>
                <w:sz w:val="18"/>
                <w:szCs w:val="18"/>
                <w:shd w:val="clear" w:color="auto" w:fill="FFFFFF"/>
              </w:rPr>
            </w:pPr>
            <w:r w:rsidRPr="00AA0CF3">
              <w:rPr>
                <w:rStyle w:val="eop"/>
                <w:rFonts w:cs="Arial"/>
                <w:sz w:val="18"/>
                <w:szCs w:val="18"/>
              </w:rPr>
              <w:t xml:space="preserve">National average </w:t>
            </w:r>
            <w:r>
              <w:rPr>
                <w:rStyle w:val="eop"/>
                <w:rFonts w:cs="Arial"/>
                <w:sz w:val="18"/>
                <w:szCs w:val="18"/>
              </w:rPr>
              <w:t>KS2 CRWM EXS+ 2022: 69</w:t>
            </w:r>
            <w:r w:rsidRPr="00AA0CF3">
              <w:rPr>
                <w:rStyle w:val="eop"/>
                <w:rFonts w:cs="Arial"/>
                <w:sz w:val="18"/>
                <w:szCs w:val="18"/>
              </w:rPr>
              <w:t>%</w:t>
            </w:r>
          </w:p>
          <w:p w14:paraId="635DABB4" w14:textId="489D9DB6" w:rsidR="002847E9" w:rsidRPr="00AA0CF3" w:rsidRDefault="002847E9" w:rsidP="002847E9">
            <w:pPr>
              <w:pStyle w:val="TableRowCentered"/>
              <w:ind w:left="0"/>
              <w:jc w:val="left"/>
              <w:rPr>
                <w:rStyle w:val="eop"/>
                <w:rFonts w:cs="Arial"/>
                <w:sz w:val="18"/>
                <w:szCs w:val="18"/>
              </w:rPr>
            </w:pPr>
            <w:r w:rsidRPr="00AA0CF3">
              <w:rPr>
                <w:rStyle w:val="eop"/>
                <w:rFonts w:cs="Arial"/>
                <w:sz w:val="18"/>
                <w:szCs w:val="18"/>
              </w:rPr>
              <w:t xml:space="preserve">School </w:t>
            </w:r>
            <w:r>
              <w:rPr>
                <w:rStyle w:val="eop"/>
                <w:rFonts w:cs="Arial"/>
                <w:sz w:val="18"/>
                <w:szCs w:val="18"/>
              </w:rPr>
              <w:t>KS2 CRWM EXS+ 2022:</w:t>
            </w:r>
            <w:r w:rsidRPr="00AA0CF3">
              <w:rPr>
                <w:rStyle w:val="eop"/>
                <w:rFonts w:cs="Arial"/>
                <w:sz w:val="18"/>
                <w:szCs w:val="18"/>
              </w:rPr>
              <w:t xml:space="preserve"> </w:t>
            </w:r>
            <w:r>
              <w:rPr>
                <w:rStyle w:val="eop"/>
                <w:rFonts w:cs="Arial"/>
                <w:sz w:val="18"/>
                <w:szCs w:val="18"/>
              </w:rPr>
              <w:t>69</w:t>
            </w:r>
            <w:r w:rsidRPr="00AA0CF3">
              <w:rPr>
                <w:rStyle w:val="eop"/>
                <w:rFonts w:cs="Arial"/>
                <w:sz w:val="18"/>
                <w:szCs w:val="18"/>
              </w:rPr>
              <w:t>%</w:t>
            </w:r>
          </w:p>
          <w:p w14:paraId="1B910A82" w14:textId="6D045E63" w:rsidR="002847E9" w:rsidRPr="00AA0CF3" w:rsidRDefault="002847E9" w:rsidP="002847E9">
            <w:pPr>
              <w:pStyle w:val="TableRowCentered"/>
              <w:ind w:left="0"/>
              <w:jc w:val="left"/>
              <w:rPr>
                <w:rStyle w:val="eop"/>
                <w:rFonts w:cs="Arial"/>
                <w:sz w:val="18"/>
                <w:szCs w:val="18"/>
              </w:rPr>
            </w:pPr>
            <w:r w:rsidRPr="00AA0CF3">
              <w:rPr>
                <w:rStyle w:val="eop"/>
                <w:rFonts w:cs="Arial"/>
                <w:sz w:val="18"/>
                <w:szCs w:val="18"/>
              </w:rPr>
              <w:t>School</w:t>
            </w:r>
            <w:r>
              <w:rPr>
                <w:rStyle w:val="eop"/>
                <w:rFonts w:cs="Arial"/>
                <w:sz w:val="18"/>
                <w:szCs w:val="18"/>
              </w:rPr>
              <w:t xml:space="preserve"> KS2 CRWM EXS+ 2022</w:t>
            </w:r>
            <w:r w:rsidRPr="00AA0CF3">
              <w:rPr>
                <w:rStyle w:val="eop"/>
                <w:rFonts w:cs="Arial"/>
                <w:sz w:val="18"/>
                <w:szCs w:val="18"/>
              </w:rPr>
              <w:t xml:space="preserve"> disadvantaged</w:t>
            </w:r>
            <w:r>
              <w:rPr>
                <w:rStyle w:val="eop"/>
                <w:rFonts w:cs="Arial"/>
                <w:sz w:val="18"/>
                <w:szCs w:val="18"/>
              </w:rPr>
              <w:t>:</w:t>
            </w:r>
            <w:r w:rsidRPr="00AA0CF3">
              <w:rPr>
                <w:rStyle w:val="eop"/>
                <w:rFonts w:cs="Arial"/>
                <w:sz w:val="18"/>
                <w:szCs w:val="18"/>
              </w:rPr>
              <w:t xml:space="preserve"> </w:t>
            </w:r>
            <w:r>
              <w:rPr>
                <w:rStyle w:val="eop"/>
                <w:rFonts w:cs="Arial"/>
                <w:sz w:val="18"/>
                <w:szCs w:val="18"/>
              </w:rPr>
              <w:t>57</w:t>
            </w:r>
            <w:r w:rsidRPr="00AA0CF3">
              <w:rPr>
                <w:rStyle w:val="eop"/>
                <w:rFonts w:cs="Arial"/>
                <w:sz w:val="18"/>
                <w:szCs w:val="18"/>
              </w:rPr>
              <w:t>%</w:t>
            </w:r>
          </w:p>
          <w:p w14:paraId="41351917" w14:textId="08E94EDE" w:rsidR="001E7F52" w:rsidRPr="00AA0CF3" w:rsidRDefault="002847E9" w:rsidP="002847E9">
            <w:pPr>
              <w:pStyle w:val="TableRowCentered"/>
              <w:ind w:left="0"/>
              <w:jc w:val="left"/>
              <w:rPr>
                <w:sz w:val="18"/>
                <w:szCs w:val="18"/>
              </w:rPr>
            </w:pPr>
            <w:r w:rsidRPr="00AA0CF3">
              <w:rPr>
                <w:sz w:val="18"/>
                <w:szCs w:val="18"/>
              </w:rPr>
              <w:t xml:space="preserve">School </w:t>
            </w:r>
            <w:r>
              <w:rPr>
                <w:rStyle w:val="eop"/>
                <w:rFonts w:cs="Arial"/>
                <w:sz w:val="18"/>
                <w:szCs w:val="18"/>
              </w:rPr>
              <w:t xml:space="preserve">KS2 CRWM EXS+ </w:t>
            </w:r>
            <w:r>
              <w:rPr>
                <w:sz w:val="18"/>
                <w:szCs w:val="18"/>
              </w:rPr>
              <w:t>2022</w:t>
            </w:r>
            <w:r w:rsidRPr="00AA0CF3">
              <w:rPr>
                <w:sz w:val="18"/>
                <w:szCs w:val="18"/>
              </w:rPr>
              <w:t xml:space="preserve"> non-disadvantaged</w:t>
            </w:r>
            <w:r>
              <w:rPr>
                <w:sz w:val="18"/>
                <w:szCs w:val="18"/>
              </w:rPr>
              <w:t xml:space="preserve">: </w:t>
            </w:r>
            <w:r w:rsidRPr="00AA0CF3">
              <w:rPr>
                <w:sz w:val="18"/>
                <w:szCs w:val="18"/>
              </w:rPr>
              <w:t>%</w:t>
            </w:r>
          </w:p>
        </w:tc>
      </w:tr>
      <w:tr w:rsidR="00A35D5A" w:rsidRPr="00AA0CF3" w14:paraId="26EA3B7A" w14:textId="77777777" w:rsidTr="00F36A3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220469" w14:textId="02F86D76" w:rsidR="00A35D5A" w:rsidRPr="00AA0CF3" w:rsidRDefault="00A35D5A" w:rsidP="00A35D5A">
            <w:pPr>
              <w:pStyle w:val="TableRow"/>
              <w:rPr>
                <w:rFonts w:cs="Arial"/>
                <w:sz w:val="18"/>
                <w:szCs w:val="18"/>
              </w:rPr>
            </w:pPr>
            <w:r w:rsidRPr="00AA0CF3">
              <w:rPr>
                <w:rFonts w:cs="Arial"/>
                <w:sz w:val="18"/>
                <w:szCs w:val="18"/>
              </w:rPr>
              <w:t>Develop the vocabulary of disadvantaged leaners, in general and across the wider curriculum.</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8BF132" w14:textId="0883CADE" w:rsidR="00A35D5A" w:rsidRDefault="00A35D5A" w:rsidP="00A35D5A">
            <w:pPr>
              <w:pStyle w:val="TableRowCentered"/>
              <w:ind w:left="0"/>
              <w:jc w:val="left"/>
              <w:rPr>
                <w:rStyle w:val="eop"/>
                <w:rFonts w:cs="Arial"/>
                <w:sz w:val="18"/>
                <w:szCs w:val="18"/>
                <w:shd w:val="clear" w:color="auto" w:fill="FFFFFF"/>
              </w:rPr>
            </w:pPr>
            <w:r w:rsidRPr="00AA0CF3">
              <w:rPr>
                <w:rStyle w:val="normaltextrun"/>
                <w:rFonts w:cs="Arial"/>
                <w:sz w:val="18"/>
                <w:szCs w:val="18"/>
                <w:shd w:val="clear" w:color="auto" w:fill="FFFFFF"/>
              </w:rPr>
              <w:t>Reading attainment for disadvantaged learners</w:t>
            </w:r>
            <w:r w:rsidR="00D15940">
              <w:rPr>
                <w:rStyle w:val="normaltextrun"/>
                <w:rFonts w:cs="Arial"/>
                <w:sz w:val="18"/>
                <w:szCs w:val="18"/>
                <w:shd w:val="clear" w:color="auto" w:fill="FFFFFF"/>
              </w:rPr>
              <w:t xml:space="preserve"> at EXS increases at KS1 </w:t>
            </w:r>
            <w:r w:rsidRPr="00AA0CF3">
              <w:rPr>
                <w:rStyle w:val="normaltextrun"/>
                <w:rFonts w:cs="Arial"/>
                <w:sz w:val="18"/>
                <w:szCs w:val="18"/>
                <w:shd w:val="clear" w:color="auto" w:fill="FFFFFF"/>
              </w:rPr>
              <w:t>so that it is closer to national average and there is no difference when compared to their peers.</w:t>
            </w:r>
            <w:r w:rsidRPr="00AA0CF3">
              <w:rPr>
                <w:rStyle w:val="eop"/>
                <w:rFonts w:cs="Arial"/>
                <w:sz w:val="18"/>
                <w:szCs w:val="18"/>
                <w:shd w:val="clear" w:color="auto" w:fill="FFFFFF"/>
              </w:rPr>
              <w:t> </w:t>
            </w:r>
          </w:p>
          <w:p w14:paraId="430A5481" w14:textId="2CCE5B06" w:rsidR="00D15940" w:rsidRDefault="00D15940" w:rsidP="00A35D5A">
            <w:pPr>
              <w:pStyle w:val="TableRowCentered"/>
              <w:ind w:left="0"/>
              <w:jc w:val="left"/>
              <w:rPr>
                <w:rStyle w:val="eop"/>
                <w:rFonts w:cs="Arial"/>
                <w:sz w:val="18"/>
                <w:szCs w:val="18"/>
                <w:shd w:val="clear" w:color="auto" w:fill="FFFFFF"/>
              </w:rPr>
            </w:pPr>
          </w:p>
          <w:p w14:paraId="0386B373" w14:textId="397FF044" w:rsidR="00D15940" w:rsidRPr="00AA0CF3" w:rsidRDefault="00D15940" w:rsidP="00A35D5A">
            <w:pPr>
              <w:pStyle w:val="TableRowCentered"/>
              <w:ind w:left="0"/>
              <w:jc w:val="left"/>
              <w:rPr>
                <w:rStyle w:val="eop"/>
                <w:rFonts w:cs="Arial"/>
                <w:sz w:val="18"/>
                <w:szCs w:val="18"/>
                <w:shd w:val="clear" w:color="auto" w:fill="FFFFFF"/>
              </w:rPr>
            </w:pPr>
            <w:r w:rsidRPr="00D15940">
              <w:rPr>
                <w:rStyle w:val="eop"/>
                <w:rFonts w:cs="Arial"/>
                <w:sz w:val="18"/>
                <w:szCs w:val="18"/>
                <w:shd w:val="clear" w:color="auto" w:fill="FFFFFF"/>
              </w:rPr>
              <w:t xml:space="preserve">Reading attainment for disadvantaged </w:t>
            </w:r>
            <w:r>
              <w:rPr>
                <w:rStyle w:val="eop"/>
                <w:rFonts w:cs="Arial"/>
                <w:sz w:val="18"/>
                <w:szCs w:val="18"/>
                <w:shd w:val="clear" w:color="auto" w:fill="FFFFFF"/>
              </w:rPr>
              <w:t>learners at EXS increases at KS2</w:t>
            </w:r>
            <w:r w:rsidRPr="00D15940">
              <w:rPr>
                <w:rStyle w:val="eop"/>
                <w:rFonts w:cs="Arial"/>
                <w:sz w:val="18"/>
                <w:szCs w:val="18"/>
                <w:shd w:val="clear" w:color="auto" w:fill="FFFFFF"/>
              </w:rPr>
              <w:t xml:space="preserve"> so that there is no difference when compared to their peers.</w:t>
            </w:r>
          </w:p>
          <w:p w14:paraId="06B0B22C" w14:textId="77777777" w:rsidR="00A35D5A" w:rsidRPr="00AA0CF3" w:rsidRDefault="00A35D5A" w:rsidP="00A35D5A">
            <w:pPr>
              <w:pStyle w:val="TableRowCentered"/>
              <w:jc w:val="left"/>
              <w:rPr>
                <w:rStyle w:val="eop"/>
                <w:rFonts w:cs="Arial"/>
                <w:sz w:val="18"/>
                <w:szCs w:val="18"/>
                <w:shd w:val="clear" w:color="auto" w:fill="FFFFFF"/>
              </w:rPr>
            </w:pPr>
          </w:p>
          <w:p w14:paraId="43AFE7C9" w14:textId="77777777" w:rsidR="00A35D5A" w:rsidRPr="00AA0CF3" w:rsidRDefault="00A35D5A" w:rsidP="00A35D5A">
            <w:pPr>
              <w:pStyle w:val="TableRowCentered"/>
              <w:ind w:left="0"/>
              <w:jc w:val="left"/>
              <w:rPr>
                <w:rStyle w:val="eop"/>
                <w:rFonts w:cs="Arial"/>
                <w:sz w:val="18"/>
                <w:szCs w:val="18"/>
                <w:shd w:val="clear" w:color="auto" w:fill="FFFFFF"/>
              </w:rPr>
            </w:pPr>
            <w:r w:rsidRPr="00AA0CF3">
              <w:rPr>
                <w:rStyle w:val="normaltextrun"/>
                <w:rFonts w:cs="Arial"/>
                <w:sz w:val="18"/>
                <w:szCs w:val="18"/>
                <w:shd w:val="clear" w:color="auto" w:fill="FFFFFF"/>
              </w:rPr>
              <w:t>Children can apply vocabulary to a higher degree in oral and written work across the whole curriculum, as identified through ‘deep dive’ enquiries across the full curriculum.</w:t>
            </w:r>
          </w:p>
          <w:p w14:paraId="4E5BE924" w14:textId="77777777" w:rsidR="00A35D5A" w:rsidRPr="00AA0CF3" w:rsidRDefault="00A35D5A" w:rsidP="00A35D5A">
            <w:pPr>
              <w:pStyle w:val="TableRowCentered"/>
              <w:jc w:val="left"/>
              <w:rPr>
                <w:rStyle w:val="eop"/>
                <w:rFonts w:cs="Arial"/>
                <w:sz w:val="18"/>
                <w:szCs w:val="18"/>
                <w:shd w:val="clear" w:color="auto" w:fill="FFFFFF"/>
              </w:rPr>
            </w:pPr>
          </w:p>
          <w:p w14:paraId="370BE771" w14:textId="5AEBD04D" w:rsidR="00A35D5A" w:rsidRDefault="00A35D5A" w:rsidP="00A35D5A">
            <w:pPr>
              <w:pStyle w:val="TableRowCentered"/>
              <w:ind w:left="0"/>
              <w:jc w:val="left"/>
              <w:rPr>
                <w:rStyle w:val="eop"/>
                <w:rFonts w:cs="Arial"/>
                <w:b/>
                <w:sz w:val="18"/>
                <w:szCs w:val="18"/>
              </w:rPr>
            </w:pPr>
            <w:r w:rsidRPr="00AA0CF3">
              <w:rPr>
                <w:rStyle w:val="eop"/>
                <w:rFonts w:cs="Arial"/>
                <w:b/>
                <w:sz w:val="18"/>
                <w:szCs w:val="18"/>
              </w:rPr>
              <w:lastRenderedPageBreak/>
              <w:t>Baseline data from start of strategy:</w:t>
            </w:r>
          </w:p>
          <w:p w14:paraId="6C4118F9" w14:textId="19E3F63E" w:rsidR="00D15940" w:rsidRPr="00AA0CF3" w:rsidRDefault="00D15940" w:rsidP="00D15940">
            <w:pPr>
              <w:pStyle w:val="TableRowCentered"/>
              <w:ind w:left="0"/>
              <w:jc w:val="left"/>
              <w:rPr>
                <w:rStyle w:val="eop"/>
                <w:rFonts w:cs="Arial"/>
                <w:sz w:val="18"/>
                <w:szCs w:val="18"/>
                <w:shd w:val="clear" w:color="auto" w:fill="FFFFFF"/>
              </w:rPr>
            </w:pPr>
            <w:r w:rsidRPr="00AA0CF3">
              <w:rPr>
                <w:rStyle w:val="eop"/>
                <w:rFonts w:cs="Arial"/>
                <w:sz w:val="18"/>
                <w:szCs w:val="18"/>
              </w:rPr>
              <w:t xml:space="preserve">National </w:t>
            </w:r>
            <w:r>
              <w:rPr>
                <w:rStyle w:val="eop"/>
                <w:rFonts w:cs="Arial"/>
                <w:sz w:val="18"/>
                <w:szCs w:val="18"/>
              </w:rPr>
              <w:t xml:space="preserve">KS1 reading EXS+ </w:t>
            </w:r>
            <w:r w:rsidRPr="00AA0CF3">
              <w:rPr>
                <w:rStyle w:val="eop"/>
                <w:rFonts w:cs="Arial"/>
                <w:sz w:val="18"/>
                <w:szCs w:val="18"/>
              </w:rPr>
              <w:t>average 2019</w:t>
            </w:r>
            <w:r>
              <w:rPr>
                <w:rStyle w:val="eop"/>
                <w:rFonts w:cs="Arial"/>
                <w:sz w:val="18"/>
                <w:szCs w:val="18"/>
              </w:rPr>
              <w:t>:</w:t>
            </w:r>
            <w:r w:rsidRPr="00AA0CF3">
              <w:rPr>
                <w:rStyle w:val="eop"/>
                <w:rFonts w:cs="Arial"/>
                <w:sz w:val="18"/>
                <w:szCs w:val="18"/>
              </w:rPr>
              <w:t xml:space="preserve"> </w:t>
            </w:r>
            <w:r>
              <w:rPr>
                <w:rStyle w:val="eop"/>
                <w:rFonts w:cs="Arial"/>
                <w:sz w:val="18"/>
                <w:szCs w:val="18"/>
              </w:rPr>
              <w:t>75</w:t>
            </w:r>
            <w:r w:rsidRPr="00AA0CF3">
              <w:rPr>
                <w:rStyle w:val="eop"/>
                <w:rFonts w:cs="Arial"/>
                <w:sz w:val="18"/>
                <w:szCs w:val="18"/>
              </w:rPr>
              <w:t>%</w:t>
            </w:r>
          </w:p>
          <w:p w14:paraId="1867F854" w14:textId="7F9DC72E" w:rsidR="00D15940" w:rsidRPr="00AA0CF3" w:rsidRDefault="00D15940" w:rsidP="00D15940">
            <w:pPr>
              <w:pStyle w:val="TableRowCentered"/>
              <w:ind w:left="0"/>
              <w:jc w:val="left"/>
              <w:rPr>
                <w:rStyle w:val="eop"/>
                <w:rFonts w:cs="Arial"/>
                <w:sz w:val="18"/>
                <w:szCs w:val="18"/>
              </w:rPr>
            </w:pPr>
            <w:r w:rsidRPr="00AA0CF3">
              <w:rPr>
                <w:rStyle w:val="eop"/>
                <w:rFonts w:cs="Arial"/>
                <w:sz w:val="18"/>
                <w:szCs w:val="18"/>
              </w:rPr>
              <w:t xml:space="preserve">School </w:t>
            </w:r>
            <w:r>
              <w:rPr>
                <w:rStyle w:val="eop"/>
                <w:rFonts w:cs="Arial"/>
                <w:sz w:val="18"/>
                <w:szCs w:val="18"/>
              </w:rPr>
              <w:t>KS1 reading EXS+ 2021:</w:t>
            </w:r>
            <w:r w:rsidRPr="00AA0CF3">
              <w:rPr>
                <w:rStyle w:val="eop"/>
                <w:rFonts w:cs="Arial"/>
                <w:sz w:val="18"/>
                <w:szCs w:val="18"/>
              </w:rPr>
              <w:t xml:space="preserve"> </w:t>
            </w:r>
            <w:r>
              <w:rPr>
                <w:rStyle w:val="eop"/>
                <w:rFonts w:cs="Arial"/>
                <w:sz w:val="18"/>
                <w:szCs w:val="18"/>
              </w:rPr>
              <w:t>62</w:t>
            </w:r>
            <w:r w:rsidRPr="00AA0CF3">
              <w:rPr>
                <w:rStyle w:val="eop"/>
                <w:rFonts w:cs="Arial"/>
                <w:sz w:val="18"/>
                <w:szCs w:val="18"/>
              </w:rPr>
              <w:t>%</w:t>
            </w:r>
          </w:p>
          <w:p w14:paraId="67AE6955" w14:textId="22BE8E91" w:rsidR="00D15940" w:rsidRPr="00AA0CF3" w:rsidRDefault="00D15940" w:rsidP="00D15940">
            <w:pPr>
              <w:pStyle w:val="TableRowCentered"/>
              <w:ind w:left="0"/>
              <w:jc w:val="left"/>
              <w:rPr>
                <w:rStyle w:val="eop"/>
                <w:rFonts w:cs="Arial"/>
                <w:sz w:val="18"/>
                <w:szCs w:val="18"/>
              </w:rPr>
            </w:pPr>
            <w:r w:rsidRPr="00AA0CF3">
              <w:rPr>
                <w:rStyle w:val="eop"/>
                <w:rFonts w:cs="Arial"/>
                <w:sz w:val="18"/>
                <w:szCs w:val="18"/>
              </w:rPr>
              <w:t xml:space="preserve">School </w:t>
            </w:r>
            <w:r>
              <w:rPr>
                <w:rStyle w:val="eop"/>
                <w:rFonts w:cs="Arial"/>
                <w:sz w:val="18"/>
                <w:szCs w:val="18"/>
              </w:rPr>
              <w:t>KS1 reading EXS+ 2021</w:t>
            </w:r>
            <w:r w:rsidRPr="00AA0CF3">
              <w:rPr>
                <w:rStyle w:val="eop"/>
                <w:rFonts w:cs="Arial"/>
                <w:sz w:val="18"/>
                <w:szCs w:val="18"/>
              </w:rPr>
              <w:t xml:space="preserve"> disadvantaged</w:t>
            </w:r>
            <w:r>
              <w:rPr>
                <w:rStyle w:val="eop"/>
                <w:rFonts w:cs="Arial"/>
                <w:sz w:val="18"/>
                <w:szCs w:val="18"/>
              </w:rPr>
              <w:t>:</w:t>
            </w:r>
            <w:r w:rsidRPr="00AA0CF3">
              <w:rPr>
                <w:rStyle w:val="eop"/>
                <w:rFonts w:cs="Arial"/>
                <w:sz w:val="18"/>
                <w:szCs w:val="18"/>
              </w:rPr>
              <w:t xml:space="preserve"> </w:t>
            </w:r>
            <w:r>
              <w:rPr>
                <w:rStyle w:val="eop"/>
                <w:rFonts w:cs="Arial"/>
                <w:sz w:val="18"/>
                <w:szCs w:val="18"/>
              </w:rPr>
              <w:t>50</w:t>
            </w:r>
            <w:r w:rsidRPr="00AA0CF3">
              <w:rPr>
                <w:rStyle w:val="eop"/>
                <w:rFonts w:cs="Arial"/>
                <w:sz w:val="18"/>
                <w:szCs w:val="18"/>
              </w:rPr>
              <w:t>%</w:t>
            </w:r>
          </w:p>
          <w:p w14:paraId="23A30F50" w14:textId="0AE354AE" w:rsidR="00D15940" w:rsidRDefault="00D15940" w:rsidP="00D15940">
            <w:pPr>
              <w:pStyle w:val="TableRowCentered"/>
              <w:ind w:left="0"/>
              <w:jc w:val="left"/>
              <w:rPr>
                <w:rStyle w:val="eop"/>
                <w:rFonts w:cs="Arial"/>
                <w:b/>
                <w:sz w:val="18"/>
                <w:szCs w:val="18"/>
              </w:rPr>
            </w:pPr>
            <w:r w:rsidRPr="00AA0CF3">
              <w:rPr>
                <w:sz w:val="18"/>
                <w:szCs w:val="18"/>
              </w:rPr>
              <w:t xml:space="preserve">School </w:t>
            </w:r>
            <w:r>
              <w:rPr>
                <w:rStyle w:val="eop"/>
                <w:rFonts w:cs="Arial"/>
                <w:sz w:val="18"/>
                <w:szCs w:val="18"/>
              </w:rPr>
              <w:t xml:space="preserve">KS1 reading EXS+ </w:t>
            </w:r>
            <w:r>
              <w:rPr>
                <w:sz w:val="18"/>
                <w:szCs w:val="18"/>
              </w:rPr>
              <w:t>2021</w:t>
            </w:r>
            <w:r w:rsidRPr="00AA0CF3">
              <w:rPr>
                <w:sz w:val="18"/>
                <w:szCs w:val="18"/>
              </w:rPr>
              <w:t xml:space="preserve"> non-disadvantaged</w:t>
            </w:r>
            <w:r>
              <w:rPr>
                <w:sz w:val="18"/>
                <w:szCs w:val="18"/>
              </w:rPr>
              <w:t>: 77</w:t>
            </w:r>
            <w:r w:rsidRPr="00AA0CF3">
              <w:rPr>
                <w:sz w:val="18"/>
                <w:szCs w:val="18"/>
              </w:rPr>
              <w:t>%</w:t>
            </w:r>
          </w:p>
          <w:p w14:paraId="54832B5E" w14:textId="77777777" w:rsidR="00D15940" w:rsidRPr="00AA0CF3" w:rsidRDefault="00D15940" w:rsidP="00A35D5A">
            <w:pPr>
              <w:pStyle w:val="TableRowCentered"/>
              <w:ind w:left="0"/>
              <w:jc w:val="left"/>
              <w:rPr>
                <w:rStyle w:val="eop"/>
                <w:rFonts w:cs="Arial"/>
                <w:b/>
                <w:sz w:val="18"/>
                <w:szCs w:val="18"/>
              </w:rPr>
            </w:pPr>
          </w:p>
          <w:p w14:paraId="5EBA99F7" w14:textId="77777777" w:rsidR="00A35D5A" w:rsidRPr="00AA0CF3" w:rsidRDefault="00A35D5A" w:rsidP="00A35D5A">
            <w:pPr>
              <w:pStyle w:val="TableRowCentered"/>
              <w:ind w:left="0"/>
              <w:jc w:val="left"/>
              <w:rPr>
                <w:rStyle w:val="eop"/>
                <w:rFonts w:cs="Arial"/>
                <w:sz w:val="18"/>
                <w:szCs w:val="18"/>
                <w:shd w:val="clear" w:color="auto" w:fill="FFFFFF"/>
              </w:rPr>
            </w:pPr>
            <w:r w:rsidRPr="00AA0CF3">
              <w:rPr>
                <w:rStyle w:val="eop"/>
                <w:rFonts w:cs="Arial"/>
                <w:sz w:val="18"/>
                <w:szCs w:val="18"/>
              </w:rPr>
              <w:t xml:space="preserve">National </w:t>
            </w:r>
            <w:r>
              <w:rPr>
                <w:rStyle w:val="eop"/>
                <w:rFonts w:cs="Arial"/>
                <w:sz w:val="18"/>
                <w:szCs w:val="18"/>
              </w:rPr>
              <w:t xml:space="preserve">KS2 reading EXS+ </w:t>
            </w:r>
            <w:r w:rsidRPr="00AA0CF3">
              <w:rPr>
                <w:rStyle w:val="eop"/>
                <w:rFonts w:cs="Arial"/>
                <w:sz w:val="18"/>
                <w:szCs w:val="18"/>
              </w:rPr>
              <w:t>average 2019</w:t>
            </w:r>
            <w:r>
              <w:rPr>
                <w:rStyle w:val="eop"/>
                <w:rFonts w:cs="Arial"/>
                <w:sz w:val="18"/>
                <w:szCs w:val="18"/>
              </w:rPr>
              <w:t>:</w:t>
            </w:r>
            <w:r w:rsidRPr="00AA0CF3">
              <w:rPr>
                <w:rStyle w:val="eop"/>
                <w:rFonts w:cs="Arial"/>
                <w:sz w:val="18"/>
                <w:szCs w:val="18"/>
              </w:rPr>
              <w:t xml:space="preserve"> 73%</w:t>
            </w:r>
          </w:p>
          <w:p w14:paraId="37B1703F" w14:textId="7C8D9553" w:rsidR="00A35D5A" w:rsidRPr="00AA0CF3" w:rsidRDefault="00A35D5A" w:rsidP="00A35D5A">
            <w:pPr>
              <w:pStyle w:val="TableRowCentered"/>
              <w:ind w:left="0"/>
              <w:jc w:val="left"/>
              <w:rPr>
                <w:rStyle w:val="eop"/>
                <w:rFonts w:cs="Arial"/>
                <w:sz w:val="18"/>
                <w:szCs w:val="18"/>
              </w:rPr>
            </w:pPr>
            <w:r w:rsidRPr="00AA0CF3">
              <w:rPr>
                <w:rStyle w:val="eop"/>
                <w:rFonts w:cs="Arial"/>
                <w:sz w:val="18"/>
                <w:szCs w:val="18"/>
              </w:rPr>
              <w:t xml:space="preserve">School </w:t>
            </w:r>
            <w:r>
              <w:rPr>
                <w:rStyle w:val="eop"/>
                <w:rFonts w:cs="Arial"/>
                <w:sz w:val="18"/>
                <w:szCs w:val="18"/>
              </w:rPr>
              <w:t xml:space="preserve">KS2 reading EXS+ </w:t>
            </w:r>
            <w:r w:rsidR="00D15940">
              <w:rPr>
                <w:rStyle w:val="eop"/>
                <w:rFonts w:cs="Arial"/>
                <w:sz w:val="18"/>
                <w:szCs w:val="18"/>
              </w:rPr>
              <w:t>2021</w:t>
            </w:r>
            <w:r>
              <w:rPr>
                <w:rStyle w:val="eop"/>
                <w:rFonts w:cs="Arial"/>
                <w:sz w:val="18"/>
                <w:szCs w:val="18"/>
              </w:rPr>
              <w:t>:</w:t>
            </w:r>
            <w:r w:rsidRPr="00AA0CF3">
              <w:rPr>
                <w:rStyle w:val="eop"/>
                <w:rFonts w:cs="Arial"/>
                <w:sz w:val="18"/>
                <w:szCs w:val="18"/>
              </w:rPr>
              <w:t xml:space="preserve"> </w:t>
            </w:r>
            <w:r w:rsidR="00D15940">
              <w:rPr>
                <w:rStyle w:val="eop"/>
                <w:rFonts w:cs="Arial"/>
                <w:sz w:val="18"/>
                <w:szCs w:val="18"/>
              </w:rPr>
              <w:t>81</w:t>
            </w:r>
            <w:r w:rsidRPr="00AA0CF3">
              <w:rPr>
                <w:rStyle w:val="eop"/>
                <w:rFonts w:cs="Arial"/>
                <w:sz w:val="18"/>
                <w:szCs w:val="18"/>
              </w:rPr>
              <w:t>%</w:t>
            </w:r>
          </w:p>
          <w:p w14:paraId="2D2C00B9" w14:textId="7144C0EE" w:rsidR="00A35D5A" w:rsidRPr="00AA0CF3" w:rsidRDefault="00A35D5A" w:rsidP="00A35D5A">
            <w:pPr>
              <w:pStyle w:val="TableRowCentered"/>
              <w:ind w:left="0"/>
              <w:jc w:val="left"/>
              <w:rPr>
                <w:rStyle w:val="eop"/>
                <w:rFonts w:cs="Arial"/>
                <w:sz w:val="18"/>
                <w:szCs w:val="18"/>
              </w:rPr>
            </w:pPr>
            <w:r w:rsidRPr="00AA0CF3">
              <w:rPr>
                <w:rStyle w:val="eop"/>
                <w:rFonts w:cs="Arial"/>
                <w:sz w:val="18"/>
                <w:szCs w:val="18"/>
              </w:rPr>
              <w:t xml:space="preserve">School </w:t>
            </w:r>
            <w:r>
              <w:rPr>
                <w:rStyle w:val="eop"/>
                <w:rFonts w:cs="Arial"/>
                <w:sz w:val="18"/>
                <w:szCs w:val="18"/>
              </w:rPr>
              <w:t xml:space="preserve">KS2 reading EXS+ </w:t>
            </w:r>
            <w:r w:rsidR="00D15940">
              <w:rPr>
                <w:rStyle w:val="eop"/>
                <w:rFonts w:cs="Arial"/>
                <w:sz w:val="18"/>
                <w:szCs w:val="18"/>
              </w:rPr>
              <w:t>2021</w:t>
            </w:r>
            <w:r w:rsidRPr="00AA0CF3">
              <w:rPr>
                <w:rStyle w:val="eop"/>
                <w:rFonts w:cs="Arial"/>
                <w:sz w:val="18"/>
                <w:szCs w:val="18"/>
              </w:rPr>
              <w:t xml:space="preserve"> disadvantaged</w:t>
            </w:r>
            <w:r>
              <w:rPr>
                <w:rStyle w:val="eop"/>
                <w:rFonts w:cs="Arial"/>
                <w:sz w:val="18"/>
                <w:szCs w:val="18"/>
              </w:rPr>
              <w:t>:</w:t>
            </w:r>
            <w:r w:rsidRPr="00AA0CF3">
              <w:rPr>
                <w:rStyle w:val="eop"/>
                <w:rFonts w:cs="Arial"/>
                <w:sz w:val="18"/>
                <w:szCs w:val="18"/>
              </w:rPr>
              <w:t xml:space="preserve"> </w:t>
            </w:r>
            <w:r w:rsidR="00D15940">
              <w:rPr>
                <w:rStyle w:val="eop"/>
                <w:rFonts w:cs="Arial"/>
                <w:sz w:val="18"/>
                <w:szCs w:val="18"/>
              </w:rPr>
              <w:t>76</w:t>
            </w:r>
            <w:r w:rsidRPr="00AA0CF3">
              <w:rPr>
                <w:rStyle w:val="eop"/>
                <w:rFonts w:cs="Arial"/>
                <w:sz w:val="18"/>
                <w:szCs w:val="18"/>
              </w:rPr>
              <w:t>%</w:t>
            </w:r>
          </w:p>
          <w:p w14:paraId="110FD1A4" w14:textId="435B1577" w:rsidR="00A35D5A" w:rsidRPr="00AA0CF3" w:rsidRDefault="00A35D5A" w:rsidP="00A35D5A">
            <w:pPr>
              <w:pStyle w:val="TableRowCentered"/>
              <w:ind w:left="0"/>
              <w:jc w:val="left"/>
              <w:rPr>
                <w:rFonts w:cs="Arial"/>
                <w:sz w:val="18"/>
                <w:szCs w:val="18"/>
                <w:shd w:val="clear" w:color="auto" w:fill="FFFFFF"/>
              </w:rPr>
            </w:pPr>
            <w:r w:rsidRPr="00AA0CF3">
              <w:rPr>
                <w:sz w:val="18"/>
                <w:szCs w:val="18"/>
              </w:rPr>
              <w:t xml:space="preserve">School </w:t>
            </w:r>
            <w:r>
              <w:rPr>
                <w:rStyle w:val="eop"/>
                <w:rFonts w:cs="Arial"/>
                <w:sz w:val="18"/>
                <w:szCs w:val="18"/>
              </w:rPr>
              <w:t xml:space="preserve">KS2 reading EXS+ </w:t>
            </w:r>
            <w:r w:rsidR="00D15940">
              <w:rPr>
                <w:sz w:val="18"/>
                <w:szCs w:val="18"/>
              </w:rPr>
              <w:t>2021</w:t>
            </w:r>
            <w:r w:rsidRPr="00AA0CF3">
              <w:rPr>
                <w:sz w:val="18"/>
                <w:szCs w:val="18"/>
              </w:rPr>
              <w:t xml:space="preserve"> non-disadvantaged</w:t>
            </w:r>
            <w:r>
              <w:rPr>
                <w:sz w:val="18"/>
                <w:szCs w:val="18"/>
              </w:rPr>
              <w:t>:</w:t>
            </w:r>
            <w:r w:rsidR="00D15940">
              <w:rPr>
                <w:sz w:val="18"/>
                <w:szCs w:val="18"/>
              </w:rPr>
              <w:t xml:space="preserve"> 91</w:t>
            </w:r>
            <w:r w:rsidRPr="00AA0CF3">
              <w:rPr>
                <w:sz w:val="18"/>
                <w:szCs w:val="18"/>
              </w:rPr>
              <w:t>%</w:t>
            </w:r>
          </w:p>
        </w:tc>
      </w:tr>
      <w:tr w:rsidR="001E7F52" w:rsidRPr="00AA0CF3" w14:paraId="05DC20C8" w14:textId="77777777" w:rsidTr="00811143">
        <w:tc>
          <w:tcPr>
            <w:tcW w:w="297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tcPr>
          <w:p w14:paraId="48E2ECAB" w14:textId="5FD7084A" w:rsidR="001E7F52" w:rsidRPr="002847E9" w:rsidRDefault="001E7F52" w:rsidP="00A35D5A">
            <w:pPr>
              <w:pStyle w:val="TableRow"/>
              <w:rPr>
                <w:rFonts w:cs="Arial"/>
                <w:sz w:val="18"/>
                <w:szCs w:val="18"/>
              </w:rPr>
            </w:pPr>
            <w:r w:rsidRPr="002847E9">
              <w:rPr>
                <w:rFonts w:cs="Arial"/>
                <w:sz w:val="18"/>
                <w:szCs w:val="18"/>
              </w:rPr>
              <w:lastRenderedPageBreak/>
              <w:t>2021 – 2022 Review</w:t>
            </w:r>
          </w:p>
        </w:tc>
        <w:tc>
          <w:tcPr>
            <w:tcW w:w="65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tcPr>
          <w:p w14:paraId="10AA2800" w14:textId="77777777" w:rsidR="002847E9" w:rsidRDefault="002847E9" w:rsidP="00A35D5A">
            <w:pPr>
              <w:pStyle w:val="TableRowCentered"/>
              <w:ind w:left="0"/>
              <w:jc w:val="left"/>
              <w:rPr>
                <w:rStyle w:val="normaltextrun"/>
                <w:rFonts w:cs="Arial"/>
                <w:sz w:val="18"/>
                <w:szCs w:val="18"/>
                <w:shd w:val="clear" w:color="auto" w:fill="FFFFFF"/>
              </w:rPr>
            </w:pPr>
            <w:r>
              <w:rPr>
                <w:rStyle w:val="normaltextrun"/>
                <w:rFonts w:cs="Arial"/>
                <w:sz w:val="18"/>
                <w:szCs w:val="18"/>
                <w:shd w:val="clear" w:color="auto" w:fill="FFFFFF"/>
              </w:rPr>
              <w:t>Monitoring and learning enquiry show that the children are confident in their learning and articulate.</w:t>
            </w:r>
          </w:p>
          <w:p w14:paraId="49B3563D" w14:textId="78BFDA8C" w:rsidR="00811143" w:rsidRDefault="00811143" w:rsidP="00A35D5A">
            <w:pPr>
              <w:pStyle w:val="TableRowCentered"/>
              <w:ind w:left="0"/>
              <w:jc w:val="left"/>
              <w:rPr>
                <w:rStyle w:val="normaltextrun"/>
                <w:rFonts w:cs="Arial"/>
                <w:sz w:val="18"/>
                <w:szCs w:val="18"/>
                <w:shd w:val="clear" w:color="auto" w:fill="FFFFFF"/>
              </w:rPr>
            </w:pPr>
          </w:p>
          <w:p w14:paraId="05BD1E03" w14:textId="09E8CF08" w:rsidR="00811143" w:rsidRPr="00AA0CF3" w:rsidRDefault="00811143" w:rsidP="00811143">
            <w:pPr>
              <w:pStyle w:val="TableRowCentered"/>
              <w:ind w:left="0"/>
              <w:jc w:val="left"/>
              <w:rPr>
                <w:rStyle w:val="eop"/>
                <w:rFonts w:cs="Arial"/>
                <w:sz w:val="18"/>
                <w:szCs w:val="18"/>
                <w:shd w:val="clear" w:color="auto" w:fill="FFFFFF"/>
              </w:rPr>
            </w:pPr>
            <w:r w:rsidRPr="00AA0CF3">
              <w:rPr>
                <w:rStyle w:val="eop"/>
                <w:rFonts w:cs="Arial"/>
                <w:sz w:val="18"/>
                <w:szCs w:val="18"/>
              </w:rPr>
              <w:t xml:space="preserve">National </w:t>
            </w:r>
            <w:r>
              <w:rPr>
                <w:rStyle w:val="eop"/>
                <w:rFonts w:cs="Arial"/>
                <w:sz w:val="18"/>
                <w:szCs w:val="18"/>
              </w:rPr>
              <w:t>KS1 reading EXS+ average 2022:</w:t>
            </w:r>
            <w:r w:rsidRPr="00AA0CF3">
              <w:rPr>
                <w:rStyle w:val="eop"/>
                <w:rFonts w:cs="Arial"/>
                <w:sz w:val="18"/>
                <w:szCs w:val="18"/>
              </w:rPr>
              <w:t xml:space="preserve"> %</w:t>
            </w:r>
          </w:p>
          <w:p w14:paraId="43350F1D" w14:textId="585DD9BE" w:rsidR="00811143" w:rsidRPr="00AA0CF3" w:rsidRDefault="00811143" w:rsidP="00811143">
            <w:pPr>
              <w:pStyle w:val="TableRowCentered"/>
              <w:ind w:left="0"/>
              <w:jc w:val="left"/>
              <w:rPr>
                <w:rStyle w:val="eop"/>
                <w:rFonts w:cs="Arial"/>
                <w:sz w:val="18"/>
                <w:szCs w:val="18"/>
              </w:rPr>
            </w:pPr>
            <w:r w:rsidRPr="00AA0CF3">
              <w:rPr>
                <w:rStyle w:val="eop"/>
                <w:rFonts w:cs="Arial"/>
                <w:sz w:val="18"/>
                <w:szCs w:val="18"/>
              </w:rPr>
              <w:t xml:space="preserve">School </w:t>
            </w:r>
            <w:r>
              <w:rPr>
                <w:rStyle w:val="eop"/>
                <w:rFonts w:cs="Arial"/>
                <w:sz w:val="18"/>
                <w:szCs w:val="18"/>
              </w:rPr>
              <w:t xml:space="preserve">KS1 reading EXS+ 2022: </w:t>
            </w:r>
            <w:r w:rsidRPr="00AA0CF3">
              <w:rPr>
                <w:rStyle w:val="eop"/>
                <w:rFonts w:cs="Arial"/>
                <w:sz w:val="18"/>
                <w:szCs w:val="18"/>
              </w:rPr>
              <w:t xml:space="preserve"> </w:t>
            </w:r>
            <w:r>
              <w:rPr>
                <w:rStyle w:val="eop"/>
                <w:rFonts w:cs="Arial"/>
                <w:sz w:val="18"/>
                <w:szCs w:val="18"/>
              </w:rPr>
              <w:t>58</w:t>
            </w:r>
            <w:r w:rsidRPr="00AA0CF3">
              <w:rPr>
                <w:rStyle w:val="eop"/>
                <w:rFonts w:cs="Arial"/>
                <w:sz w:val="18"/>
                <w:szCs w:val="18"/>
              </w:rPr>
              <w:t>%</w:t>
            </w:r>
          </w:p>
          <w:p w14:paraId="6591A3F3" w14:textId="60EA9A51" w:rsidR="00811143" w:rsidRPr="00AA0CF3" w:rsidRDefault="00811143" w:rsidP="00811143">
            <w:pPr>
              <w:pStyle w:val="TableRowCentered"/>
              <w:ind w:left="0"/>
              <w:jc w:val="left"/>
              <w:rPr>
                <w:rStyle w:val="eop"/>
                <w:rFonts w:cs="Arial"/>
                <w:sz w:val="18"/>
                <w:szCs w:val="18"/>
              </w:rPr>
            </w:pPr>
            <w:r w:rsidRPr="00AA0CF3">
              <w:rPr>
                <w:rStyle w:val="eop"/>
                <w:rFonts w:cs="Arial"/>
                <w:sz w:val="18"/>
                <w:szCs w:val="18"/>
              </w:rPr>
              <w:t xml:space="preserve">School </w:t>
            </w:r>
            <w:r>
              <w:rPr>
                <w:rStyle w:val="eop"/>
                <w:rFonts w:cs="Arial"/>
                <w:sz w:val="18"/>
                <w:szCs w:val="18"/>
              </w:rPr>
              <w:t>KS1 reading EXS+ 2022</w:t>
            </w:r>
            <w:r w:rsidRPr="00AA0CF3">
              <w:rPr>
                <w:rStyle w:val="eop"/>
                <w:rFonts w:cs="Arial"/>
                <w:sz w:val="18"/>
                <w:szCs w:val="18"/>
              </w:rPr>
              <w:t xml:space="preserve"> disadvantaged</w:t>
            </w:r>
            <w:r>
              <w:rPr>
                <w:rStyle w:val="eop"/>
                <w:rFonts w:cs="Arial"/>
                <w:sz w:val="18"/>
                <w:szCs w:val="18"/>
              </w:rPr>
              <w:t>:</w:t>
            </w:r>
            <w:r w:rsidRPr="00AA0CF3">
              <w:rPr>
                <w:rStyle w:val="eop"/>
                <w:rFonts w:cs="Arial"/>
                <w:sz w:val="18"/>
                <w:szCs w:val="18"/>
              </w:rPr>
              <w:t xml:space="preserve"> </w:t>
            </w:r>
            <w:r>
              <w:rPr>
                <w:rStyle w:val="eop"/>
                <w:rFonts w:cs="Arial"/>
                <w:sz w:val="18"/>
                <w:szCs w:val="18"/>
              </w:rPr>
              <w:t>50</w:t>
            </w:r>
            <w:r w:rsidRPr="00AA0CF3">
              <w:rPr>
                <w:rStyle w:val="eop"/>
                <w:rFonts w:cs="Arial"/>
                <w:sz w:val="18"/>
                <w:szCs w:val="18"/>
              </w:rPr>
              <w:t>%</w:t>
            </w:r>
          </w:p>
          <w:p w14:paraId="1F4B8802" w14:textId="4BB19A62" w:rsidR="00811143" w:rsidRDefault="00811143" w:rsidP="00811143">
            <w:pPr>
              <w:pStyle w:val="TableRowCentered"/>
              <w:ind w:left="0"/>
              <w:jc w:val="left"/>
              <w:rPr>
                <w:rStyle w:val="eop"/>
                <w:rFonts w:cs="Arial"/>
                <w:b/>
                <w:sz w:val="18"/>
                <w:szCs w:val="18"/>
              </w:rPr>
            </w:pPr>
            <w:r w:rsidRPr="00AA0CF3">
              <w:rPr>
                <w:sz w:val="18"/>
                <w:szCs w:val="18"/>
              </w:rPr>
              <w:t xml:space="preserve">School </w:t>
            </w:r>
            <w:r>
              <w:rPr>
                <w:rStyle w:val="eop"/>
                <w:rFonts w:cs="Arial"/>
                <w:sz w:val="18"/>
                <w:szCs w:val="18"/>
              </w:rPr>
              <w:t xml:space="preserve">KS1 reading EXS+ </w:t>
            </w:r>
            <w:r>
              <w:rPr>
                <w:sz w:val="18"/>
                <w:szCs w:val="18"/>
              </w:rPr>
              <w:t>2022</w:t>
            </w:r>
            <w:r w:rsidRPr="00AA0CF3">
              <w:rPr>
                <w:sz w:val="18"/>
                <w:szCs w:val="18"/>
              </w:rPr>
              <w:t xml:space="preserve"> non-disadvantaged</w:t>
            </w:r>
            <w:r>
              <w:rPr>
                <w:sz w:val="18"/>
                <w:szCs w:val="18"/>
              </w:rPr>
              <w:t xml:space="preserve">: </w:t>
            </w:r>
            <w:r w:rsidR="00F4663D">
              <w:rPr>
                <w:sz w:val="18"/>
                <w:szCs w:val="18"/>
              </w:rPr>
              <w:t>70</w:t>
            </w:r>
            <w:r w:rsidRPr="00AA0CF3">
              <w:rPr>
                <w:sz w:val="18"/>
                <w:szCs w:val="18"/>
              </w:rPr>
              <w:t>%</w:t>
            </w:r>
          </w:p>
          <w:p w14:paraId="2FAD6954" w14:textId="15D4E30F" w:rsidR="00811143" w:rsidRPr="00AA0CF3" w:rsidRDefault="00F4663D" w:rsidP="00811143">
            <w:pPr>
              <w:pStyle w:val="TableRowCentered"/>
              <w:ind w:left="0"/>
              <w:jc w:val="left"/>
              <w:rPr>
                <w:rStyle w:val="eop"/>
                <w:rFonts w:cs="Arial"/>
                <w:b/>
                <w:sz w:val="18"/>
                <w:szCs w:val="18"/>
              </w:rPr>
            </w:pPr>
            <w:r>
              <w:rPr>
                <w:rStyle w:val="eop"/>
                <w:rFonts w:cs="Arial"/>
                <w:b/>
                <w:sz w:val="18"/>
                <w:szCs w:val="18"/>
              </w:rPr>
              <w:t>*there is still a significant difference between PP and non at assessment point in reading. Targeted interventions will continue to support the children in narrowing this gap.</w:t>
            </w:r>
          </w:p>
          <w:p w14:paraId="2AAE82A0" w14:textId="1E3A113E" w:rsidR="00811143" w:rsidRPr="00AA0CF3" w:rsidRDefault="00811143" w:rsidP="00811143">
            <w:pPr>
              <w:pStyle w:val="TableRowCentered"/>
              <w:ind w:left="0"/>
              <w:jc w:val="left"/>
              <w:rPr>
                <w:rStyle w:val="eop"/>
                <w:rFonts w:cs="Arial"/>
                <w:sz w:val="18"/>
                <w:szCs w:val="18"/>
                <w:shd w:val="clear" w:color="auto" w:fill="FFFFFF"/>
              </w:rPr>
            </w:pPr>
            <w:r w:rsidRPr="00AA0CF3">
              <w:rPr>
                <w:rStyle w:val="eop"/>
                <w:rFonts w:cs="Arial"/>
                <w:sz w:val="18"/>
                <w:szCs w:val="18"/>
              </w:rPr>
              <w:t xml:space="preserve">National </w:t>
            </w:r>
            <w:r>
              <w:rPr>
                <w:rStyle w:val="eop"/>
                <w:rFonts w:cs="Arial"/>
                <w:sz w:val="18"/>
                <w:szCs w:val="18"/>
              </w:rPr>
              <w:t xml:space="preserve">KS2 reading EXS+ </w:t>
            </w:r>
            <w:r w:rsidR="00F4663D">
              <w:rPr>
                <w:rStyle w:val="eop"/>
                <w:rFonts w:cs="Arial"/>
                <w:sz w:val="18"/>
                <w:szCs w:val="18"/>
              </w:rPr>
              <w:t>average 2022</w:t>
            </w:r>
            <w:r>
              <w:rPr>
                <w:rStyle w:val="eop"/>
                <w:rFonts w:cs="Arial"/>
                <w:sz w:val="18"/>
                <w:szCs w:val="18"/>
              </w:rPr>
              <w:t>:</w:t>
            </w:r>
            <w:r w:rsidRPr="00AA0CF3">
              <w:rPr>
                <w:rStyle w:val="eop"/>
                <w:rFonts w:cs="Arial"/>
                <w:sz w:val="18"/>
                <w:szCs w:val="18"/>
              </w:rPr>
              <w:t xml:space="preserve"> 73%</w:t>
            </w:r>
          </w:p>
          <w:p w14:paraId="03D5F611" w14:textId="34186ED2" w:rsidR="00811143" w:rsidRPr="00AA0CF3" w:rsidRDefault="00811143" w:rsidP="00811143">
            <w:pPr>
              <w:pStyle w:val="TableRowCentered"/>
              <w:ind w:left="0"/>
              <w:jc w:val="left"/>
              <w:rPr>
                <w:rStyle w:val="eop"/>
                <w:rFonts w:cs="Arial"/>
                <w:sz w:val="18"/>
                <w:szCs w:val="18"/>
              </w:rPr>
            </w:pPr>
            <w:r w:rsidRPr="00AA0CF3">
              <w:rPr>
                <w:rStyle w:val="eop"/>
                <w:rFonts w:cs="Arial"/>
                <w:sz w:val="18"/>
                <w:szCs w:val="18"/>
              </w:rPr>
              <w:t xml:space="preserve">School </w:t>
            </w:r>
            <w:r>
              <w:rPr>
                <w:rStyle w:val="eop"/>
                <w:rFonts w:cs="Arial"/>
                <w:sz w:val="18"/>
                <w:szCs w:val="18"/>
              </w:rPr>
              <w:t>KS2 reading EXS+ 2021:</w:t>
            </w:r>
            <w:r w:rsidRPr="00AA0CF3">
              <w:rPr>
                <w:rStyle w:val="eop"/>
                <w:rFonts w:cs="Arial"/>
                <w:sz w:val="18"/>
                <w:szCs w:val="18"/>
              </w:rPr>
              <w:t xml:space="preserve"> </w:t>
            </w:r>
            <w:r w:rsidR="00F4663D">
              <w:rPr>
                <w:rStyle w:val="eop"/>
                <w:rFonts w:cs="Arial"/>
                <w:sz w:val="18"/>
                <w:szCs w:val="18"/>
              </w:rPr>
              <w:t>82</w:t>
            </w:r>
            <w:r w:rsidRPr="00AA0CF3">
              <w:rPr>
                <w:rStyle w:val="eop"/>
                <w:rFonts w:cs="Arial"/>
                <w:sz w:val="18"/>
                <w:szCs w:val="18"/>
              </w:rPr>
              <w:t>%</w:t>
            </w:r>
          </w:p>
          <w:p w14:paraId="424D97A8" w14:textId="6513AE78" w:rsidR="00811143" w:rsidRPr="00AA0CF3" w:rsidRDefault="00811143" w:rsidP="00811143">
            <w:pPr>
              <w:pStyle w:val="TableRowCentered"/>
              <w:ind w:left="0"/>
              <w:jc w:val="left"/>
              <w:rPr>
                <w:rStyle w:val="eop"/>
                <w:rFonts w:cs="Arial"/>
                <w:sz w:val="18"/>
                <w:szCs w:val="18"/>
              </w:rPr>
            </w:pPr>
            <w:r w:rsidRPr="00AA0CF3">
              <w:rPr>
                <w:rStyle w:val="eop"/>
                <w:rFonts w:cs="Arial"/>
                <w:sz w:val="18"/>
                <w:szCs w:val="18"/>
              </w:rPr>
              <w:t xml:space="preserve">School </w:t>
            </w:r>
            <w:r>
              <w:rPr>
                <w:rStyle w:val="eop"/>
                <w:rFonts w:cs="Arial"/>
                <w:sz w:val="18"/>
                <w:szCs w:val="18"/>
              </w:rPr>
              <w:t>KS2 reading EXS+ 2021</w:t>
            </w:r>
            <w:r w:rsidRPr="00AA0CF3">
              <w:rPr>
                <w:rStyle w:val="eop"/>
                <w:rFonts w:cs="Arial"/>
                <w:sz w:val="18"/>
                <w:szCs w:val="18"/>
              </w:rPr>
              <w:t xml:space="preserve"> disadvantaged</w:t>
            </w:r>
            <w:r>
              <w:rPr>
                <w:rStyle w:val="eop"/>
                <w:rFonts w:cs="Arial"/>
                <w:sz w:val="18"/>
                <w:szCs w:val="18"/>
              </w:rPr>
              <w:t>:</w:t>
            </w:r>
            <w:r w:rsidRPr="00AA0CF3">
              <w:rPr>
                <w:rStyle w:val="eop"/>
                <w:rFonts w:cs="Arial"/>
                <w:sz w:val="18"/>
                <w:szCs w:val="18"/>
              </w:rPr>
              <w:t xml:space="preserve"> </w:t>
            </w:r>
            <w:r w:rsidR="00F4663D">
              <w:rPr>
                <w:rStyle w:val="eop"/>
                <w:rFonts w:cs="Arial"/>
                <w:sz w:val="18"/>
                <w:szCs w:val="18"/>
              </w:rPr>
              <w:t>78</w:t>
            </w:r>
            <w:r w:rsidRPr="00AA0CF3">
              <w:rPr>
                <w:rStyle w:val="eop"/>
                <w:rFonts w:cs="Arial"/>
                <w:sz w:val="18"/>
                <w:szCs w:val="18"/>
              </w:rPr>
              <w:t>%</w:t>
            </w:r>
          </w:p>
          <w:p w14:paraId="733037B3" w14:textId="0AB56672" w:rsidR="00811143" w:rsidRDefault="00811143" w:rsidP="00811143">
            <w:pPr>
              <w:pStyle w:val="TableRowCentered"/>
              <w:ind w:left="0"/>
              <w:jc w:val="left"/>
              <w:rPr>
                <w:rStyle w:val="normaltextrun"/>
                <w:rFonts w:cs="Arial"/>
                <w:sz w:val="18"/>
                <w:szCs w:val="18"/>
                <w:shd w:val="clear" w:color="auto" w:fill="FFFFFF"/>
              </w:rPr>
            </w:pPr>
            <w:r w:rsidRPr="00AA0CF3">
              <w:rPr>
                <w:sz w:val="18"/>
                <w:szCs w:val="18"/>
              </w:rPr>
              <w:t xml:space="preserve">School </w:t>
            </w:r>
            <w:r>
              <w:rPr>
                <w:rStyle w:val="eop"/>
                <w:rFonts w:cs="Arial"/>
                <w:sz w:val="18"/>
                <w:szCs w:val="18"/>
              </w:rPr>
              <w:t xml:space="preserve">KS2 reading EXS+ </w:t>
            </w:r>
            <w:r>
              <w:rPr>
                <w:sz w:val="18"/>
                <w:szCs w:val="18"/>
              </w:rPr>
              <w:t>2021</w:t>
            </w:r>
            <w:r w:rsidRPr="00AA0CF3">
              <w:rPr>
                <w:sz w:val="18"/>
                <w:szCs w:val="18"/>
              </w:rPr>
              <w:t xml:space="preserve"> non-disadvantaged</w:t>
            </w:r>
            <w:r>
              <w:rPr>
                <w:sz w:val="18"/>
                <w:szCs w:val="18"/>
              </w:rPr>
              <w:t>:</w:t>
            </w:r>
            <w:r w:rsidR="00F4663D">
              <w:rPr>
                <w:sz w:val="18"/>
                <w:szCs w:val="18"/>
              </w:rPr>
              <w:t xml:space="preserve"> </w:t>
            </w:r>
            <w:r w:rsidRPr="00AA0CF3">
              <w:rPr>
                <w:sz w:val="18"/>
                <w:szCs w:val="18"/>
              </w:rPr>
              <w:t>%</w:t>
            </w:r>
          </w:p>
          <w:p w14:paraId="449E3ECD" w14:textId="002294CE" w:rsidR="00811143" w:rsidRPr="002847E9" w:rsidRDefault="00811143" w:rsidP="00A35D5A">
            <w:pPr>
              <w:pStyle w:val="TableRowCentered"/>
              <w:ind w:left="0"/>
              <w:jc w:val="left"/>
              <w:rPr>
                <w:rStyle w:val="normaltextrun"/>
                <w:rFonts w:cs="Arial"/>
                <w:sz w:val="18"/>
                <w:szCs w:val="18"/>
                <w:shd w:val="clear" w:color="auto" w:fill="FFFFFF"/>
              </w:rPr>
            </w:pPr>
          </w:p>
        </w:tc>
      </w:tr>
      <w:tr w:rsidR="00A35D5A" w:rsidRPr="00AA0CF3" w14:paraId="41F690A3" w14:textId="77777777" w:rsidTr="00F36A3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A02411" w14:textId="2B179867" w:rsidR="00A35D5A" w:rsidRPr="00AA0CF3" w:rsidRDefault="00A35D5A" w:rsidP="00A35D5A">
            <w:pPr>
              <w:pStyle w:val="TableRow"/>
              <w:rPr>
                <w:rFonts w:cs="Arial"/>
                <w:sz w:val="18"/>
                <w:szCs w:val="18"/>
              </w:rPr>
            </w:pPr>
            <w:r w:rsidRPr="00AA0CF3">
              <w:rPr>
                <w:rFonts w:cs="Arial"/>
                <w:sz w:val="18"/>
                <w:szCs w:val="18"/>
              </w:rPr>
              <w:t>Increase the emotional resilience and readiness to learn of disadvantaged leaners.</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33E836E" w14:textId="77777777" w:rsidR="00A35D5A" w:rsidRDefault="00A35D5A" w:rsidP="00A35D5A">
            <w:pPr>
              <w:pStyle w:val="TableRowCentered"/>
              <w:ind w:left="0"/>
              <w:jc w:val="left"/>
              <w:rPr>
                <w:rStyle w:val="eop"/>
                <w:rFonts w:cs="Arial"/>
                <w:sz w:val="18"/>
                <w:szCs w:val="18"/>
                <w:shd w:val="clear" w:color="auto" w:fill="FFFFFF"/>
              </w:rPr>
            </w:pPr>
            <w:r w:rsidRPr="001344E2">
              <w:rPr>
                <w:rStyle w:val="normaltextrun"/>
                <w:rFonts w:cs="Arial"/>
                <w:sz w:val="18"/>
                <w:szCs w:val="18"/>
                <w:shd w:val="clear" w:color="auto" w:fill="FFFFFF"/>
              </w:rPr>
              <w:t>Disadvantaged learners are focussed on their learning and as a result make better progress across the academy.</w:t>
            </w:r>
            <w:r w:rsidRPr="001344E2">
              <w:rPr>
                <w:rStyle w:val="eop"/>
                <w:rFonts w:cs="Arial"/>
                <w:sz w:val="18"/>
                <w:szCs w:val="18"/>
                <w:shd w:val="clear" w:color="auto" w:fill="FFFFFF"/>
              </w:rPr>
              <w:t> </w:t>
            </w:r>
          </w:p>
          <w:p w14:paraId="5044EEE6" w14:textId="77777777" w:rsidR="00A35D5A" w:rsidRPr="001344E2" w:rsidRDefault="00A35D5A" w:rsidP="00A35D5A">
            <w:pPr>
              <w:pStyle w:val="TableRowCentered"/>
              <w:ind w:left="0"/>
              <w:jc w:val="left"/>
              <w:rPr>
                <w:rStyle w:val="eop"/>
                <w:rFonts w:cs="Arial"/>
                <w:sz w:val="18"/>
                <w:szCs w:val="18"/>
                <w:shd w:val="clear" w:color="auto" w:fill="FFFFFF"/>
              </w:rPr>
            </w:pPr>
            <w:r w:rsidRPr="001344E2">
              <w:rPr>
                <w:rStyle w:val="eop"/>
                <w:rFonts w:cs="Arial"/>
                <w:sz w:val="18"/>
                <w:szCs w:val="18"/>
                <w:shd w:val="clear" w:color="auto" w:fill="FFFFFF"/>
              </w:rPr>
              <w:t>This is evident in an improvement in p</w:t>
            </w:r>
            <w:r w:rsidRPr="001344E2">
              <w:rPr>
                <w:rStyle w:val="eop"/>
                <w:sz w:val="18"/>
                <w:szCs w:val="18"/>
                <w:shd w:val="clear" w:color="auto" w:fill="FFFFFF"/>
              </w:rPr>
              <w:t xml:space="preserve">rogress made across the academy, both in terms of in-year progress and published </w:t>
            </w:r>
            <w:r w:rsidRPr="001344E2">
              <w:rPr>
                <w:rStyle w:val="eop"/>
                <w:rFonts w:cs="Arial"/>
                <w:sz w:val="18"/>
                <w:szCs w:val="18"/>
                <w:shd w:val="clear" w:color="auto" w:fill="FFFFFF"/>
              </w:rPr>
              <w:t>KS2 progress measures.</w:t>
            </w:r>
          </w:p>
          <w:p w14:paraId="7F8DC285" w14:textId="77777777" w:rsidR="00A35D5A" w:rsidRPr="00AA0CF3" w:rsidRDefault="00A35D5A" w:rsidP="00A35D5A">
            <w:pPr>
              <w:pStyle w:val="TableRowCentered"/>
              <w:ind w:left="0"/>
              <w:jc w:val="left"/>
              <w:rPr>
                <w:rStyle w:val="eop"/>
                <w:rFonts w:cs="Arial"/>
                <w:sz w:val="18"/>
                <w:szCs w:val="18"/>
                <w:shd w:val="clear" w:color="auto" w:fill="FFFFFF"/>
              </w:rPr>
            </w:pPr>
          </w:p>
          <w:p w14:paraId="7C6C67C4" w14:textId="77777777" w:rsidR="00A35D5A" w:rsidRPr="00AA0CF3" w:rsidRDefault="00A35D5A" w:rsidP="00A35D5A">
            <w:pPr>
              <w:pStyle w:val="TableRowCentered"/>
              <w:ind w:left="0"/>
              <w:jc w:val="left"/>
              <w:rPr>
                <w:rStyle w:val="eop"/>
                <w:rFonts w:cs="Arial"/>
                <w:b/>
                <w:sz w:val="18"/>
                <w:szCs w:val="18"/>
              </w:rPr>
            </w:pPr>
            <w:r w:rsidRPr="00AA0CF3">
              <w:rPr>
                <w:rStyle w:val="eop"/>
                <w:rFonts w:cs="Arial"/>
                <w:b/>
                <w:sz w:val="18"/>
                <w:szCs w:val="18"/>
              </w:rPr>
              <w:t>Baseline data from start of strategy:</w:t>
            </w:r>
          </w:p>
          <w:tbl>
            <w:tblPr>
              <w:tblStyle w:val="TableGrid"/>
              <w:tblW w:w="0" w:type="auto"/>
              <w:tblLook w:val="04A0" w:firstRow="1" w:lastRow="0" w:firstColumn="1" w:lastColumn="0" w:noHBand="0" w:noVBand="1"/>
            </w:tblPr>
            <w:tblGrid>
              <w:gridCol w:w="788"/>
              <w:gridCol w:w="550"/>
              <w:gridCol w:w="550"/>
              <w:gridCol w:w="550"/>
              <w:gridCol w:w="550"/>
              <w:gridCol w:w="550"/>
              <w:gridCol w:w="550"/>
              <w:gridCol w:w="550"/>
              <w:gridCol w:w="550"/>
              <w:gridCol w:w="550"/>
              <w:gridCol w:w="550"/>
            </w:tblGrid>
            <w:tr w:rsidR="00945C76" w:rsidRPr="00455CB9" w14:paraId="233D1B55" w14:textId="77777777" w:rsidTr="00AF23B7">
              <w:tc>
                <w:tcPr>
                  <w:tcW w:w="795" w:type="dxa"/>
                  <w:vMerge w:val="restart"/>
                </w:tcPr>
                <w:p w14:paraId="6A38F6FA" w14:textId="77777777" w:rsidR="00945C76" w:rsidRPr="005B044B" w:rsidRDefault="00945C76" w:rsidP="00945C76">
                  <w:pPr>
                    <w:pStyle w:val="TableRowCentered"/>
                    <w:ind w:left="0"/>
                    <w:jc w:val="left"/>
                    <w:rPr>
                      <w:sz w:val="12"/>
                      <w:szCs w:val="12"/>
                    </w:rPr>
                  </w:pPr>
                  <w:r w:rsidRPr="005B044B">
                    <w:rPr>
                      <w:sz w:val="12"/>
                      <w:szCs w:val="12"/>
                    </w:rPr>
                    <w:t>2021 internal data</w:t>
                  </w:r>
                </w:p>
              </w:tc>
              <w:tc>
                <w:tcPr>
                  <w:tcW w:w="1108" w:type="dxa"/>
                  <w:gridSpan w:val="2"/>
                </w:tcPr>
                <w:p w14:paraId="2667BEB2" w14:textId="77777777" w:rsidR="00945C76" w:rsidRPr="005B044B" w:rsidRDefault="00945C76" w:rsidP="00945C76">
                  <w:pPr>
                    <w:pStyle w:val="TableRowCentered"/>
                    <w:ind w:left="0"/>
                    <w:rPr>
                      <w:sz w:val="12"/>
                      <w:szCs w:val="12"/>
                    </w:rPr>
                  </w:pPr>
                  <w:r w:rsidRPr="005B044B">
                    <w:rPr>
                      <w:sz w:val="12"/>
                      <w:szCs w:val="12"/>
                    </w:rPr>
                    <w:t>Yr1</w:t>
                  </w:r>
                </w:p>
              </w:tc>
              <w:tc>
                <w:tcPr>
                  <w:tcW w:w="1108" w:type="dxa"/>
                  <w:gridSpan w:val="2"/>
                </w:tcPr>
                <w:p w14:paraId="750B7F63" w14:textId="77777777" w:rsidR="00945C76" w:rsidRPr="005B044B" w:rsidRDefault="00945C76" w:rsidP="00945C76">
                  <w:pPr>
                    <w:pStyle w:val="TableRowCentered"/>
                    <w:ind w:left="0"/>
                    <w:rPr>
                      <w:sz w:val="12"/>
                      <w:szCs w:val="12"/>
                    </w:rPr>
                  </w:pPr>
                  <w:r w:rsidRPr="005B044B">
                    <w:rPr>
                      <w:sz w:val="12"/>
                      <w:szCs w:val="12"/>
                    </w:rPr>
                    <w:t>Yr2</w:t>
                  </w:r>
                </w:p>
              </w:tc>
              <w:tc>
                <w:tcPr>
                  <w:tcW w:w="1108" w:type="dxa"/>
                  <w:gridSpan w:val="2"/>
                </w:tcPr>
                <w:p w14:paraId="5522F92B" w14:textId="77777777" w:rsidR="00945C76" w:rsidRPr="005B044B" w:rsidRDefault="00945C76" w:rsidP="00945C76">
                  <w:pPr>
                    <w:pStyle w:val="TableRowCentered"/>
                    <w:ind w:left="0"/>
                    <w:rPr>
                      <w:sz w:val="12"/>
                      <w:szCs w:val="12"/>
                    </w:rPr>
                  </w:pPr>
                  <w:r w:rsidRPr="005B044B">
                    <w:rPr>
                      <w:sz w:val="12"/>
                      <w:szCs w:val="12"/>
                    </w:rPr>
                    <w:t>Yr3</w:t>
                  </w:r>
                </w:p>
              </w:tc>
              <w:tc>
                <w:tcPr>
                  <w:tcW w:w="1108" w:type="dxa"/>
                  <w:gridSpan w:val="2"/>
                </w:tcPr>
                <w:p w14:paraId="39BDB85E" w14:textId="77777777" w:rsidR="00945C76" w:rsidRPr="005B044B" w:rsidRDefault="00945C76" w:rsidP="00945C76">
                  <w:pPr>
                    <w:pStyle w:val="TableRowCentered"/>
                    <w:ind w:left="0"/>
                    <w:rPr>
                      <w:sz w:val="12"/>
                      <w:szCs w:val="12"/>
                    </w:rPr>
                  </w:pPr>
                  <w:r w:rsidRPr="005B044B">
                    <w:rPr>
                      <w:sz w:val="12"/>
                      <w:szCs w:val="12"/>
                    </w:rPr>
                    <w:t>Yr4</w:t>
                  </w:r>
                </w:p>
              </w:tc>
              <w:tc>
                <w:tcPr>
                  <w:tcW w:w="1108" w:type="dxa"/>
                  <w:gridSpan w:val="2"/>
                </w:tcPr>
                <w:p w14:paraId="3E56CE82" w14:textId="77777777" w:rsidR="00945C76" w:rsidRPr="005B044B" w:rsidRDefault="00945C76" w:rsidP="00945C76">
                  <w:pPr>
                    <w:pStyle w:val="TableRowCentered"/>
                    <w:ind w:left="0"/>
                    <w:rPr>
                      <w:sz w:val="12"/>
                      <w:szCs w:val="12"/>
                    </w:rPr>
                  </w:pPr>
                  <w:r w:rsidRPr="005B044B">
                    <w:rPr>
                      <w:sz w:val="12"/>
                      <w:szCs w:val="12"/>
                    </w:rPr>
                    <w:t>Yr5</w:t>
                  </w:r>
                </w:p>
              </w:tc>
            </w:tr>
            <w:tr w:rsidR="00945C76" w:rsidRPr="00455CB9" w14:paraId="4AA7811C" w14:textId="77777777" w:rsidTr="00AF23B7">
              <w:tc>
                <w:tcPr>
                  <w:tcW w:w="795" w:type="dxa"/>
                  <w:vMerge/>
                </w:tcPr>
                <w:p w14:paraId="7A4E5801" w14:textId="77777777" w:rsidR="00945C76" w:rsidRPr="005B044B" w:rsidRDefault="00945C76" w:rsidP="00945C76">
                  <w:pPr>
                    <w:pStyle w:val="TableRowCentered"/>
                    <w:ind w:left="0"/>
                    <w:jc w:val="left"/>
                    <w:rPr>
                      <w:sz w:val="12"/>
                      <w:szCs w:val="12"/>
                    </w:rPr>
                  </w:pPr>
                </w:p>
              </w:tc>
              <w:tc>
                <w:tcPr>
                  <w:tcW w:w="554" w:type="dxa"/>
                </w:tcPr>
                <w:p w14:paraId="2A930D2F" w14:textId="77777777" w:rsidR="00945C76" w:rsidRPr="005B044B" w:rsidRDefault="00945C76" w:rsidP="00945C76">
                  <w:pPr>
                    <w:pStyle w:val="TableRowCentered"/>
                    <w:ind w:left="0"/>
                    <w:jc w:val="left"/>
                    <w:rPr>
                      <w:sz w:val="12"/>
                      <w:szCs w:val="12"/>
                    </w:rPr>
                  </w:pPr>
                  <w:r w:rsidRPr="005B044B">
                    <w:rPr>
                      <w:sz w:val="12"/>
                      <w:szCs w:val="12"/>
                    </w:rPr>
                    <w:t>PP</w:t>
                  </w:r>
                </w:p>
              </w:tc>
              <w:tc>
                <w:tcPr>
                  <w:tcW w:w="554" w:type="dxa"/>
                </w:tcPr>
                <w:p w14:paraId="666D906D" w14:textId="77777777" w:rsidR="00945C76" w:rsidRPr="005B044B" w:rsidRDefault="00945C76" w:rsidP="00945C76">
                  <w:pPr>
                    <w:pStyle w:val="TableRowCentered"/>
                    <w:ind w:left="0"/>
                    <w:jc w:val="left"/>
                    <w:rPr>
                      <w:sz w:val="12"/>
                      <w:szCs w:val="12"/>
                    </w:rPr>
                  </w:pPr>
                  <w:r w:rsidRPr="005B044B">
                    <w:rPr>
                      <w:sz w:val="12"/>
                      <w:szCs w:val="12"/>
                    </w:rPr>
                    <w:t>Non</w:t>
                  </w:r>
                </w:p>
                <w:p w14:paraId="144A82F6" w14:textId="77777777" w:rsidR="00945C76" w:rsidRPr="005B044B" w:rsidRDefault="00945C76" w:rsidP="00945C76">
                  <w:pPr>
                    <w:pStyle w:val="TableRowCentered"/>
                    <w:ind w:left="0"/>
                    <w:jc w:val="left"/>
                    <w:rPr>
                      <w:sz w:val="12"/>
                      <w:szCs w:val="12"/>
                    </w:rPr>
                  </w:pPr>
                  <w:r w:rsidRPr="005B044B">
                    <w:rPr>
                      <w:sz w:val="12"/>
                      <w:szCs w:val="12"/>
                    </w:rPr>
                    <w:t>PP</w:t>
                  </w:r>
                </w:p>
              </w:tc>
              <w:tc>
                <w:tcPr>
                  <w:tcW w:w="554" w:type="dxa"/>
                </w:tcPr>
                <w:p w14:paraId="098ED749" w14:textId="77777777" w:rsidR="00945C76" w:rsidRPr="005B044B" w:rsidRDefault="00945C76" w:rsidP="00945C76">
                  <w:pPr>
                    <w:pStyle w:val="TableRowCentered"/>
                    <w:ind w:left="0"/>
                    <w:jc w:val="left"/>
                    <w:rPr>
                      <w:sz w:val="12"/>
                      <w:szCs w:val="12"/>
                    </w:rPr>
                  </w:pPr>
                  <w:r w:rsidRPr="005B044B">
                    <w:rPr>
                      <w:sz w:val="12"/>
                      <w:szCs w:val="12"/>
                    </w:rPr>
                    <w:t>PP</w:t>
                  </w:r>
                </w:p>
              </w:tc>
              <w:tc>
                <w:tcPr>
                  <w:tcW w:w="554" w:type="dxa"/>
                </w:tcPr>
                <w:p w14:paraId="47E5BCAC" w14:textId="77777777" w:rsidR="00945C76" w:rsidRPr="005B044B" w:rsidRDefault="00945C76" w:rsidP="00945C76">
                  <w:pPr>
                    <w:pStyle w:val="TableRowCentered"/>
                    <w:ind w:left="0"/>
                    <w:jc w:val="left"/>
                    <w:rPr>
                      <w:sz w:val="12"/>
                      <w:szCs w:val="12"/>
                    </w:rPr>
                  </w:pPr>
                  <w:r w:rsidRPr="005B044B">
                    <w:rPr>
                      <w:sz w:val="12"/>
                      <w:szCs w:val="12"/>
                    </w:rPr>
                    <w:t>Non</w:t>
                  </w:r>
                </w:p>
                <w:p w14:paraId="5383F251" w14:textId="77777777" w:rsidR="00945C76" w:rsidRPr="005B044B" w:rsidRDefault="00945C76" w:rsidP="00945C76">
                  <w:pPr>
                    <w:pStyle w:val="TableRowCentered"/>
                    <w:ind w:left="0"/>
                    <w:jc w:val="left"/>
                    <w:rPr>
                      <w:sz w:val="12"/>
                      <w:szCs w:val="12"/>
                    </w:rPr>
                  </w:pPr>
                  <w:r w:rsidRPr="005B044B">
                    <w:rPr>
                      <w:sz w:val="12"/>
                      <w:szCs w:val="12"/>
                    </w:rPr>
                    <w:t>PP</w:t>
                  </w:r>
                </w:p>
              </w:tc>
              <w:tc>
                <w:tcPr>
                  <w:tcW w:w="554" w:type="dxa"/>
                </w:tcPr>
                <w:p w14:paraId="07F3F37B" w14:textId="77777777" w:rsidR="00945C76" w:rsidRPr="005B044B" w:rsidRDefault="00945C76" w:rsidP="00945C76">
                  <w:pPr>
                    <w:pStyle w:val="TableRowCentered"/>
                    <w:ind w:left="0"/>
                    <w:jc w:val="left"/>
                    <w:rPr>
                      <w:sz w:val="12"/>
                      <w:szCs w:val="12"/>
                    </w:rPr>
                  </w:pPr>
                  <w:r w:rsidRPr="005B044B">
                    <w:rPr>
                      <w:sz w:val="12"/>
                      <w:szCs w:val="12"/>
                    </w:rPr>
                    <w:t>PP</w:t>
                  </w:r>
                </w:p>
              </w:tc>
              <w:tc>
                <w:tcPr>
                  <w:tcW w:w="554" w:type="dxa"/>
                </w:tcPr>
                <w:p w14:paraId="34D0784C" w14:textId="77777777" w:rsidR="00945C76" w:rsidRPr="005B044B" w:rsidRDefault="00945C76" w:rsidP="00945C76">
                  <w:pPr>
                    <w:pStyle w:val="TableRowCentered"/>
                    <w:ind w:left="0"/>
                    <w:jc w:val="left"/>
                    <w:rPr>
                      <w:sz w:val="12"/>
                      <w:szCs w:val="12"/>
                    </w:rPr>
                  </w:pPr>
                  <w:r w:rsidRPr="005B044B">
                    <w:rPr>
                      <w:sz w:val="12"/>
                      <w:szCs w:val="12"/>
                    </w:rPr>
                    <w:t>Non</w:t>
                  </w:r>
                </w:p>
                <w:p w14:paraId="3CA3C171" w14:textId="77777777" w:rsidR="00945C76" w:rsidRPr="005B044B" w:rsidRDefault="00945C76" w:rsidP="00945C76">
                  <w:pPr>
                    <w:pStyle w:val="TableRowCentered"/>
                    <w:ind w:left="0"/>
                    <w:jc w:val="left"/>
                    <w:rPr>
                      <w:sz w:val="12"/>
                      <w:szCs w:val="12"/>
                    </w:rPr>
                  </w:pPr>
                  <w:r w:rsidRPr="005B044B">
                    <w:rPr>
                      <w:sz w:val="12"/>
                      <w:szCs w:val="12"/>
                    </w:rPr>
                    <w:t>PP</w:t>
                  </w:r>
                </w:p>
              </w:tc>
              <w:tc>
                <w:tcPr>
                  <w:tcW w:w="554" w:type="dxa"/>
                </w:tcPr>
                <w:p w14:paraId="7140F0FA" w14:textId="77777777" w:rsidR="00945C76" w:rsidRPr="005B044B" w:rsidRDefault="00945C76" w:rsidP="00945C76">
                  <w:pPr>
                    <w:pStyle w:val="TableRowCentered"/>
                    <w:ind w:left="0"/>
                    <w:jc w:val="left"/>
                    <w:rPr>
                      <w:sz w:val="12"/>
                      <w:szCs w:val="12"/>
                    </w:rPr>
                  </w:pPr>
                  <w:r w:rsidRPr="005B044B">
                    <w:rPr>
                      <w:sz w:val="12"/>
                      <w:szCs w:val="12"/>
                    </w:rPr>
                    <w:t>PP</w:t>
                  </w:r>
                </w:p>
              </w:tc>
              <w:tc>
                <w:tcPr>
                  <w:tcW w:w="554" w:type="dxa"/>
                </w:tcPr>
                <w:p w14:paraId="63699A5C" w14:textId="77777777" w:rsidR="00945C76" w:rsidRPr="005B044B" w:rsidRDefault="00945C76" w:rsidP="00945C76">
                  <w:pPr>
                    <w:pStyle w:val="TableRowCentered"/>
                    <w:ind w:left="0"/>
                    <w:jc w:val="left"/>
                    <w:rPr>
                      <w:sz w:val="12"/>
                      <w:szCs w:val="12"/>
                    </w:rPr>
                  </w:pPr>
                  <w:r w:rsidRPr="005B044B">
                    <w:rPr>
                      <w:sz w:val="12"/>
                      <w:szCs w:val="12"/>
                    </w:rPr>
                    <w:t>Non</w:t>
                  </w:r>
                </w:p>
                <w:p w14:paraId="655398DB" w14:textId="77777777" w:rsidR="00945C76" w:rsidRPr="005B044B" w:rsidRDefault="00945C76" w:rsidP="00945C76">
                  <w:pPr>
                    <w:pStyle w:val="TableRowCentered"/>
                    <w:ind w:left="0"/>
                    <w:jc w:val="left"/>
                    <w:rPr>
                      <w:sz w:val="12"/>
                      <w:szCs w:val="12"/>
                    </w:rPr>
                  </w:pPr>
                  <w:r w:rsidRPr="005B044B">
                    <w:rPr>
                      <w:sz w:val="12"/>
                      <w:szCs w:val="12"/>
                    </w:rPr>
                    <w:t>PP</w:t>
                  </w:r>
                </w:p>
              </w:tc>
              <w:tc>
                <w:tcPr>
                  <w:tcW w:w="554" w:type="dxa"/>
                </w:tcPr>
                <w:p w14:paraId="531BF6CE" w14:textId="77777777" w:rsidR="00945C76" w:rsidRPr="005B044B" w:rsidRDefault="00945C76" w:rsidP="00945C76">
                  <w:pPr>
                    <w:pStyle w:val="TableRowCentered"/>
                    <w:ind w:left="0"/>
                    <w:jc w:val="left"/>
                    <w:rPr>
                      <w:sz w:val="12"/>
                      <w:szCs w:val="12"/>
                    </w:rPr>
                  </w:pPr>
                  <w:r w:rsidRPr="005B044B">
                    <w:rPr>
                      <w:sz w:val="12"/>
                      <w:szCs w:val="12"/>
                    </w:rPr>
                    <w:t>PP</w:t>
                  </w:r>
                </w:p>
              </w:tc>
              <w:tc>
                <w:tcPr>
                  <w:tcW w:w="554" w:type="dxa"/>
                </w:tcPr>
                <w:p w14:paraId="72D8103A" w14:textId="77777777" w:rsidR="00945C76" w:rsidRPr="005B044B" w:rsidRDefault="00945C76" w:rsidP="00945C76">
                  <w:pPr>
                    <w:pStyle w:val="TableRowCentered"/>
                    <w:ind w:left="0"/>
                    <w:jc w:val="left"/>
                    <w:rPr>
                      <w:sz w:val="12"/>
                      <w:szCs w:val="12"/>
                    </w:rPr>
                  </w:pPr>
                  <w:r w:rsidRPr="005B044B">
                    <w:rPr>
                      <w:sz w:val="12"/>
                      <w:szCs w:val="12"/>
                    </w:rPr>
                    <w:t>Non</w:t>
                  </w:r>
                </w:p>
                <w:p w14:paraId="65F387A4" w14:textId="77777777" w:rsidR="00945C76" w:rsidRPr="005B044B" w:rsidRDefault="00945C76" w:rsidP="00945C76">
                  <w:pPr>
                    <w:pStyle w:val="TableRowCentered"/>
                    <w:ind w:left="0"/>
                    <w:jc w:val="left"/>
                    <w:rPr>
                      <w:sz w:val="12"/>
                      <w:szCs w:val="12"/>
                    </w:rPr>
                  </w:pPr>
                  <w:r w:rsidRPr="005B044B">
                    <w:rPr>
                      <w:sz w:val="12"/>
                      <w:szCs w:val="12"/>
                    </w:rPr>
                    <w:t>PP</w:t>
                  </w:r>
                </w:p>
              </w:tc>
            </w:tr>
            <w:tr w:rsidR="00945C76" w:rsidRPr="00455CB9" w14:paraId="428F19A0" w14:textId="77777777" w:rsidTr="00AF23B7">
              <w:tc>
                <w:tcPr>
                  <w:tcW w:w="795" w:type="dxa"/>
                </w:tcPr>
                <w:p w14:paraId="1710E38B" w14:textId="77777777" w:rsidR="00945C76" w:rsidRPr="005B044B" w:rsidRDefault="00945C76" w:rsidP="00945C76">
                  <w:pPr>
                    <w:pStyle w:val="TableRowCentered"/>
                    <w:ind w:left="0"/>
                    <w:jc w:val="left"/>
                    <w:rPr>
                      <w:sz w:val="12"/>
                      <w:szCs w:val="12"/>
                    </w:rPr>
                  </w:pPr>
                  <w:r w:rsidRPr="005B044B">
                    <w:rPr>
                      <w:sz w:val="12"/>
                      <w:szCs w:val="12"/>
                    </w:rPr>
                    <w:t>Reading</w:t>
                  </w:r>
                </w:p>
              </w:tc>
              <w:tc>
                <w:tcPr>
                  <w:tcW w:w="554" w:type="dxa"/>
                </w:tcPr>
                <w:p w14:paraId="7DF61333" w14:textId="77777777" w:rsidR="00945C76" w:rsidRPr="005B044B" w:rsidRDefault="00945C76" w:rsidP="00945C76">
                  <w:pPr>
                    <w:pStyle w:val="TableRowCentered"/>
                    <w:ind w:left="0"/>
                    <w:jc w:val="left"/>
                    <w:rPr>
                      <w:sz w:val="12"/>
                      <w:szCs w:val="12"/>
                    </w:rPr>
                  </w:pPr>
                  <w:r w:rsidRPr="005B044B">
                    <w:rPr>
                      <w:sz w:val="12"/>
                      <w:szCs w:val="12"/>
                    </w:rPr>
                    <w:t>41%</w:t>
                  </w:r>
                </w:p>
              </w:tc>
              <w:tc>
                <w:tcPr>
                  <w:tcW w:w="554" w:type="dxa"/>
                </w:tcPr>
                <w:p w14:paraId="644B8536" w14:textId="77777777" w:rsidR="00945C76" w:rsidRPr="005B044B" w:rsidRDefault="00945C76" w:rsidP="00945C76">
                  <w:pPr>
                    <w:pStyle w:val="TableRowCentered"/>
                    <w:ind w:left="0"/>
                    <w:jc w:val="left"/>
                    <w:rPr>
                      <w:sz w:val="12"/>
                      <w:szCs w:val="12"/>
                    </w:rPr>
                  </w:pPr>
                  <w:r w:rsidRPr="005B044B">
                    <w:rPr>
                      <w:sz w:val="12"/>
                      <w:szCs w:val="12"/>
                    </w:rPr>
                    <w:t>80%</w:t>
                  </w:r>
                </w:p>
              </w:tc>
              <w:tc>
                <w:tcPr>
                  <w:tcW w:w="554" w:type="dxa"/>
                </w:tcPr>
                <w:p w14:paraId="404241DB" w14:textId="77777777" w:rsidR="00945C76" w:rsidRPr="005B044B" w:rsidRDefault="00945C76" w:rsidP="00945C76">
                  <w:pPr>
                    <w:pStyle w:val="TableRowCentered"/>
                    <w:ind w:left="0"/>
                    <w:jc w:val="left"/>
                    <w:rPr>
                      <w:sz w:val="12"/>
                      <w:szCs w:val="12"/>
                    </w:rPr>
                  </w:pPr>
                  <w:r w:rsidRPr="005B044B">
                    <w:rPr>
                      <w:sz w:val="12"/>
                      <w:szCs w:val="12"/>
                    </w:rPr>
                    <w:t>50%</w:t>
                  </w:r>
                </w:p>
              </w:tc>
              <w:tc>
                <w:tcPr>
                  <w:tcW w:w="554" w:type="dxa"/>
                </w:tcPr>
                <w:p w14:paraId="48E55536" w14:textId="77777777" w:rsidR="00945C76" w:rsidRPr="005B044B" w:rsidRDefault="00945C76" w:rsidP="00945C76">
                  <w:pPr>
                    <w:pStyle w:val="TableRowCentered"/>
                    <w:ind w:left="0"/>
                    <w:jc w:val="left"/>
                    <w:rPr>
                      <w:sz w:val="12"/>
                      <w:szCs w:val="12"/>
                    </w:rPr>
                  </w:pPr>
                  <w:r w:rsidRPr="005B044B">
                    <w:rPr>
                      <w:sz w:val="12"/>
                      <w:szCs w:val="12"/>
                    </w:rPr>
                    <w:t>77%</w:t>
                  </w:r>
                </w:p>
              </w:tc>
              <w:tc>
                <w:tcPr>
                  <w:tcW w:w="554" w:type="dxa"/>
                </w:tcPr>
                <w:p w14:paraId="2102CC9D" w14:textId="77777777" w:rsidR="00945C76" w:rsidRPr="005B044B" w:rsidRDefault="00945C76" w:rsidP="00945C76">
                  <w:pPr>
                    <w:pStyle w:val="TableRowCentered"/>
                    <w:ind w:left="0"/>
                    <w:jc w:val="left"/>
                    <w:rPr>
                      <w:sz w:val="12"/>
                      <w:szCs w:val="12"/>
                    </w:rPr>
                  </w:pPr>
                  <w:r w:rsidRPr="005B044B">
                    <w:rPr>
                      <w:sz w:val="12"/>
                      <w:szCs w:val="12"/>
                    </w:rPr>
                    <w:t>56%</w:t>
                  </w:r>
                </w:p>
              </w:tc>
              <w:tc>
                <w:tcPr>
                  <w:tcW w:w="554" w:type="dxa"/>
                </w:tcPr>
                <w:p w14:paraId="03706E44" w14:textId="77777777" w:rsidR="00945C76" w:rsidRPr="005B044B" w:rsidRDefault="00945C76" w:rsidP="00945C76">
                  <w:pPr>
                    <w:pStyle w:val="TableRowCentered"/>
                    <w:ind w:left="0"/>
                    <w:jc w:val="left"/>
                    <w:rPr>
                      <w:sz w:val="12"/>
                      <w:szCs w:val="12"/>
                    </w:rPr>
                  </w:pPr>
                  <w:r w:rsidRPr="005B044B">
                    <w:rPr>
                      <w:sz w:val="12"/>
                      <w:szCs w:val="12"/>
                    </w:rPr>
                    <w:t>57%</w:t>
                  </w:r>
                </w:p>
              </w:tc>
              <w:tc>
                <w:tcPr>
                  <w:tcW w:w="554" w:type="dxa"/>
                </w:tcPr>
                <w:p w14:paraId="0B42E845" w14:textId="77777777" w:rsidR="00945C76" w:rsidRPr="005B044B" w:rsidRDefault="00945C76" w:rsidP="00945C76">
                  <w:pPr>
                    <w:pStyle w:val="TableRowCentered"/>
                    <w:ind w:left="0"/>
                    <w:jc w:val="left"/>
                    <w:rPr>
                      <w:sz w:val="12"/>
                      <w:szCs w:val="12"/>
                    </w:rPr>
                  </w:pPr>
                  <w:r w:rsidRPr="005B044B">
                    <w:rPr>
                      <w:sz w:val="12"/>
                      <w:szCs w:val="12"/>
                    </w:rPr>
                    <w:t>45%</w:t>
                  </w:r>
                </w:p>
              </w:tc>
              <w:tc>
                <w:tcPr>
                  <w:tcW w:w="554" w:type="dxa"/>
                </w:tcPr>
                <w:p w14:paraId="20D55012" w14:textId="77777777" w:rsidR="00945C76" w:rsidRPr="005B044B" w:rsidRDefault="00945C76" w:rsidP="00945C76">
                  <w:pPr>
                    <w:pStyle w:val="TableRowCentered"/>
                    <w:ind w:left="0"/>
                    <w:jc w:val="left"/>
                    <w:rPr>
                      <w:sz w:val="12"/>
                      <w:szCs w:val="12"/>
                    </w:rPr>
                  </w:pPr>
                  <w:r w:rsidRPr="005B044B">
                    <w:rPr>
                      <w:sz w:val="12"/>
                      <w:szCs w:val="12"/>
                    </w:rPr>
                    <w:t>68%</w:t>
                  </w:r>
                </w:p>
              </w:tc>
              <w:tc>
                <w:tcPr>
                  <w:tcW w:w="554" w:type="dxa"/>
                </w:tcPr>
                <w:p w14:paraId="326D9470" w14:textId="77777777" w:rsidR="00945C76" w:rsidRPr="005B044B" w:rsidRDefault="00945C76" w:rsidP="00945C76">
                  <w:pPr>
                    <w:pStyle w:val="TableRowCentered"/>
                    <w:ind w:left="0"/>
                    <w:jc w:val="left"/>
                    <w:rPr>
                      <w:sz w:val="12"/>
                      <w:szCs w:val="12"/>
                    </w:rPr>
                  </w:pPr>
                  <w:r w:rsidRPr="005B044B">
                    <w:rPr>
                      <w:sz w:val="12"/>
                      <w:szCs w:val="12"/>
                    </w:rPr>
                    <w:t>45%</w:t>
                  </w:r>
                </w:p>
              </w:tc>
              <w:tc>
                <w:tcPr>
                  <w:tcW w:w="554" w:type="dxa"/>
                </w:tcPr>
                <w:p w14:paraId="30E4549F" w14:textId="77777777" w:rsidR="00945C76" w:rsidRPr="005B044B" w:rsidRDefault="00945C76" w:rsidP="00945C76">
                  <w:pPr>
                    <w:pStyle w:val="TableRowCentered"/>
                    <w:ind w:left="0"/>
                    <w:jc w:val="left"/>
                    <w:rPr>
                      <w:sz w:val="12"/>
                      <w:szCs w:val="12"/>
                    </w:rPr>
                  </w:pPr>
                  <w:r w:rsidRPr="005B044B">
                    <w:rPr>
                      <w:sz w:val="12"/>
                      <w:szCs w:val="12"/>
                    </w:rPr>
                    <w:t>74%</w:t>
                  </w:r>
                </w:p>
              </w:tc>
            </w:tr>
            <w:tr w:rsidR="00945C76" w:rsidRPr="00455CB9" w14:paraId="012462FA" w14:textId="77777777" w:rsidTr="00AF23B7">
              <w:tc>
                <w:tcPr>
                  <w:tcW w:w="795" w:type="dxa"/>
                </w:tcPr>
                <w:p w14:paraId="06D6DC01" w14:textId="77777777" w:rsidR="00945C76" w:rsidRPr="005B044B" w:rsidRDefault="00945C76" w:rsidP="00945C76">
                  <w:pPr>
                    <w:pStyle w:val="TableRowCentered"/>
                    <w:ind w:left="0"/>
                    <w:jc w:val="left"/>
                    <w:rPr>
                      <w:sz w:val="12"/>
                      <w:szCs w:val="12"/>
                    </w:rPr>
                  </w:pPr>
                  <w:r w:rsidRPr="005B044B">
                    <w:rPr>
                      <w:sz w:val="12"/>
                      <w:szCs w:val="12"/>
                    </w:rPr>
                    <w:t>Writing</w:t>
                  </w:r>
                </w:p>
              </w:tc>
              <w:tc>
                <w:tcPr>
                  <w:tcW w:w="554" w:type="dxa"/>
                </w:tcPr>
                <w:p w14:paraId="7BC2D3C6" w14:textId="77777777" w:rsidR="00945C76" w:rsidRPr="005B044B" w:rsidRDefault="00945C76" w:rsidP="00945C76">
                  <w:pPr>
                    <w:pStyle w:val="TableRowCentered"/>
                    <w:ind w:left="0"/>
                    <w:jc w:val="left"/>
                    <w:rPr>
                      <w:sz w:val="12"/>
                      <w:szCs w:val="12"/>
                    </w:rPr>
                  </w:pPr>
                  <w:r w:rsidRPr="005B044B">
                    <w:rPr>
                      <w:sz w:val="12"/>
                      <w:szCs w:val="12"/>
                    </w:rPr>
                    <w:t>41%</w:t>
                  </w:r>
                </w:p>
              </w:tc>
              <w:tc>
                <w:tcPr>
                  <w:tcW w:w="554" w:type="dxa"/>
                </w:tcPr>
                <w:p w14:paraId="7C4342B8" w14:textId="77777777" w:rsidR="00945C76" w:rsidRPr="005B044B" w:rsidRDefault="00945C76" w:rsidP="00945C76">
                  <w:pPr>
                    <w:pStyle w:val="TableRowCentered"/>
                    <w:ind w:left="0"/>
                    <w:jc w:val="left"/>
                    <w:rPr>
                      <w:sz w:val="12"/>
                      <w:szCs w:val="12"/>
                    </w:rPr>
                  </w:pPr>
                  <w:r w:rsidRPr="005B044B">
                    <w:rPr>
                      <w:sz w:val="12"/>
                      <w:szCs w:val="12"/>
                    </w:rPr>
                    <w:t>70%</w:t>
                  </w:r>
                </w:p>
              </w:tc>
              <w:tc>
                <w:tcPr>
                  <w:tcW w:w="554" w:type="dxa"/>
                </w:tcPr>
                <w:p w14:paraId="3B638D59" w14:textId="77777777" w:rsidR="00945C76" w:rsidRPr="005B044B" w:rsidRDefault="00945C76" w:rsidP="00945C76">
                  <w:pPr>
                    <w:pStyle w:val="TableRowCentered"/>
                    <w:ind w:left="0"/>
                    <w:jc w:val="left"/>
                    <w:rPr>
                      <w:sz w:val="12"/>
                      <w:szCs w:val="12"/>
                    </w:rPr>
                  </w:pPr>
                  <w:r w:rsidRPr="005B044B">
                    <w:rPr>
                      <w:sz w:val="12"/>
                      <w:szCs w:val="12"/>
                    </w:rPr>
                    <w:t>47%</w:t>
                  </w:r>
                </w:p>
              </w:tc>
              <w:tc>
                <w:tcPr>
                  <w:tcW w:w="554" w:type="dxa"/>
                </w:tcPr>
                <w:p w14:paraId="75325696" w14:textId="77777777" w:rsidR="00945C76" w:rsidRPr="005B044B" w:rsidRDefault="00945C76" w:rsidP="00945C76">
                  <w:pPr>
                    <w:pStyle w:val="TableRowCentered"/>
                    <w:ind w:left="0"/>
                    <w:jc w:val="left"/>
                    <w:rPr>
                      <w:sz w:val="12"/>
                      <w:szCs w:val="12"/>
                    </w:rPr>
                  </w:pPr>
                  <w:r w:rsidRPr="005B044B">
                    <w:rPr>
                      <w:sz w:val="12"/>
                      <w:szCs w:val="12"/>
                    </w:rPr>
                    <w:t>77%</w:t>
                  </w:r>
                </w:p>
              </w:tc>
              <w:tc>
                <w:tcPr>
                  <w:tcW w:w="554" w:type="dxa"/>
                </w:tcPr>
                <w:p w14:paraId="2730AEBB" w14:textId="77777777" w:rsidR="00945C76" w:rsidRPr="005B044B" w:rsidRDefault="00945C76" w:rsidP="00945C76">
                  <w:pPr>
                    <w:pStyle w:val="TableRowCentered"/>
                    <w:ind w:left="0"/>
                    <w:jc w:val="left"/>
                    <w:rPr>
                      <w:sz w:val="12"/>
                      <w:szCs w:val="12"/>
                    </w:rPr>
                  </w:pPr>
                  <w:r w:rsidRPr="005B044B">
                    <w:rPr>
                      <w:sz w:val="12"/>
                      <w:szCs w:val="12"/>
                    </w:rPr>
                    <w:t>49%</w:t>
                  </w:r>
                </w:p>
              </w:tc>
              <w:tc>
                <w:tcPr>
                  <w:tcW w:w="554" w:type="dxa"/>
                </w:tcPr>
                <w:p w14:paraId="11AC07B0" w14:textId="77777777" w:rsidR="00945C76" w:rsidRPr="005B044B" w:rsidRDefault="00945C76" w:rsidP="00945C76">
                  <w:pPr>
                    <w:pStyle w:val="TableRowCentered"/>
                    <w:ind w:left="0"/>
                    <w:jc w:val="left"/>
                    <w:rPr>
                      <w:sz w:val="12"/>
                      <w:szCs w:val="12"/>
                    </w:rPr>
                  </w:pPr>
                  <w:r w:rsidRPr="005B044B">
                    <w:rPr>
                      <w:sz w:val="12"/>
                      <w:szCs w:val="12"/>
                    </w:rPr>
                    <w:t>67%</w:t>
                  </w:r>
                </w:p>
              </w:tc>
              <w:tc>
                <w:tcPr>
                  <w:tcW w:w="554" w:type="dxa"/>
                </w:tcPr>
                <w:p w14:paraId="0FAFB6EB" w14:textId="77777777" w:rsidR="00945C76" w:rsidRPr="005B044B" w:rsidRDefault="00945C76" w:rsidP="00945C76">
                  <w:pPr>
                    <w:pStyle w:val="TableRowCentered"/>
                    <w:ind w:left="0"/>
                    <w:jc w:val="left"/>
                    <w:rPr>
                      <w:sz w:val="12"/>
                      <w:szCs w:val="12"/>
                    </w:rPr>
                  </w:pPr>
                  <w:r w:rsidRPr="005B044B">
                    <w:rPr>
                      <w:sz w:val="12"/>
                      <w:szCs w:val="12"/>
                    </w:rPr>
                    <w:t>29%</w:t>
                  </w:r>
                </w:p>
              </w:tc>
              <w:tc>
                <w:tcPr>
                  <w:tcW w:w="554" w:type="dxa"/>
                </w:tcPr>
                <w:p w14:paraId="63090FE3" w14:textId="77777777" w:rsidR="00945C76" w:rsidRPr="005B044B" w:rsidRDefault="00945C76" w:rsidP="00945C76">
                  <w:pPr>
                    <w:pStyle w:val="TableRowCentered"/>
                    <w:ind w:left="0"/>
                    <w:jc w:val="left"/>
                    <w:rPr>
                      <w:sz w:val="12"/>
                      <w:szCs w:val="12"/>
                    </w:rPr>
                  </w:pPr>
                  <w:r w:rsidRPr="005B044B">
                    <w:rPr>
                      <w:sz w:val="12"/>
                      <w:szCs w:val="12"/>
                    </w:rPr>
                    <w:t>54%</w:t>
                  </w:r>
                </w:p>
              </w:tc>
              <w:tc>
                <w:tcPr>
                  <w:tcW w:w="554" w:type="dxa"/>
                </w:tcPr>
                <w:p w14:paraId="6DB37258" w14:textId="77777777" w:rsidR="00945C76" w:rsidRPr="005B044B" w:rsidRDefault="00945C76" w:rsidP="00945C76">
                  <w:pPr>
                    <w:pStyle w:val="TableRowCentered"/>
                    <w:ind w:left="0"/>
                    <w:jc w:val="left"/>
                    <w:rPr>
                      <w:sz w:val="12"/>
                      <w:szCs w:val="12"/>
                    </w:rPr>
                  </w:pPr>
                  <w:r w:rsidRPr="005B044B">
                    <w:rPr>
                      <w:sz w:val="12"/>
                      <w:szCs w:val="12"/>
                    </w:rPr>
                    <w:t>45%</w:t>
                  </w:r>
                </w:p>
              </w:tc>
              <w:tc>
                <w:tcPr>
                  <w:tcW w:w="554" w:type="dxa"/>
                </w:tcPr>
                <w:p w14:paraId="183695FA" w14:textId="77777777" w:rsidR="00945C76" w:rsidRPr="005B044B" w:rsidRDefault="00945C76" w:rsidP="00945C76">
                  <w:pPr>
                    <w:pStyle w:val="TableRowCentered"/>
                    <w:ind w:left="0"/>
                    <w:jc w:val="left"/>
                    <w:rPr>
                      <w:sz w:val="12"/>
                      <w:szCs w:val="12"/>
                    </w:rPr>
                  </w:pPr>
                  <w:r w:rsidRPr="005B044B">
                    <w:rPr>
                      <w:sz w:val="12"/>
                      <w:szCs w:val="12"/>
                    </w:rPr>
                    <w:t>71%</w:t>
                  </w:r>
                </w:p>
              </w:tc>
            </w:tr>
            <w:tr w:rsidR="00945C76" w:rsidRPr="00455CB9" w14:paraId="6C72D129" w14:textId="77777777" w:rsidTr="00AF23B7">
              <w:tc>
                <w:tcPr>
                  <w:tcW w:w="795" w:type="dxa"/>
                </w:tcPr>
                <w:p w14:paraId="6BF5CB69" w14:textId="77777777" w:rsidR="00945C76" w:rsidRPr="005B044B" w:rsidRDefault="00945C76" w:rsidP="00945C76">
                  <w:pPr>
                    <w:pStyle w:val="TableRowCentered"/>
                    <w:ind w:left="0"/>
                    <w:jc w:val="left"/>
                    <w:rPr>
                      <w:sz w:val="12"/>
                      <w:szCs w:val="12"/>
                    </w:rPr>
                  </w:pPr>
                  <w:r w:rsidRPr="005B044B">
                    <w:rPr>
                      <w:sz w:val="12"/>
                      <w:szCs w:val="12"/>
                    </w:rPr>
                    <w:t>Maths</w:t>
                  </w:r>
                </w:p>
              </w:tc>
              <w:tc>
                <w:tcPr>
                  <w:tcW w:w="554" w:type="dxa"/>
                </w:tcPr>
                <w:p w14:paraId="4F897CFF" w14:textId="77777777" w:rsidR="00945C76" w:rsidRPr="005B044B" w:rsidRDefault="00945C76" w:rsidP="00945C76">
                  <w:pPr>
                    <w:pStyle w:val="TableRowCentered"/>
                    <w:ind w:left="0"/>
                    <w:jc w:val="left"/>
                    <w:rPr>
                      <w:sz w:val="12"/>
                      <w:szCs w:val="12"/>
                    </w:rPr>
                  </w:pPr>
                  <w:r w:rsidRPr="005B044B">
                    <w:rPr>
                      <w:sz w:val="12"/>
                      <w:szCs w:val="12"/>
                    </w:rPr>
                    <w:t>56%</w:t>
                  </w:r>
                </w:p>
              </w:tc>
              <w:tc>
                <w:tcPr>
                  <w:tcW w:w="554" w:type="dxa"/>
                </w:tcPr>
                <w:p w14:paraId="688D1FC5" w14:textId="77777777" w:rsidR="00945C76" w:rsidRPr="005B044B" w:rsidRDefault="00945C76" w:rsidP="00945C76">
                  <w:pPr>
                    <w:pStyle w:val="TableRowCentered"/>
                    <w:ind w:left="0"/>
                    <w:jc w:val="left"/>
                    <w:rPr>
                      <w:sz w:val="12"/>
                      <w:szCs w:val="12"/>
                    </w:rPr>
                  </w:pPr>
                  <w:r w:rsidRPr="005B044B">
                    <w:rPr>
                      <w:sz w:val="12"/>
                      <w:szCs w:val="12"/>
                    </w:rPr>
                    <w:t>80%</w:t>
                  </w:r>
                </w:p>
              </w:tc>
              <w:tc>
                <w:tcPr>
                  <w:tcW w:w="554" w:type="dxa"/>
                </w:tcPr>
                <w:p w14:paraId="0908C04E" w14:textId="77777777" w:rsidR="00945C76" w:rsidRPr="005B044B" w:rsidRDefault="00945C76" w:rsidP="00945C76">
                  <w:pPr>
                    <w:pStyle w:val="TableRowCentered"/>
                    <w:ind w:left="0"/>
                    <w:jc w:val="left"/>
                    <w:rPr>
                      <w:sz w:val="12"/>
                      <w:szCs w:val="12"/>
                    </w:rPr>
                  </w:pPr>
                  <w:r w:rsidRPr="005B044B">
                    <w:rPr>
                      <w:sz w:val="12"/>
                      <w:szCs w:val="12"/>
                    </w:rPr>
                    <w:t>59%</w:t>
                  </w:r>
                </w:p>
              </w:tc>
              <w:tc>
                <w:tcPr>
                  <w:tcW w:w="554" w:type="dxa"/>
                </w:tcPr>
                <w:p w14:paraId="2FC62DDA" w14:textId="77777777" w:rsidR="00945C76" w:rsidRPr="005B044B" w:rsidRDefault="00945C76" w:rsidP="00945C76">
                  <w:pPr>
                    <w:pStyle w:val="TableRowCentered"/>
                    <w:ind w:left="0"/>
                    <w:jc w:val="left"/>
                    <w:rPr>
                      <w:sz w:val="12"/>
                      <w:szCs w:val="12"/>
                    </w:rPr>
                  </w:pPr>
                  <w:r w:rsidRPr="005B044B">
                    <w:rPr>
                      <w:sz w:val="12"/>
                      <w:szCs w:val="12"/>
                    </w:rPr>
                    <w:t>73%</w:t>
                  </w:r>
                </w:p>
              </w:tc>
              <w:tc>
                <w:tcPr>
                  <w:tcW w:w="554" w:type="dxa"/>
                </w:tcPr>
                <w:p w14:paraId="60D9E2E7" w14:textId="77777777" w:rsidR="00945C76" w:rsidRPr="005B044B" w:rsidRDefault="00945C76" w:rsidP="00945C76">
                  <w:pPr>
                    <w:pStyle w:val="TableRowCentered"/>
                    <w:ind w:left="0"/>
                    <w:jc w:val="left"/>
                    <w:rPr>
                      <w:sz w:val="12"/>
                      <w:szCs w:val="12"/>
                    </w:rPr>
                  </w:pPr>
                  <w:r w:rsidRPr="005B044B">
                    <w:rPr>
                      <w:sz w:val="12"/>
                      <w:szCs w:val="12"/>
                    </w:rPr>
                    <w:t>53%</w:t>
                  </w:r>
                </w:p>
              </w:tc>
              <w:tc>
                <w:tcPr>
                  <w:tcW w:w="554" w:type="dxa"/>
                </w:tcPr>
                <w:p w14:paraId="21E2A88A" w14:textId="77777777" w:rsidR="00945C76" w:rsidRPr="005B044B" w:rsidRDefault="00945C76" w:rsidP="00945C76">
                  <w:pPr>
                    <w:pStyle w:val="TableRowCentered"/>
                    <w:ind w:left="0"/>
                    <w:jc w:val="left"/>
                    <w:rPr>
                      <w:sz w:val="12"/>
                      <w:szCs w:val="12"/>
                    </w:rPr>
                  </w:pPr>
                  <w:r w:rsidRPr="005B044B">
                    <w:rPr>
                      <w:sz w:val="12"/>
                      <w:szCs w:val="12"/>
                    </w:rPr>
                    <w:t>54%</w:t>
                  </w:r>
                </w:p>
              </w:tc>
              <w:tc>
                <w:tcPr>
                  <w:tcW w:w="554" w:type="dxa"/>
                </w:tcPr>
                <w:p w14:paraId="0F6869D6" w14:textId="77777777" w:rsidR="00945C76" w:rsidRPr="005B044B" w:rsidRDefault="00945C76" w:rsidP="00945C76">
                  <w:pPr>
                    <w:pStyle w:val="TableRowCentered"/>
                    <w:ind w:left="0"/>
                    <w:jc w:val="left"/>
                    <w:rPr>
                      <w:sz w:val="12"/>
                      <w:szCs w:val="12"/>
                    </w:rPr>
                  </w:pPr>
                  <w:r w:rsidRPr="005B044B">
                    <w:rPr>
                      <w:sz w:val="12"/>
                      <w:szCs w:val="12"/>
                    </w:rPr>
                    <w:t>32%</w:t>
                  </w:r>
                </w:p>
              </w:tc>
              <w:tc>
                <w:tcPr>
                  <w:tcW w:w="554" w:type="dxa"/>
                </w:tcPr>
                <w:p w14:paraId="33B0F6F5" w14:textId="77777777" w:rsidR="00945C76" w:rsidRPr="005B044B" w:rsidRDefault="00945C76" w:rsidP="00945C76">
                  <w:pPr>
                    <w:pStyle w:val="TableRowCentered"/>
                    <w:ind w:left="0"/>
                    <w:jc w:val="left"/>
                    <w:rPr>
                      <w:sz w:val="12"/>
                      <w:szCs w:val="12"/>
                    </w:rPr>
                  </w:pPr>
                  <w:r w:rsidRPr="005B044B">
                    <w:rPr>
                      <w:sz w:val="12"/>
                      <w:szCs w:val="12"/>
                    </w:rPr>
                    <w:t>50%</w:t>
                  </w:r>
                </w:p>
              </w:tc>
              <w:tc>
                <w:tcPr>
                  <w:tcW w:w="554" w:type="dxa"/>
                </w:tcPr>
                <w:p w14:paraId="26FEE208" w14:textId="77777777" w:rsidR="00945C76" w:rsidRPr="005B044B" w:rsidRDefault="00945C76" w:rsidP="00945C76">
                  <w:pPr>
                    <w:pStyle w:val="TableRowCentered"/>
                    <w:ind w:left="0"/>
                    <w:jc w:val="left"/>
                    <w:rPr>
                      <w:sz w:val="12"/>
                      <w:szCs w:val="12"/>
                    </w:rPr>
                  </w:pPr>
                  <w:r w:rsidRPr="005B044B">
                    <w:rPr>
                      <w:sz w:val="12"/>
                      <w:szCs w:val="12"/>
                    </w:rPr>
                    <w:t>58%</w:t>
                  </w:r>
                </w:p>
              </w:tc>
              <w:tc>
                <w:tcPr>
                  <w:tcW w:w="554" w:type="dxa"/>
                </w:tcPr>
                <w:p w14:paraId="1B321C42" w14:textId="77777777" w:rsidR="00945C76" w:rsidRPr="005B044B" w:rsidRDefault="00945C76" w:rsidP="00945C76">
                  <w:pPr>
                    <w:pStyle w:val="TableRowCentered"/>
                    <w:ind w:left="0"/>
                    <w:jc w:val="left"/>
                    <w:rPr>
                      <w:sz w:val="12"/>
                      <w:szCs w:val="12"/>
                    </w:rPr>
                  </w:pPr>
                  <w:r w:rsidRPr="005B044B">
                    <w:rPr>
                      <w:sz w:val="12"/>
                      <w:szCs w:val="12"/>
                    </w:rPr>
                    <w:t>77%</w:t>
                  </w:r>
                </w:p>
              </w:tc>
            </w:tr>
          </w:tbl>
          <w:p w14:paraId="3F9493CA" w14:textId="297D7777" w:rsidR="00945C76" w:rsidRPr="001344E2" w:rsidRDefault="00945C76" w:rsidP="00A35D5A">
            <w:pPr>
              <w:pStyle w:val="TableRowCentered"/>
              <w:ind w:left="0"/>
              <w:jc w:val="left"/>
              <w:rPr>
                <w:rFonts w:cs="Arial"/>
                <w:sz w:val="18"/>
                <w:szCs w:val="18"/>
                <w:shd w:val="clear" w:color="auto" w:fill="FFFFFF"/>
              </w:rPr>
            </w:pPr>
          </w:p>
        </w:tc>
      </w:tr>
      <w:tr w:rsidR="001E7F52" w:rsidRPr="00AA0CF3" w14:paraId="26B67DE8" w14:textId="77777777" w:rsidTr="006E144E">
        <w:tc>
          <w:tcPr>
            <w:tcW w:w="297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tcPr>
          <w:p w14:paraId="41965060" w14:textId="4D326556" w:rsidR="001E7F52" w:rsidRPr="00945C76" w:rsidRDefault="001E7F52" w:rsidP="00A35D5A">
            <w:pPr>
              <w:pStyle w:val="TableRow"/>
              <w:rPr>
                <w:rFonts w:cs="Arial"/>
                <w:sz w:val="18"/>
                <w:szCs w:val="18"/>
              </w:rPr>
            </w:pPr>
            <w:r w:rsidRPr="00945C76">
              <w:rPr>
                <w:rFonts w:cs="Arial"/>
                <w:sz w:val="18"/>
                <w:szCs w:val="18"/>
              </w:rPr>
              <w:t>2021 – 2022 Review</w:t>
            </w:r>
          </w:p>
        </w:tc>
        <w:tc>
          <w:tcPr>
            <w:tcW w:w="65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tcPr>
          <w:p w14:paraId="7D139530" w14:textId="2050D585" w:rsidR="00945C76" w:rsidRDefault="00945C76" w:rsidP="00A35D5A">
            <w:pPr>
              <w:pStyle w:val="TableRowCentered"/>
              <w:ind w:left="0"/>
              <w:jc w:val="left"/>
              <w:rPr>
                <w:rStyle w:val="normaltextrun"/>
                <w:rFonts w:cs="Arial"/>
                <w:sz w:val="18"/>
                <w:szCs w:val="18"/>
                <w:shd w:val="clear" w:color="auto" w:fill="FFFFFF"/>
              </w:rPr>
            </w:pPr>
            <w:r w:rsidRPr="00945C76">
              <w:rPr>
                <w:rStyle w:val="normaltextrun"/>
                <w:rFonts w:cs="Arial"/>
                <w:sz w:val="18"/>
                <w:szCs w:val="18"/>
                <w:shd w:val="clear" w:color="auto" w:fill="FFFFFF"/>
              </w:rPr>
              <w:t>Internal data summer 2022</w:t>
            </w:r>
          </w:p>
          <w:tbl>
            <w:tblPr>
              <w:tblStyle w:val="TableGrid"/>
              <w:tblW w:w="0" w:type="auto"/>
              <w:tblLook w:val="04A0" w:firstRow="1" w:lastRow="0" w:firstColumn="1" w:lastColumn="0" w:noHBand="0" w:noVBand="1"/>
            </w:tblPr>
            <w:tblGrid>
              <w:gridCol w:w="788"/>
              <w:gridCol w:w="550"/>
              <w:gridCol w:w="550"/>
              <w:gridCol w:w="550"/>
              <w:gridCol w:w="550"/>
              <w:gridCol w:w="550"/>
              <w:gridCol w:w="550"/>
              <w:gridCol w:w="550"/>
              <w:gridCol w:w="550"/>
              <w:gridCol w:w="550"/>
              <w:gridCol w:w="550"/>
            </w:tblGrid>
            <w:tr w:rsidR="004D1D7F" w:rsidRPr="00455CB9" w14:paraId="2614990A" w14:textId="77777777" w:rsidTr="00913F23">
              <w:tc>
                <w:tcPr>
                  <w:tcW w:w="795" w:type="dxa"/>
                  <w:vMerge w:val="restart"/>
                </w:tcPr>
                <w:p w14:paraId="6D1C933E" w14:textId="77777777" w:rsidR="004D1D7F" w:rsidRPr="005B044B" w:rsidRDefault="004D1D7F" w:rsidP="004D1D7F">
                  <w:pPr>
                    <w:pStyle w:val="TableRowCentered"/>
                    <w:ind w:left="0"/>
                    <w:jc w:val="left"/>
                    <w:rPr>
                      <w:sz w:val="12"/>
                      <w:szCs w:val="12"/>
                    </w:rPr>
                  </w:pPr>
                  <w:r w:rsidRPr="005B044B">
                    <w:rPr>
                      <w:sz w:val="12"/>
                      <w:szCs w:val="12"/>
                    </w:rPr>
                    <w:t>2021 internal data</w:t>
                  </w:r>
                </w:p>
              </w:tc>
              <w:tc>
                <w:tcPr>
                  <w:tcW w:w="1108" w:type="dxa"/>
                  <w:gridSpan w:val="2"/>
                </w:tcPr>
                <w:p w14:paraId="7C4995C6" w14:textId="77777777" w:rsidR="004D1D7F" w:rsidRPr="005B044B" w:rsidRDefault="004D1D7F" w:rsidP="004D1D7F">
                  <w:pPr>
                    <w:pStyle w:val="TableRowCentered"/>
                    <w:ind w:left="0"/>
                    <w:rPr>
                      <w:sz w:val="12"/>
                      <w:szCs w:val="12"/>
                    </w:rPr>
                  </w:pPr>
                  <w:r w:rsidRPr="005B044B">
                    <w:rPr>
                      <w:sz w:val="12"/>
                      <w:szCs w:val="12"/>
                    </w:rPr>
                    <w:t>Yr1</w:t>
                  </w:r>
                </w:p>
              </w:tc>
              <w:tc>
                <w:tcPr>
                  <w:tcW w:w="1108" w:type="dxa"/>
                  <w:gridSpan w:val="2"/>
                </w:tcPr>
                <w:p w14:paraId="2E03CEA2" w14:textId="77777777" w:rsidR="004D1D7F" w:rsidRPr="005B044B" w:rsidRDefault="004D1D7F" w:rsidP="004D1D7F">
                  <w:pPr>
                    <w:pStyle w:val="TableRowCentered"/>
                    <w:ind w:left="0"/>
                    <w:rPr>
                      <w:sz w:val="12"/>
                      <w:szCs w:val="12"/>
                    </w:rPr>
                  </w:pPr>
                  <w:r w:rsidRPr="005B044B">
                    <w:rPr>
                      <w:sz w:val="12"/>
                      <w:szCs w:val="12"/>
                    </w:rPr>
                    <w:t>Yr2</w:t>
                  </w:r>
                </w:p>
              </w:tc>
              <w:tc>
                <w:tcPr>
                  <w:tcW w:w="1108" w:type="dxa"/>
                  <w:gridSpan w:val="2"/>
                </w:tcPr>
                <w:p w14:paraId="631AE083" w14:textId="77777777" w:rsidR="004D1D7F" w:rsidRPr="005B044B" w:rsidRDefault="004D1D7F" w:rsidP="004D1D7F">
                  <w:pPr>
                    <w:pStyle w:val="TableRowCentered"/>
                    <w:ind w:left="0"/>
                    <w:rPr>
                      <w:sz w:val="12"/>
                      <w:szCs w:val="12"/>
                    </w:rPr>
                  </w:pPr>
                  <w:r w:rsidRPr="005B044B">
                    <w:rPr>
                      <w:sz w:val="12"/>
                      <w:szCs w:val="12"/>
                    </w:rPr>
                    <w:t>Yr3</w:t>
                  </w:r>
                </w:p>
              </w:tc>
              <w:tc>
                <w:tcPr>
                  <w:tcW w:w="1108" w:type="dxa"/>
                  <w:gridSpan w:val="2"/>
                </w:tcPr>
                <w:p w14:paraId="1923DC41" w14:textId="77777777" w:rsidR="004D1D7F" w:rsidRPr="005B044B" w:rsidRDefault="004D1D7F" w:rsidP="004D1D7F">
                  <w:pPr>
                    <w:pStyle w:val="TableRowCentered"/>
                    <w:ind w:left="0"/>
                    <w:rPr>
                      <w:sz w:val="12"/>
                      <w:szCs w:val="12"/>
                    </w:rPr>
                  </w:pPr>
                  <w:r w:rsidRPr="005B044B">
                    <w:rPr>
                      <w:sz w:val="12"/>
                      <w:szCs w:val="12"/>
                    </w:rPr>
                    <w:t>Yr4</w:t>
                  </w:r>
                </w:p>
              </w:tc>
              <w:tc>
                <w:tcPr>
                  <w:tcW w:w="1108" w:type="dxa"/>
                  <w:gridSpan w:val="2"/>
                </w:tcPr>
                <w:p w14:paraId="0FC57B37" w14:textId="77777777" w:rsidR="004D1D7F" w:rsidRPr="005B044B" w:rsidRDefault="004D1D7F" w:rsidP="004D1D7F">
                  <w:pPr>
                    <w:pStyle w:val="TableRowCentered"/>
                    <w:ind w:left="0"/>
                    <w:rPr>
                      <w:sz w:val="12"/>
                      <w:szCs w:val="12"/>
                    </w:rPr>
                  </w:pPr>
                  <w:r w:rsidRPr="005B044B">
                    <w:rPr>
                      <w:sz w:val="12"/>
                      <w:szCs w:val="12"/>
                    </w:rPr>
                    <w:t>Yr5</w:t>
                  </w:r>
                </w:p>
              </w:tc>
            </w:tr>
            <w:tr w:rsidR="004D1D7F" w:rsidRPr="00455CB9" w14:paraId="0E5BD150" w14:textId="77777777" w:rsidTr="00913F23">
              <w:tc>
                <w:tcPr>
                  <w:tcW w:w="795" w:type="dxa"/>
                  <w:vMerge/>
                </w:tcPr>
                <w:p w14:paraId="7F3FE6FA" w14:textId="77777777" w:rsidR="004D1D7F" w:rsidRPr="005B044B" w:rsidRDefault="004D1D7F" w:rsidP="004D1D7F">
                  <w:pPr>
                    <w:pStyle w:val="TableRowCentered"/>
                    <w:ind w:left="0"/>
                    <w:jc w:val="left"/>
                    <w:rPr>
                      <w:sz w:val="12"/>
                      <w:szCs w:val="12"/>
                    </w:rPr>
                  </w:pPr>
                </w:p>
              </w:tc>
              <w:tc>
                <w:tcPr>
                  <w:tcW w:w="554" w:type="dxa"/>
                </w:tcPr>
                <w:p w14:paraId="518CF690" w14:textId="77777777" w:rsidR="004D1D7F" w:rsidRPr="005B044B" w:rsidRDefault="004D1D7F" w:rsidP="004D1D7F">
                  <w:pPr>
                    <w:pStyle w:val="TableRowCentered"/>
                    <w:ind w:left="0"/>
                    <w:jc w:val="left"/>
                    <w:rPr>
                      <w:sz w:val="12"/>
                      <w:szCs w:val="12"/>
                    </w:rPr>
                  </w:pPr>
                  <w:r w:rsidRPr="005B044B">
                    <w:rPr>
                      <w:sz w:val="12"/>
                      <w:szCs w:val="12"/>
                    </w:rPr>
                    <w:t>PP</w:t>
                  </w:r>
                </w:p>
              </w:tc>
              <w:tc>
                <w:tcPr>
                  <w:tcW w:w="554" w:type="dxa"/>
                </w:tcPr>
                <w:p w14:paraId="27DBC1F7" w14:textId="77777777" w:rsidR="004D1D7F" w:rsidRPr="005B044B" w:rsidRDefault="004D1D7F" w:rsidP="004D1D7F">
                  <w:pPr>
                    <w:pStyle w:val="TableRowCentered"/>
                    <w:ind w:left="0"/>
                    <w:jc w:val="left"/>
                    <w:rPr>
                      <w:sz w:val="12"/>
                      <w:szCs w:val="12"/>
                    </w:rPr>
                  </w:pPr>
                  <w:r w:rsidRPr="005B044B">
                    <w:rPr>
                      <w:sz w:val="12"/>
                      <w:szCs w:val="12"/>
                    </w:rPr>
                    <w:t>Non</w:t>
                  </w:r>
                </w:p>
                <w:p w14:paraId="34ACD76E" w14:textId="77777777" w:rsidR="004D1D7F" w:rsidRPr="005B044B" w:rsidRDefault="004D1D7F" w:rsidP="004D1D7F">
                  <w:pPr>
                    <w:pStyle w:val="TableRowCentered"/>
                    <w:ind w:left="0"/>
                    <w:jc w:val="left"/>
                    <w:rPr>
                      <w:sz w:val="12"/>
                      <w:szCs w:val="12"/>
                    </w:rPr>
                  </w:pPr>
                  <w:r w:rsidRPr="005B044B">
                    <w:rPr>
                      <w:sz w:val="12"/>
                      <w:szCs w:val="12"/>
                    </w:rPr>
                    <w:t>PP</w:t>
                  </w:r>
                </w:p>
              </w:tc>
              <w:tc>
                <w:tcPr>
                  <w:tcW w:w="554" w:type="dxa"/>
                </w:tcPr>
                <w:p w14:paraId="65D1615D" w14:textId="77777777" w:rsidR="004D1D7F" w:rsidRPr="005B044B" w:rsidRDefault="004D1D7F" w:rsidP="004D1D7F">
                  <w:pPr>
                    <w:pStyle w:val="TableRowCentered"/>
                    <w:ind w:left="0"/>
                    <w:jc w:val="left"/>
                    <w:rPr>
                      <w:sz w:val="12"/>
                      <w:szCs w:val="12"/>
                    </w:rPr>
                  </w:pPr>
                  <w:r w:rsidRPr="005B044B">
                    <w:rPr>
                      <w:sz w:val="12"/>
                      <w:szCs w:val="12"/>
                    </w:rPr>
                    <w:t>PP</w:t>
                  </w:r>
                </w:p>
              </w:tc>
              <w:tc>
                <w:tcPr>
                  <w:tcW w:w="554" w:type="dxa"/>
                </w:tcPr>
                <w:p w14:paraId="2C9114CA" w14:textId="77777777" w:rsidR="004D1D7F" w:rsidRPr="005B044B" w:rsidRDefault="004D1D7F" w:rsidP="004D1D7F">
                  <w:pPr>
                    <w:pStyle w:val="TableRowCentered"/>
                    <w:ind w:left="0"/>
                    <w:jc w:val="left"/>
                    <w:rPr>
                      <w:sz w:val="12"/>
                      <w:szCs w:val="12"/>
                    </w:rPr>
                  </w:pPr>
                  <w:r w:rsidRPr="005B044B">
                    <w:rPr>
                      <w:sz w:val="12"/>
                      <w:szCs w:val="12"/>
                    </w:rPr>
                    <w:t>Non</w:t>
                  </w:r>
                </w:p>
                <w:p w14:paraId="54D7415A" w14:textId="77777777" w:rsidR="004D1D7F" w:rsidRPr="005B044B" w:rsidRDefault="004D1D7F" w:rsidP="004D1D7F">
                  <w:pPr>
                    <w:pStyle w:val="TableRowCentered"/>
                    <w:ind w:left="0"/>
                    <w:jc w:val="left"/>
                    <w:rPr>
                      <w:sz w:val="12"/>
                      <w:szCs w:val="12"/>
                    </w:rPr>
                  </w:pPr>
                  <w:r w:rsidRPr="005B044B">
                    <w:rPr>
                      <w:sz w:val="12"/>
                      <w:szCs w:val="12"/>
                    </w:rPr>
                    <w:t>PP</w:t>
                  </w:r>
                </w:p>
              </w:tc>
              <w:tc>
                <w:tcPr>
                  <w:tcW w:w="554" w:type="dxa"/>
                </w:tcPr>
                <w:p w14:paraId="60F30DD5" w14:textId="77777777" w:rsidR="004D1D7F" w:rsidRPr="005B044B" w:rsidRDefault="004D1D7F" w:rsidP="004D1D7F">
                  <w:pPr>
                    <w:pStyle w:val="TableRowCentered"/>
                    <w:ind w:left="0"/>
                    <w:jc w:val="left"/>
                    <w:rPr>
                      <w:sz w:val="12"/>
                      <w:szCs w:val="12"/>
                    </w:rPr>
                  </w:pPr>
                  <w:r w:rsidRPr="005B044B">
                    <w:rPr>
                      <w:sz w:val="12"/>
                      <w:szCs w:val="12"/>
                    </w:rPr>
                    <w:t>PP</w:t>
                  </w:r>
                </w:p>
              </w:tc>
              <w:tc>
                <w:tcPr>
                  <w:tcW w:w="554" w:type="dxa"/>
                </w:tcPr>
                <w:p w14:paraId="6766930C" w14:textId="77777777" w:rsidR="004D1D7F" w:rsidRPr="005B044B" w:rsidRDefault="004D1D7F" w:rsidP="004D1D7F">
                  <w:pPr>
                    <w:pStyle w:val="TableRowCentered"/>
                    <w:ind w:left="0"/>
                    <w:jc w:val="left"/>
                    <w:rPr>
                      <w:sz w:val="12"/>
                      <w:szCs w:val="12"/>
                    </w:rPr>
                  </w:pPr>
                  <w:r w:rsidRPr="005B044B">
                    <w:rPr>
                      <w:sz w:val="12"/>
                      <w:szCs w:val="12"/>
                    </w:rPr>
                    <w:t>Non</w:t>
                  </w:r>
                </w:p>
                <w:p w14:paraId="65241810" w14:textId="77777777" w:rsidR="004D1D7F" w:rsidRPr="005B044B" w:rsidRDefault="004D1D7F" w:rsidP="004D1D7F">
                  <w:pPr>
                    <w:pStyle w:val="TableRowCentered"/>
                    <w:ind w:left="0"/>
                    <w:jc w:val="left"/>
                    <w:rPr>
                      <w:sz w:val="12"/>
                      <w:szCs w:val="12"/>
                    </w:rPr>
                  </w:pPr>
                  <w:r w:rsidRPr="005B044B">
                    <w:rPr>
                      <w:sz w:val="12"/>
                      <w:szCs w:val="12"/>
                    </w:rPr>
                    <w:t>PP</w:t>
                  </w:r>
                </w:p>
              </w:tc>
              <w:tc>
                <w:tcPr>
                  <w:tcW w:w="554" w:type="dxa"/>
                </w:tcPr>
                <w:p w14:paraId="34BBFC73" w14:textId="77777777" w:rsidR="004D1D7F" w:rsidRPr="005B044B" w:rsidRDefault="004D1D7F" w:rsidP="004D1D7F">
                  <w:pPr>
                    <w:pStyle w:val="TableRowCentered"/>
                    <w:ind w:left="0"/>
                    <w:jc w:val="left"/>
                    <w:rPr>
                      <w:sz w:val="12"/>
                      <w:szCs w:val="12"/>
                    </w:rPr>
                  </w:pPr>
                  <w:r w:rsidRPr="005B044B">
                    <w:rPr>
                      <w:sz w:val="12"/>
                      <w:szCs w:val="12"/>
                    </w:rPr>
                    <w:t>PP</w:t>
                  </w:r>
                </w:p>
              </w:tc>
              <w:tc>
                <w:tcPr>
                  <w:tcW w:w="554" w:type="dxa"/>
                </w:tcPr>
                <w:p w14:paraId="2AD08B11" w14:textId="77777777" w:rsidR="004D1D7F" w:rsidRPr="005B044B" w:rsidRDefault="004D1D7F" w:rsidP="004D1D7F">
                  <w:pPr>
                    <w:pStyle w:val="TableRowCentered"/>
                    <w:ind w:left="0"/>
                    <w:jc w:val="left"/>
                    <w:rPr>
                      <w:sz w:val="12"/>
                      <w:szCs w:val="12"/>
                    </w:rPr>
                  </w:pPr>
                  <w:r w:rsidRPr="005B044B">
                    <w:rPr>
                      <w:sz w:val="12"/>
                      <w:szCs w:val="12"/>
                    </w:rPr>
                    <w:t>Non</w:t>
                  </w:r>
                </w:p>
                <w:p w14:paraId="1D73C300" w14:textId="77777777" w:rsidR="004D1D7F" w:rsidRPr="005B044B" w:rsidRDefault="004D1D7F" w:rsidP="004D1D7F">
                  <w:pPr>
                    <w:pStyle w:val="TableRowCentered"/>
                    <w:ind w:left="0"/>
                    <w:jc w:val="left"/>
                    <w:rPr>
                      <w:sz w:val="12"/>
                      <w:szCs w:val="12"/>
                    </w:rPr>
                  </w:pPr>
                  <w:r w:rsidRPr="005B044B">
                    <w:rPr>
                      <w:sz w:val="12"/>
                      <w:szCs w:val="12"/>
                    </w:rPr>
                    <w:t>PP</w:t>
                  </w:r>
                </w:p>
              </w:tc>
              <w:tc>
                <w:tcPr>
                  <w:tcW w:w="554" w:type="dxa"/>
                </w:tcPr>
                <w:p w14:paraId="7D0C96D6" w14:textId="77777777" w:rsidR="004D1D7F" w:rsidRPr="005B044B" w:rsidRDefault="004D1D7F" w:rsidP="004D1D7F">
                  <w:pPr>
                    <w:pStyle w:val="TableRowCentered"/>
                    <w:ind w:left="0"/>
                    <w:jc w:val="left"/>
                    <w:rPr>
                      <w:sz w:val="12"/>
                      <w:szCs w:val="12"/>
                    </w:rPr>
                  </w:pPr>
                  <w:r w:rsidRPr="005B044B">
                    <w:rPr>
                      <w:sz w:val="12"/>
                      <w:szCs w:val="12"/>
                    </w:rPr>
                    <w:t>PP</w:t>
                  </w:r>
                </w:p>
              </w:tc>
              <w:tc>
                <w:tcPr>
                  <w:tcW w:w="554" w:type="dxa"/>
                </w:tcPr>
                <w:p w14:paraId="670386A7" w14:textId="77777777" w:rsidR="004D1D7F" w:rsidRPr="005B044B" w:rsidRDefault="004D1D7F" w:rsidP="004D1D7F">
                  <w:pPr>
                    <w:pStyle w:val="TableRowCentered"/>
                    <w:ind w:left="0"/>
                    <w:jc w:val="left"/>
                    <w:rPr>
                      <w:sz w:val="12"/>
                      <w:szCs w:val="12"/>
                    </w:rPr>
                  </w:pPr>
                  <w:r w:rsidRPr="005B044B">
                    <w:rPr>
                      <w:sz w:val="12"/>
                      <w:szCs w:val="12"/>
                    </w:rPr>
                    <w:t>Non</w:t>
                  </w:r>
                </w:p>
                <w:p w14:paraId="0D5198B3" w14:textId="77777777" w:rsidR="004D1D7F" w:rsidRPr="005B044B" w:rsidRDefault="004D1D7F" w:rsidP="004D1D7F">
                  <w:pPr>
                    <w:pStyle w:val="TableRowCentered"/>
                    <w:ind w:left="0"/>
                    <w:jc w:val="left"/>
                    <w:rPr>
                      <w:sz w:val="12"/>
                      <w:szCs w:val="12"/>
                    </w:rPr>
                  </w:pPr>
                  <w:r w:rsidRPr="005B044B">
                    <w:rPr>
                      <w:sz w:val="12"/>
                      <w:szCs w:val="12"/>
                    </w:rPr>
                    <w:t>PP</w:t>
                  </w:r>
                </w:p>
              </w:tc>
            </w:tr>
            <w:tr w:rsidR="004D1D7F" w:rsidRPr="00455CB9" w14:paraId="7DD815FF" w14:textId="77777777" w:rsidTr="00913F23">
              <w:tc>
                <w:tcPr>
                  <w:tcW w:w="795" w:type="dxa"/>
                </w:tcPr>
                <w:p w14:paraId="7379AC12" w14:textId="77777777" w:rsidR="004D1D7F" w:rsidRPr="005B044B" w:rsidRDefault="004D1D7F" w:rsidP="004D1D7F">
                  <w:pPr>
                    <w:pStyle w:val="TableRowCentered"/>
                    <w:ind w:left="0"/>
                    <w:jc w:val="left"/>
                    <w:rPr>
                      <w:sz w:val="12"/>
                      <w:szCs w:val="12"/>
                    </w:rPr>
                  </w:pPr>
                  <w:r w:rsidRPr="005B044B">
                    <w:rPr>
                      <w:sz w:val="12"/>
                      <w:szCs w:val="12"/>
                    </w:rPr>
                    <w:t>Reading</w:t>
                  </w:r>
                </w:p>
              </w:tc>
              <w:tc>
                <w:tcPr>
                  <w:tcW w:w="554" w:type="dxa"/>
                </w:tcPr>
                <w:p w14:paraId="1DCB2FB8" w14:textId="35D9D118" w:rsidR="004D1D7F" w:rsidRPr="005B044B" w:rsidRDefault="004D1D7F" w:rsidP="004D1D7F">
                  <w:pPr>
                    <w:pStyle w:val="TableRowCentered"/>
                    <w:ind w:left="0"/>
                    <w:jc w:val="left"/>
                    <w:rPr>
                      <w:sz w:val="12"/>
                      <w:szCs w:val="12"/>
                    </w:rPr>
                  </w:pPr>
                  <w:r>
                    <w:rPr>
                      <w:sz w:val="12"/>
                      <w:szCs w:val="12"/>
                    </w:rPr>
                    <w:t>57%</w:t>
                  </w:r>
                </w:p>
              </w:tc>
              <w:tc>
                <w:tcPr>
                  <w:tcW w:w="554" w:type="dxa"/>
                </w:tcPr>
                <w:p w14:paraId="16F25F04" w14:textId="3C28BD68" w:rsidR="004D1D7F" w:rsidRPr="005B044B" w:rsidRDefault="006E144E" w:rsidP="004D1D7F">
                  <w:pPr>
                    <w:pStyle w:val="TableRowCentered"/>
                    <w:ind w:left="0"/>
                    <w:jc w:val="left"/>
                    <w:rPr>
                      <w:sz w:val="12"/>
                      <w:szCs w:val="12"/>
                    </w:rPr>
                  </w:pPr>
                  <w:r>
                    <w:rPr>
                      <w:sz w:val="12"/>
                      <w:szCs w:val="12"/>
                    </w:rPr>
                    <w:t>57%</w:t>
                  </w:r>
                </w:p>
              </w:tc>
              <w:tc>
                <w:tcPr>
                  <w:tcW w:w="554" w:type="dxa"/>
                </w:tcPr>
                <w:p w14:paraId="6B33E6A1" w14:textId="3AAEA2CC" w:rsidR="004D1D7F" w:rsidRPr="005B044B" w:rsidRDefault="006E144E" w:rsidP="004D1D7F">
                  <w:pPr>
                    <w:pStyle w:val="TableRowCentered"/>
                    <w:ind w:left="0"/>
                    <w:jc w:val="left"/>
                    <w:rPr>
                      <w:sz w:val="12"/>
                      <w:szCs w:val="12"/>
                    </w:rPr>
                  </w:pPr>
                  <w:r>
                    <w:rPr>
                      <w:sz w:val="12"/>
                      <w:szCs w:val="12"/>
                    </w:rPr>
                    <w:t>50%</w:t>
                  </w:r>
                </w:p>
              </w:tc>
              <w:tc>
                <w:tcPr>
                  <w:tcW w:w="554" w:type="dxa"/>
                </w:tcPr>
                <w:p w14:paraId="4123A7F3" w14:textId="7AE9C601" w:rsidR="004D1D7F" w:rsidRPr="005B044B" w:rsidRDefault="006E144E" w:rsidP="004D1D7F">
                  <w:pPr>
                    <w:pStyle w:val="TableRowCentered"/>
                    <w:ind w:left="0"/>
                    <w:jc w:val="left"/>
                    <w:rPr>
                      <w:sz w:val="12"/>
                      <w:szCs w:val="12"/>
                    </w:rPr>
                  </w:pPr>
                  <w:r>
                    <w:rPr>
                      <w:sz w:val="12"/>
                      <w:szCs w:val="12"/>
                    </w:rPr>
                    <w:t>58%</w:t>
                  </w:r>
                </w:p>
              </w:tc>
              <w:tc>
                <w:tcPr>
                  <w:tcW w:w="554" w:type="dxa"/>
                </w:tcPr>
                <w:p w14:paraId="0FEED9B1" w14:textId="75C8A7DC" w:rsidR="004D1D7F" w:rsidRPr="005B044B" w:rsidRDefault="006E144E" w:rsidP="004D1D7F">
                  <w:pPr>
                    <w:pStyle w:val="TableRowCentered"/>
                    <w:ind w:left="0"/>
                    <w:jc w:val="left"/>
                    <w:rPr>
                      <w:sz w:val="12"/>
                      <w:szCs w:val="12"/>
                    </w:rPr>
                  </w:pPr>
                  <w:r>
                    <w:rPr>
                      <w:sz w:val="12"/>
                      <w:szCs w:val="12"/>
                    </w:rPr>
                    <w:t>73%</w:t>
                  </w:r>
                </w:p>
              </w:tc>
              <w:tc>
                <w:tcPr>
                  <w:tcW w:w="554" w:type="dxa"/>
                </w:tcPr>
                <w:p w14:paraId="5922088E" w14:textId="060302D1" w:rsidR="004D1D7F" w:rsidRPr="005B044B" w:rsidRDefault="006E144E" w:rsidP="004D1D7F">
                  <w:pPr>
                    <w:pStyle w:val="TableRowCentered"/>
                    <w:ind w:left="0"/>
                    <w:jc w:val="left"/>
                    <w:rPr>
                      <w:sz w:val="12"/>
                      <w:szCs w:val="12"/>
                    </w:rPr>
                  </w:pPr>
                  <w:r>
                    <w:rPr>
                      <w:sz w:val="12"/>
                      <w:szCs w:val="12"/>
                    </w:rPr>
                    <w:t>78%</w:t>
                  </w:r>
                </w:p>
              </w:tc>
              <w:tc>
                <w:tcPr>
                  <w:tcW w:w="554" w:type="dxa"/>
                </w:tcPr>
                <w:p w14:paraId="09AF24B4" w14:textId="1E90B88C" w:rsidR="004D1D7F" w:rsidRPr="005B044B" w:rsidRDefault="006E144E" w:rsidP="004D1D7F">
                  <w:pPr>
                    <w:pStyle w:val="TableRowCentered"/>
                    <w:ind w:left="0"/>
                    <w:jc w:val="left"/>
                    <w:rPr>
                      <w:sz w:val="12"/>
                      <w:szCs w:val="12"/>
                    </w:rPr>
                  </w:pPr>
                  <w:r>
                    <w:rPr>
                      <w:sz w:val="12"/>
                      <w:szCs w:val="12"/>
                    </w:rPr>
                    <w:t>57%</w:t>
                  </w:r>
                </w:p>
              </w:tc>
              <w:tc>
                <w:tcPr>
                  <w:tcW w:w="554" w:type="dxa"/>
                </w:tcPr>
                <w:p w14:paraId="1F1FBD32" w14:textId="67539986" w:rsidR="004D1D7F" w:rsidRPr="005B044B" w:rsidRDefault="006E144E" w:rsidP="004D1D7F">
                  <w:pPr>
                    <w:pStyle w:val="TableRowCentered"/>
                    <w:ind w:left="0"/>
                    <w:jc w:val="left"/>
                    <w:rPr>
                      <w:sz w:val="12"/>
                      <w:szCs w:val="12"/>
                    </w:rPr>
                  </w:pPr>
                  <w:r>
                    <w:rPr>
                      <w:sz w:val="12"/>
                      <w:szCs w:val="12"/>
                    </w:rPr>
                    <w:t>61%</w:t>
                  </w:r>
                </w:p>
              </w:tc>
              <w:tc>
                <w:tcPr>
                  <w:tcW w:w="554" w:type="dxa"/>
                </w:tcPr>
                <w:p w14:paraId="1FA9FCA9" w14:textId="3D036B72" w:rsidR="004D1D7F" w:rsidRPr="005B044B" w:rsidRDefault="00675A51" w:rsidP="004D1D7F">
                  <w:pPr>
                    <w:pStyle w:val="TableRowCentered"/>
                    <w:ind w:left="0"/>
                    <w:jc w:val="left"/>
                    <w:rPr>
                      <w:sz w:val="12"/>
                      <w:szCs w:val="12"/>
                    </w:rPr>
                  </w:pPr>
                  <w:r>
                    <w:rPr>
                      <w:sz w:val="12"/>
                      <w:szCs w:val="12"/>
                    </w:rPr>
                    <w:t>73%</w:t>
                  </w:r>
                </w:p>
              </w:tc>
              <w:tc>
                <w:tcPr>
                  <w:tcW w:w="554" w:type="dxa"/>
                </w:tcPr>
                <w:p w14:paraId="574E9C89" w14:textId="53C519CB" w:rsidR="004D1D7F" w:rsidRPr="005B044B" w:rsidRDefault="00675A51" w:rsidP="004D1D7F">
                  <w:pPr>
                    <w:pStyle w:val="TableRowCentered"/>
                    <w:ind w:left="0"/>
                    <w:jc w:val="left"/>
                    <w:rPr>
                      <w:sz w:val="12"/>
                      <w:szCs w:val="12"/>
                    </w:rPr>
                  </w:pPr>
                  <w:r>
                    <w:rPr>
                      <w:sz w:val="12"/>
                      <w:szCs w:val="12"/>
                    </w:rPr>
                    <w:t>81%</w:t>
                  </w:r>
                </w:p>
              </w:tc>
            </w:tr>
            <w:tr w:rsidR="004D1D7F" w:rsidRPr="00455CB9" w14:paraId="031344D9" w14:textId="77777777" w:rsidTr="00913F23">
              <w:tc>
                <w:tcPr>
                  <w:tcW w:w="795" w:type="dxa"/>
                </w:tcPr>
                <w:p w14:paraId="65D0DCDB" w14:textId="77777777" w:rsidR="004D1D7F" w:rsidRPr="005B044B" w:rsidRDefault="004D1D7F" w:rsidP="004D1D7F">
                  <w:pPr>
                    <w:pStyle w:val="TableRowCentered"/>
                    <w:ind w:left="0"/>
                    <w:jc w:val="left"/>
                    <w:rPr>
                      <w:sz w:val="12"/>
                      <w:szCs w:val="12"/>
                    </w:rPr>
                  </w:pPr>
                  <w:r w:rsidRPr="005B044B">
                    <w:rPr>
                      <w:sz w:val="12"/>
                      <w:szCs w:val="12"/>
                    </w:rPr>
                    <w:t>Writing</w:t>
                  </w:r>
                </w:p>
              </w:tc>
              <w:tc>
                <w:tcPr>
                  <w:tcW w:w="554" w:type="dxa"/>
                </w:tcPr>
                <w:p w14:paraId="18B5BC44" w14:textId="765605EA" w:rsidR="004D1D7F" w:rsidRPr="005B044B" w:rsidRDefault="004D1D7F" w:rsidP="004D1D7F">
                  <w:pPr>
                    <w:pStyle w:val="TableRowCentered"/>
                    <w:ind w:left="0"/>
                    <w:jc w:val="left"/>
                    <w:rPr>
                      <w:sz w:val="12"/>
                      <w:szCs w:val="12"/>
                    </w:rPr>
                  </w:pPr>
                  <w:r>
                    <w:rPr>
                      <w:sz w:val="12"/>
                      <w:szCs w:val="12"/>
                    </w:rPr>
                    <w:t>40%</w:t>
                  </w:r>
                </w:p>
              </w:tc>
              <w:tc>
                <w:tcPr>
                  <w:tcW w:w="554" w:type="dxa"/>
                </w:tcPr>
                <w:p w14:paraId="0F04361A" w14:textId="7171402B" w:rsidR="004D1D7F" w:rsidRPr="005B044B" w:rsidRDefault="006E144E" w:rsidP="004D1D7F">
                  <w:pPr>
                    <w:pStyle w:val="TableRowCentered"/>
                    <w:ind w:left="0"/>
                    <w:jc w:val="left"/>
                    <w:rPr>
                      <w:sz w:val="12"/>
                      <w:szCs w:val="12"/>
                    </w:rPr>
                  </w:pPr>
                  <w:r>
                    <w:rPr>
                      <w:sz w:val="12"/>
                      <w:szCs w:val="12"/>
                    </w:rPr>
                    <w:t>42%</w:t>
                  </w:r>
                </w:p>
              </w:tc>
              <w:tc>
                <w:tcPr>
                  <w:tcW w:w="554" w:type="dxa"/>
                </w:tcPr>
                <w:p w14:paraId="2F9C3C2B" w14:textId="41B003FC" w:rsidR="004D1D7F" w:rsidRPr="005B044B" w:rsidRDefault="006E144E" w:rsidP="004D1D7F">
                  <w:pPr>
                    <w:pStyle w:val="TableRowCentered"/>
                    <w:ind w:left="0"/>
                    <w:jc w:val="left"/>
                    <w:rPr>
                      <w:sz w:val="12"/>
                      <w:szCs w:val="12"/>
                    </w:rPr>
                  </w:pPr>
                  <w:r>
                    <w:rPr>
                      <w:sz w:val="12"/>
                      <w:szCs w:val="12"/>
                    </w:rPr>
                    <w:t>59%</w:t>
                  </w:r>
                </w:p>
              </w:tc>
              <w:tc>
                <w:tcPr>
                  <w:tcW w:w="554" w:type="dxa"/>
                </w:tcPr>
                <w:p w14:paraId="17BD045B" w14:textId="1BF0C946" w:rsidR="004D1D7F" w:rsidRPr="005B044B" w:rsidRDefault="006E144E" w:rsidP="004D1D7F">
                  <w:pPr>
                    <w:pStyle w:val="TableRowCentered"/>
                    <w:ind w:left="0"/>
                    <w:jc w:val="left"/>
                    <w:rPr>
                      <w:sz w:val="12"/>
                      <w:szCs w:val="12"/>
                    </w:rPr>
                  </w:pPr>
                  <w:r>
                    <w:rPr>
                      <w:sz w:val="12"/>
                      <w:szCs w:val="12"/>
                    </w:rPr>
                    <w:t>62%</w:t>
                  </w:r>
                </w:p>
              </w:tc>
              <w:tc>
                <w:tcPr>
                  <w:tcW w:w="554" w:type="dxa"/>
                </w:tcPr>
                <w:p w14:paraId="495CDC84" w14:textId="6A873623" w:rsidR="004D1D7F" w:rsidRPr="005B044B" w:rsidRDefault="006E144E" w:rsidP="004D1D7F">
                  <w:pPr>
                    <w:pStyle w:val="TableRowCentered"/>
                    <w:ind w:left="0"/>
                    <w:jc w:val="left"/>
                    <w:rPr>
                      <w:sz w:val="12"/>
                      <w:szCs w:val="12"/>
                    </w:rPr>
                  </w:pPr>
                  <w:r>
                    <w:rPr>
                      <w:sz w:val="12"/>
                      <w:szCs w:val="12"/>
                    </w:rPr>
                    <w:t>51%</w:t>
                  </w:r>
                </w:p>
              </w:tc>
              <w:tc>
                <w:tcPr>
                  <w:tcW w:w="554" w:type="dxa"/>
                </w:tcPr>
                <w:p w14:paraId="0A849C68" w14:textId="2C1D2625" w:rsidR="004D1D7F" w:rsidRPr="005B044B" w:rsidRDefault="006E144E" w:rsidP="004D1D7F">
                  <w:pPr>
                    <w:pStyle w:val="TableRowCentered"/>
                    <w:ind w:left="0"/>
                    <w:jc w:val="left"/>
                    <w:rPr>
                      <w:sz w:val="12"/>
                      <w:szCs w:val="12"/>
                    </w:rPr>
                  </w:pPr>
                  <w:r>
                    <w:rPr>
                      <w:sz w:val="12"/>
                      <w:szCs w:val="12"/>
                    </w:rPr>
                    <w:t>58%</w:t>
                  </w:r>
                </w:p>
              </w:tc>
              <w:tc>
                <w:tcPr>
                  <w:tcW w:w="554" w:type="dxa"/>
                </w:tcPr>
                <w:p w14:paraId="1C70FD34" w14:textId="4A314933" w:rsidR="004D1D7F" w:rsidRPr="005B044B" w:rsidRDefault="006E144E" w:rsidP="004D1D7F">
                  <w:pPr>
                    <w:pStyle w:val="TableRowCentered"/>
                    <w:ind w:left="0"/>
                    <w:jc w:val="left"/>
                    <w:rPr>
                      <w:sz w:val="12"/>
                      <w:szCs w:val="12"/>
                    </w:rPr>
                  </w:pPr>
                  <w:r>
                    <w:rPr>
                      <w:sz w:val="12"/>
                      <w:szCs w:val="12"/>
                    </w:rPr>
                    <w:t>54%</w:t>
                  </w:r>
                </w:p>
              </w:tc>
              <w:tc>
                <w:tcPr>
                  <w:tcW w:w="554" w:type="dxa"/>
                </w:tcPr>
                <w:p w14:paraId="35AE68F1" w14:textId="5D935312" w:rsidR="004D1D7F" w:rsidRPr="005B044B" w:rsidRDefault="006E144E" w:rsidP="004D1D7F">
                  <w:pPr>
                    <w:pStyle w:val="TableRowCentered"/>
                    <w:ind w:left="0"/>
                    <w:jc w:val="left"/>
                    <w:rPr>
                      <w:sz w:val="12"/>
                      <w:szCs w:val="12"/>
                    </w:rPr>
                  </w:pPr>
                  <w:r>
                    <w:rPr>
                      <w:sz w:val="12"/>
                      <w:szCs w:val="12"/>
                    </w:rPr>
                    <w:t>59%</w:t>
                  </w:r>
                </w:p>
              </w:tc>
              <w:tc>
                <w:tcPr>
                  <w:tcW w:w="554" w:type="dxa"/>
                </w:tcPr>
                <w:p w14:paraId="7EFCB01A" w14:textId="1F6681F7" w:rsidR="004D1D7F" w:rsidRPr="005B044B" w:rsidRDefault="00675A51" w:rsidP="004D1D7F">
                  <w:pPr>
                    <w:pStyle w:val="TableRowCentered"/>
                    <w:ind w:left="0"/>
                    <w:jc w:val="left"/>
                    <w:rPr>
                      <w:sz w:val="12"/>
                      <w:szCs w:val="12"/>
                    </w:rPr>
                  </w:pPr>
                  <w:r>
                    <w:rPr>
                      <w:sz w:val="12"/>
                      <w:szCs w:val="12"/>
                    </w:rPr>
                    <w:t>67%</w:t>
                  </w:r>
                </w:p>
              </w:tc>
              <w:tc>
                <w:tcPr>
                  <w:tcW w:w="554" w:type="dxa"/>
                </w:tcPr>
                <w:p w14:paraId="3EFCCB62" w14:textId="5991168A" w:rsidR="004D1D7F" w:rsidRPr="005B044B" w:rsidRDefault="00675A51" w:rsidP="004D1D7F">
                  <w:pPr>
                    <w:pStyle w:val="TableRowCentered"/>
                    <w:ind w:left="0"/>
                    <w:jc w:val="left"/>
                    <w:rPr>
                      <w:sz w:val="12"/>
                      <w:szCs w:val="12"/>
                    </w:rPr>
                  </w:pPr>
                  <w:r>
                    <w:rPr>
                      <w:sz w:val="12"/>
                      <w:szCs w:val="12"/>
                    </w:rPr>
                    <w:t>75%</w:t>
                  </w:r>
                </w:p>
              </w:tc>
            </w:tr>
            <w:tr w:rsidR="004D1D7F" w:rsidRPr="00455CB9" w14:paraId="5D04FBD3" w14:textId="77777777" w:rsidTr="00913F23">
              <w:tc>
                <w:tcPr>
                  <w:tcW w:w="795" w:type="dxa"/>
                </w:tcPr>
                <w:p w14:paraId="1544EEEF" w14:textId="77777777" w:rsidR="004D1D7F" w:rsidRPr="005B044B" w:rsidRDefault="004D1D7F" w:rsidP="004D1D7F">
                  <w:pPr>
                    <w:pStyle w:val="TableRowCentered"/>
                    <w:ind w:left="0"/>
                    <w:jc w:val="left"/>
                    <w:rPr>
                      <w:sz w:val="12"/>
                      <w:szCs w:val="12"/>
                    </w:rPr>
                  </w:pPr>
                  <w:r w:rsidRPr="005B044B">
                    <w:rPr>
                      <w:sz w:val="12"/>
                      <w:szCs w:val="12"/>
                    </w:rPr>
                    <w:t>Maths</w:t>
                  </w:r>
                </w:p>
              </w:tc>
              <w:tc>
                <w:tcPr>
                  <w:tcW w:w="554" w:type="dxa"/>
                </w:tcPr>
                <w:p w14:paraId="108EFFDA" w14:textId="1F534303" w:rsidR="004D1D7F" w:rsidRPr="005B044B" w:rsidRDefault="006E144E" w:rsidP="004D1D7F">
                  <w:pPr>
                    <w:pStyle w:val="TableRowCentered"/>
                    <w:ind w:left="0"/>
                    <w:jc w:val="left"/>
                    <w:rPr>
                      <w:sz w:val="12"/>
                      <w:szCs w:val="12"/>
                    </w:rPr>
                  </w:pPr>
                  <w:r>
                    <w:rPr>
                      <w:sz w:val="12"/>
                      <w:szCs w:val="12"/>
                    </w:rPr>
                    <w:t>57%</w:t>
                  </w:r>
                </w:p>
              </w:tc>
              <w:tc>
                <w:tcPr>
                  <w:tcW w:w="554" w:type="dxa"/>
                </w:tcPr>
                <w:p w14:paraId="58F9FB13" w14:textId="241AB4AC" w:rsidR="004D1D7F" w:rsidRPr="005B044B" w:rsidRDefault="006E144E" w:rsidP="004D1D7F">
                  <w:pPr>
                    <w:pStyle w:val="TableRowCentered"/>
                    <w:ind w:left="0"/>
                    <w:jc w:val="left"/>
                    <w:rPr>
                      <w:sz w:val="12"/>
                      <w:szCs w:val="12"/>
                    </w:rPr>
                  </w:pPr>
                  <w:r>
                    <w:rPr>
                      <w:sz w:val="12"/>
                      <w:szCs w:val="12"/>
                    </w:rPr>
                    <w:t>57%</w:t>
                  </w:r>
                </w:p>
              </w:tc>
              <w:tc>
                <w:tcPr>
                  <w:tcW w:w="554" w:type="dxa"/>
                </w:tcPr>
                <w:p w14:paraId="0922008A" w14:textId="58585980" w:rsidR="004D1D7F" w:rsidRPr="005B044B" w:rsidRDefault="006E144E" w:rsidP="004D1D7F">
                  <w:pPr>
                    <w:pStyle w:val="TableRowCentered"/>
                    <w:ind w:left="0"/>
                    <w:jc w:val="left"/>
                    <w:rPr>
                      <w:sz w:val="12"/>
                      <w:szCs w:val="12"/>
                    </w:rPr>
                  </w:pPr>
                  <w:r>
                    <w:rPr>
                      <w:sz w:val="12"/>
                      <w:szCs w:val="12"/>
                    </w:rPr>
                    <w:t>66%</w:t>
                  </w:r>
                </w:p>
              </w:tc>
              <w:tc>
                <w:tcPr>
                  <w:tcW w:w="554" w:type="dxa"/>
                </w:tcPr>
                <w:p w14:paraId="787B728A" w14:textId="36AF03B7" w:rsidR="004D1D7F" w:rsidRPr="005B044B" w:rsidRDefault="006E144E" w:rsidP="004D1D7F">
                  <w:pPr>
                    <w:pStyle w:val="TableRowCentered"/>
                    <w:ind w:left="0"/>
                    <w:jc w:val="left"/>
                    <w:rPr>
                      <w:sz w:val="12"/>
                      <w:szCs w:val="12"/>
                    </w:rPr>
                  </w:pPr>
                  <w:r>
                    <w:rPr>
                      <w:sz w:val="12"/>
                      <w:szCs w:val="12"/>
                    </w:rPr>
                    <w:t>72%</w:t>
                  </w:r>
                </w:p>
              </w:tc>
              <w:tc>
                <w:tcPr>
                  <w:tcW w:w="554" w:type="dxa"/>
                </w:tcPr>
                <w:p w14:paraId="32E6121E" w14:textId="4A21BD9D" w:rsidR="004D1D7F" w:rsidRPr="005B044B" w:rsidRDefault="006E144E" w:rsidP="004D1D7F">
                  <w:pPr>
                    <w:pStyle w:val="TableRowCentered"/>
                    <w:ind w:left="0"/>
                    <w:jc w:val="left"/>
                    <w:rPr>
                      <w:sz w:val="12"/>
                      <w:szCs w:val="12"/>
                    </w:rPr>
                  </w:pPr>
                  <w:r>
                    <w:rPr>
                      <w:sz w:val="12"/>
                      <w:szCs w:val="12"/>
                    </w:rPr>
                    <w:t>65%</w:t>
                  </w:r>
                </w:p>
              </w:tc>
              <w:tc>
                <w:tcPr>
                  <w:tcW w:w="554" w:type="dxa"/>
                </w:tcPr>
                <w:p w14:paraId="3F51D7A6" w14:textId="16B5FD10" w:rsidR="004D1D7F" w:rsidRPr="005B044B" w:rsidRDefault="006E144E" w:rsidP="004D1D7F">
                  <w:pPr>
                    <w:pStyle w:val="TableRowCentered"/>
                    <w:ind w:left="0"/>
                    <w:jc w:val="left"/>
                    <w:rPr>
                      <w:sz w:val="12"/>
                      <w:szCs w:val="12"/>
                    </w:rPr>
                  </w:pPr>
                  <w:r>
                    <w:rPr>
                      <w:sz w:val="12"/>
                      <w:szCs w:val="12"/>
                    </w:rPr>
                    <w:t>72%</w:t>
                  </w:r>
                </w:p>
              </w:tc>
              <w:tc>
                <w:tcPr>
                  <w:tcW w:w="554" w:type="dxa"/>
                </w:tcPr>
                <w:p w14:paraId="41CAD179" w14:textId="02899AB2" w:rsidR="004D1D7F" w:rsidRPr="005B044B" w:rsidRDefault="006E144E" w:rsidP="004D1D7F">
                  <w:pPr>
                    <w:pStyle w:val="TableRowCentered"/>
                    <w:ind w:left="0"/>
                    <w:jc w:val="left"/>
                    <w:rPr>
                      <w:sz w:val="12"/>
                      <w:szCs w:val="12"/>
                    </w:rPr>
                  </w:pPr>
                  <w:r>
                    <w:rPr>
                      <w:sz w:val="12"/>
                      <w:szCs w:val="12"/>
                    </w:rPr>
                    <w:t>63%</w:t>
                  </w:r>
                </w:p>
              </w:tc>
              <w:tc>
                <w:tcPr>
                  <w:tcW w:w="554" w:type="dxa"/>
                </w:tcPr>
                <w:p w14:paraId="1CD2E474" w14:textId="02F98913" w:rsidR="004D1D7F" w:rsidRPr="005B044B" w:rsidRDefault="00675A51" w:rsidP="004D1D7F">
                  <w:pPr>
                    <w:pStyle w:val="TableRowCentered"/>
                    <w:ind w:left="0"/>
                    <w:jc w:val="left"/>
                    <w:rPr>
                      <w:sz w:val="12"/>
                      <w:szCs w:val="12"/>
                    </w:rPr>
                  </w:pPr>
                  <w:r>
                    <w:rPr>
                      <w:sz w:val="12"/>
                      <w:szCs w:val="12"/>
                    </w:rPr>
                    <w:t>73%</w:t>
                  </w:r>
                </w:p>
              </w:tc>
              <w:tc>
                <w:tcPr>
                  <w:tcW w:w="554" w:type="dxa"/>
                </w:tcPr>
                <w:p w14:paraId="6192F348" w14:textId="6A60F551" w:rsidR="004D1D7F" w:rsidRPr="005B044B" w:rsidRDefault="00675A51" w:rsidP="004D1D7F">
                  <w:pPr>
                    <w:pStyle w:val="TableRowCentered"/>
                    <w:ind w:left="0"/>
                    <w:jc w:val="left"/>
                    <w:rPr>
                      <w:sz w:val="12"/>
                      <w:szCs w:val="12"/>
                    </w:rPr>
                  </w:pPr>
                  <w:r>
                    <w:rPr>
                      <w:sz w:val="12"/>
                      <w:szCs w:val="12"/>
                    </w:rPr>
                    <w:t>64%</w:t>
                  </w:r>
                </w:p>
              </w:tc>
              <w:tc>
                <w:tcPr>
                  <w:tcW w:w="554" w:type="dxa"/>
                </w:tcPr>
                <w:p w14:paraId="5D8BF363" w14:textId="442CA48B" w:rsidR="004D1D7F" w:rsidRPr="005B044B" w:rsidRDefault="00675A51" w:rsidP="004D1D7F">
                  <w:pPr>
                    <w:pStyle w:val="TableRowCentered"/>
                    <w:ind w:left="0"/>
                    <w:jc w:val="left"/>
                    <w:rPr>
                      <w:sz w:val="12"/>
                      <w:szCs w:val="12"/>
                    </w:rPr>
                  </w:pPr>
                  <w:r>
                    <w:rPr>
                      <w:sz w:val="12"/>
                      <w:szCs w:val="12"/>
                    </w:rPr>
                    <w:t>76%</w:t>
                  </w:r>
                </w:p>
              </w:tc>
            </w:tr>
          </w:tbl>
          <w:p w14:paraId="48662446" w14:textId="23627186" w:rsidR="00945C76" w:rsidRDefault="00945C76" w:rsidP="006E144E">
            <w:pPr>
              <w:pStyle w:val="TableRowCentered"/>
              <w:shd w:val="clear" w:color="auto" w:fill="FDE9D9" w:themeFill="accent6" w:themeFillTint="33"/>
              <w:ind w:left="0"/>
              <w:jc w:val="left"/>
              <w:rPr>
                <w:rStyle w:val="normaltextrun"/>
                <w:rFonts w:cs="Arial"/>
                <w:sz w:val="18"/>
                <w:szCs w:val="18"/>
                <w:shd w:val="clear" w:color="auto" w:fill="FFFFFF"/>
              </w:rPr>
            </w:pPr>
            <w:r>
              <w:rPr>
                <w:rStyle w:val="normaltextrun"/>
                <w:rFonts w:cs="Arial"/>
                <w:sz w:val="18"/>
                <w:szCs w:val="18"/>
                <w:shd w:val="clear" w:color="auto" w:fill="FFFFFF"/>
              </w:rPr>
              <w:t>The children’s SEMH difficulties continue to be at a higher proportion than usual.</w:t>
            </w:r>
            <w:r w:rsidR="004D1D7F">
              <w:rPr>
                <w:rStyle w:val="normaltextrun"/>
                <w:rFonts w:cs="Arial"/>
                <w:sz w:val="18"/>
                <w:szCs w:val="18"/>
                <w:shd w:val="clear" w:color="auto" w:fill="FFFFFF"/>
              </w:rPr>
              <w:t xml:space="preserve"> School have identified a higher number of children with SEMH difficulties that receiving extra support to enable them to access their learning.</w:t>
            </w:r>
          </w:p>
          <w:p w14:paraId="48A087D8" w14:textId="6A95A9E2" w:rsidR="004D1D7F" w:rsidRDefault="004D1D7F" w:rsidP="006E144E">
            <w:pPr>
              <w:pStyle w:val="TableRowCentered"/>
              <w:shd w:val="clear" w:color="auto" w:fill="FDE9D9" w:themeFill="accent6" w:themeFillTint="33"/>
              <w:ind w:left="0"/>
              <w:jc w:val="left"/>
              <w:rPr>
                <w:rStyle w:val="normaltextrun"/>
                <w:rFonts w:cs="Arial"/>
                <w:sz w:val="18"/>
                <w:szCs w:val="18"/>
                <w:shd w:val="clear" w:color="auto" w:fill="FFFFFF"/>
              </w:rPr>
            </w:pPr>
          </w:p>
          <w:p w14:paraId="0AA328C8" w14:textId="2E9B72EC" w:rsidR="004D1D7F" w:rsidRPr="00945C76" w:rsidRDefault="004D1D7F" w:rsidP="006E144E">
            <w:pPr>
              <w:pStyle w:val="TableRowCentered"/>
              <w:shd w:val="clear" w:color="auto" w:fill="FDE9D9" w:themeFill="accent6" w:themeFillTint="33"/>
              <w:ind w:left="0"/>
              <w:jc w:val="left"/>
              <w:rPr>
                <w:rStyle w:val="normaltextrun"/>
                <w:rFonts w:cs="Arial"/>
                <w:sz w:val="18"/>
                <w:szCs w:val="18"/>
                <w:shd w:val="clear" w:color="auto" w:fill="FFFFFF"/>
              </w:rPr>
            </w:pPr>
            <w:r>
              <w:rPr>
                <w:rStyle w:val="normaltextrun"/>
                <w:rFonts w:cs="Arial"/>
                <w:sz w:val="18"/>
                <w:szCs w:val="18"/>
                <w:shd w:val="clear" w:color="auto" w:fill="FFFFFF"/>
              </w:rPr>
              <w:t>Teachers have accessed training and CPD that has strengthened their skills in designing T&amp;L in order to meet all children’s SEMH needs.</w:t>
            </w:r>
          </w:p>
          <w:p w14:paraId="3E964A8B" w14:textId="5048A951" w:rsidR="001E7F52" w:rsidRPr="00945C76" w:rsidRDefault="00945C76" w:rsidP="00A35D5A">
            <w:pPr>
              <w:pStyle w:val="TableRowCentered"/>
              <w:ind w:left="0"/>
              <w:jc w:val="left"/>
              <w:rPr>
                <w:rStyle w:val="normaltextrun"/>
                <w:rFonts w:cs="Arial"/>
                <w:sz w:val="18"/>
                <w:szCs w:val="18"/>
                <w:shd w:val="clear" w:color="auto" w:fill="FFFFFF"/>
              </w:rPr>
            </w:pPr>
            <w:r w:rsidRPr="00945C76">
              <w:rPr>
                <w:rStyle w:val="normaltextrun"/>
                <w:rFonts w:cs="Arial"/>
                <w:sz w:val="18"/>
                <w:szCs w:val="18"/>
                <w:shd w:val="clear" w:color="auto" w:fill="FFFFFF"/>
              </w:rPr>
              <w:t xml:space="preserve"> </w:t>
            </w:r>
          </w:p>
        </w:tc>
      </w:tr>
      <w:tr w:rsidR="00A35D5A" w:rsidRPr="00AA0CF3" w14:paraId="45C08A2A" w14:textId="77777777" w:rsidTr="00F36A35">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72C8B6" w14:textId="06813425" w:rsidR="00A35D5A" w:rsidRPr="00AA0CF3" w:rsidRDefault="00A35D5A" w:rsidP="00A35D5A">
            <w:pPr>
              <w:pStyle w:val="TableRow"/>
              <w:rPr>
                <w:rFonts w:cs="Arial"/>
                <w:sz w:val="18"/>
                <w:szCs w:val="18"/>
              </w:rPr>
            </w:pPr>
            <w:r w:rsidRPr="00AA0CF3">
              <w:rPr>
                <w:rFonts w:cs="Arial"/>
                <w:sz w:val="18"/>
                <w:szCs w:val="18"/>
              </w:rPr>
              <w:t>Improve the attendance and punctuality of disadvantaged learners.</w:t>
            </w:r>
          </w:p>
        </w:tc>
        <w:tc>
          <w:tcPr>
            <w:tcW w:w="65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E32E2A" w14:textId="4F184BD8" w:rsidR="00A35D5A" w:rsidRPr="00AA0CF3" w:rsidRDefault="00A35D5A" w:rsidP="00A35D5A">
            <w:pPr>
              <w:pStyle w:val="TableRowCentered"/>
              <w:tabs>
                <w:tab w:val="left" w:pos="1524"/>
              </w:tabs>
              <w:ind w:left="0"/>
              <w:jc w:val="left"/>
              <w:rPr>
                <w:rStyle w:val="normaltextrun"/>
                <w:rFonts w:cs="Arial"/>
                <w:sz w:val="18"/>
                <w:szCs w:val="18"/>
                <w:bdr w:val="none" w:sz="0" w:space="0" w:color="auto" w:frame="1"/>
              </w:rPr>
            </w:pPr>
            <w:r w:rsidRPr="001344E2">
              <w:rPr>
                <w:rStyle w:val="normaltextrun"/>
                <w:rFonts w:cs="Arial"/>
                <w:sz w:val="18"/>
                <w:szCs w:val="18"/>
                <w:bdr w:val="none" w:sz="0" w:space="0" w:color="auto" w:frame="1"/>
              </w:rPr>
              <w:t>Attendance for d</w:t>
            </w:r>
            <w:r w:rsidRPr="001344E2">
              <w:rPr>
                <w:rStyle w:val="normaltextrun"/>
                <w:sz w:val="18"/>
                <w:szCs w:val="18"/>
                <w:bdr w:val="none" w:sz="0" w:space="0" w:color="auto" w:frame="1"/>
              </w:rPr>
              <w:t>isadvantaged</w:t>
            </w:r>
            <w:r w:rsidRPr="001344E2">
              <w:rPr>
                <w:rStyle w:val="normaltextrun"/>
                <w:rFonts w:cs="Arial"/>
                <w:sz w:val="18"/>
                <w:szCs w:val="18"/>
                <w:bdr w:val="none" w:sz="0" w:space="0" w:color="auto" w:frame="1"/>
              </w:rPr>
              <w:t xml:space="preserve"> leaners increases to </w:t>
            </w:r>
            <w:r>
              <w:rPr>
                <w:rStyle w:val="normaltextrun"/>
                <w:rFonts w:cs="Arial"/>
                <w:sz w:val="18"/>
                <w:szCs w:val="18"/>
                <w:bdr w:val="none" w:sz="0" w:space="0" w:color="auto" w:frame="1"/>
              </w:rPr>
              <w:t xml:space="preserve">meet </w:t>
            </w:r>
            <w:r w:rsidRPr="001344E2">
              <w:rPr>
                <w:rStyle w:val="normaltextrun"/>
                <w:rFonts w:cs="Arial"/>
                <w:sz w:val="18"/>
                <w:szCs w:val="18"/>
                <w:bdr w:val="none" w:sz="0" w:space="0" w:color="auto" w:frame="1"/>
              </w:rPr>
              <w:t>the national average for all pupils</w:t>
            </w:r>
            <w:r>
              <w:rPr>
                <w:rStyle w:val="normaltextrun"/>
                <w:rFonts w:cs="Arial"/>
                <w:sz w:val="18"/>
                <w:szCs w:val="18"/>
                <w:bdr w:val="none" w:sz="0" w:space="0" w:color="auto" w:frame="1"/>
              </w:rPr>
              <w:t>, and there is no difference between their peers.</w:t>
            </w:r>
          </w:p>
          <w:p w14:paraId="796EE3C9" w14:textId="77777777" w:rsidR="00A35D5A" w:rsidRPr="001344E2" w:rsidRDefault="00A35D5A" w:rsidP="00A35D5A">
            <w:pPr>
              <w:pStyle w:val="TableRowCentered"/>
              <w:ind w:left="0"/>
              <w:jc w:val="left"/>
              <w:rPr>
                <w:rStyle w:val="normaltextrun"/>
                <w:rFonts w:cs="Arial"/>
                <w:b/>
                <w:sz w:val="18"/>
                <w:szCs w:val="18"/>
              </w:rPr>
            </w:pPr>
            <w:r w:rsidRPr="00AA0CF3">
              <w:rPr>
                <w:rStyle w:val="eop"/>
                <w:rFonts w:cs="Arial"/>
                <w:b/>
                <w:sz w:val="18"/>
                <w:szCs w:val="18"/>
              </w:rPr>
              <w:t>Baseline data from start of strategy:</w:t>
            </w:r>
          </w:p>
          <w:p w14:paraId="2E2590D4" w14:textId="3F6252AF" w:rsidR="00A35D5A" w:rsidRPr="001344E2" w:rsidRDefault="00A35D5A" w:rsidP="00A35D5A">
            <w:pPr>
              <w:pStyle w:val="TableRowCentered"/>
              <w:tabs>
                <w:tab w:val="left" w:pos="1524"/>
              </w:tabs>
              <w:ind w:left="0"/>
              <w:jc w:val="left"/>
              <w:rPr>
                <w:rStyle w:val="normaltextrun"/>
                <w:rFonts w:cs="Arial"/>
                <w:sz w:val="18"/>
                <w:szCs w:val="18"/>
                <w:bdr w:val="none" w:sz="0" w:space="0" w:color="auto" w:frame="1"/>
              </w:rPr>
            </w:pPr>
            <w:r w:rsidRPr="001344E2">
              <w:rPr>
                <w:rStyle w:val="normaltextrun"/>
                <w:rFonts w:cs="Arial"/>
                <w:sz w:val="18"/>
                <w:szCs w:val="18"/>
                <w:bdr w:val="none" w:sz="0" w:space="0" w:color="auto" w:frame="1"/>
              </w:rPr>
              <w:t xml:space="preserve">School </w:t>
            </w:r>
            <w:r w:rsidR="00890E65">
              <w:rPr>
                <w:rStyle w:val="normaltextrun"/>
                <w:rFonts w:cs="Arial"/>
                <w:sz w:val="18"/>
                <w:szCs w:val="18"/>
                <w:bdr w:val="none" w:sz="0" w:space="0" w:color="auto" w:frame="1"/>
              </w:rPr>
              <w:t>attendance 20/21</w:t>
            </w:r>
            <w:r w:rsidRPr="001344E2">
              <w:rPr>
                <w:rStyle w:val="normaltextrun"/>
                <w:rFonts w:cs="Arial"/>
                <w:sz w:val="18"/>
                <w:szCs w:val="18"/>
                <w:bdr w:val="none" w:sz="0" w:space="0" w:color="auto" w:frame="1"/>
              </w:rPr>
              <w:t>:</w:t>
            </w:r>
            <w:r w:rsidR="00890E65">
              <w:rPr>
                <w:rStyle w:val="normaltextrun"/>
                <w:rFonts w:cs="Arial"/>
                <w:sz w:val="18"/>
                <w:szCs w:val="18"/>
                <w:bdr w:val="none" w:sz="0" w:space="0" w:color="auto" w:frame="1"/>
              </w:rPr>
              <w:t xml:space="preserve"> 93.6</w:t>
            </w:r>
            <w:r w:rsidRPr="001344E2">
              <w:rPr>
                <w:rStyle w:val="normaltextrun"/>
                <w:rFonts w:cs="Arial"/>
                <w:sz w:val="18"/>
                <w:szCs w:val="18"/>
                <w:bdr w:val="none" w:sz="0" w:space="0" w:color="auto" w:frame="1"/>
              </w:rPr>
              <w:t>%</w:t>
            </w:r>
          </w:p>
          <w:p w14:paraId="7231E3C3" w14:textId="4D4EABA3" w:rsidR="00A35D5A" w:rsidRPr="001344E2" w:rsidRDefault="00A35D5A" w:rsidP="00A35D5A">
            <w:pPr>
              <w:pStyle w:val="TableRowCentered"/>
              <w:tabs>
                <w:tab w:val="left" w:pos="1524"/>
              </w:tabs>
              <w:ind w:left="0"/>
              <w:jc w:val="left"/>
              <w:rPr>
                <w:sz w:val="18"/>
                <w:szCs w:val="18"/>
              </w:rPr>
            </w:pPr>
            <w:r w:rsidRPr="001344E2">
              <w:rPr>
                <w:sz w:val="18"/>
                <w:szCs w:val="18"/>
              </w:rPr>
              <w:t>Schoo</w:t>
            </w:r>
            <w:r w:rsidR="00890E65">
              <w:rPr>
                <w:sz w:val="18"/>
                <w:szCs w:val="18"/>
              </w:rPr>
              <w:t>l disadvantaged attendance 20/21</w:t>
            </w:r>
            <w:r w:rsidRPr="001344E2">
              <w:rPr>
                <w:sz w:val="18"/>
                <w:szCs w:val="18"/>
              </w:rPr>
              <w:t xml:space="preserve">: </w:t>
            </w:r>
            <w:r w:rsidR="00890E65">
              <w:rPr>
                <w:sz w:val="18"/>
                <w:szCs w:val="18"/>
              </w:rPr>
              <w:t>91.6</w:t>
            </w:r>
            <w:r w:rsidRPr="001344E2">
              <w:rPr>
                <w:sz w:val="18"/>
                <w:szCs w:val="18"/>
              </w:rPr>
              <w:t>%</w:t>
            </w:r>
          </w:p>
          <w:p w14:paraId="178AE003" w14:textId="0377182D" w:rsidR="00A35D5A" w:rsidRPr="00913F23" w:rsidRDefault="00A35D5A" w:rsidP="00A35D5A">
            <w:pPr>
              <w:pStyle w:val="TableRowCentered"/>
              <w:tabs>
                <w:tab w:val="left" w:pos="1524"/>
              </w:tabs>
              <w:ind w:left="0"/>
              <w:jc w:val="left"/>
              <w:rPr>
                <w:sz w:val="18"/>
                <w:szCs w:val="18"/>
              </w:rPr>
            </w:pPr>
            <w:r w:rsidRPr="001344E2">
              <w:rPr>
                <w:sz w:val="18"/>
                <w:szCs w:val="18"/>
              </w:rPr>
              <w:lastRenderedPageBreak/>
              <w:t>School no</w:t>
            </w:r>
            <w:r w:rsidR="00890E65">
              <w:rPr>
                <w:sz w:val="18"/>
                <w:szCs w:val="18"/>
              </w:rPr>
              <w:t>n-disadvantaged attendance 20/21</w:t>
            </w:r>
            <w:r w:rsidRPr="001344E2">
              <w:rPr>
                <w:sz w:val="18"/>
                <w:szCs w:val="18"/>
              </w:rPr>
              <w:t>:</w:t>
            </w:r>
            <w:r w:rsidR="00890E65">
              <w:rPr>
                <w:sz w:val="18"/>
                <w:szCs w:val="18"/>
              </w:rPr>
              <w:t xml:space="preserve"> 97.2</w:t>
            </w:r>
            <w:r w:rsidRPr="001344E2">
              <w:rPr>
                <w:sz w:val="18"/>
                <w:szCs w:val="18"/>
              </w:rPr>
              <w:t>%</w:t>
            </w:r>
          </w:p>
        </w:tc>
      </w:tr>
      <w:tr w:rsidR="001E7F52" w:rsidRPr="00AA0CF3" w14:paraId="3F74AC7D" w14:textId="77777777" w:rsidTr="001E7F52">
        <w:tc>
          <w:tcPr>
            <w:tcW w:w="2972"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tcPr>
          <w:p w14:paraId="3FFE096B" w14:textId="48B1B871" w:rsidR="001E7F52" w:rsidRPr="00AA0CF3" w:rsidRDefault="001E7F52" w:rsidP="00A35D5A">
            <w:pPr>
              <w:pStyle w:val="TableRow"/>
              <w:rPr>
                <w:rFonts w:cs="Arial"/>
                <w:sz w:val="18"/>
                <w:szCs w:val="18"/>
              </w:rPr>
            </w:pPr>
            <w:r>
              <w:rPr>
                <w:rFonts w:cs="Arial"/>
                <w:sz w:val="18"/>
                <w:szCs w:val="18"/>
              </w:rPr>
              <w:lastRenderedPageBreak/>
              <w:t>2021 – 2022 Review</w:t>
            </w:r>
          </w:p>
        </w:tc>
        <w:tc>
          <w:tcPr>
            <w:tcW w:w="6514" w:type="dxa"/>
            <w:tcBorders>
              <w:top w:val="single" w:sz="4" w:space="0" w:color="000000"/>
              <w:left w:val="single" w:sz="4" w:space="0" w:color="000000"/>
              <w:bottom w:val="single" w:sz="4" w:space="0" w:color="000000"/>
              <w:right w:val="single" w:sz="4" w:space="0" w:color="000000"/>
            </w:tcBorders>
            <w:shd w:val="clear" w:color="auto" w:fill="FDE9D9" w:themeFill="accent6" w:themeFillTint="33"/>
            <w:tcMar>
              <w:top w:w="0" w:type="dxa"/>
              <w:left w:w="108" w:type="dxa"/>
              <w:bottom w:w="0" w:type="dxa"/>
              <w:right w:w="108" w:type="dxa"/>
            </w:tcMar>
          </w:tcPr>
          <w:p w14:paraId="34898DAE" w14:textId="77777777" w:rsidR="001E7F52" w:rsidRDefault="00913F23" w:rsidP="00A35D5A">
            <w:pPr>
              <w:pStyle w:val="TableRowCentered"/>
              <w:tabs>
                <w:tab w:val="left" w:pos="1524"/>
              </w:tabs>
              <w:ind w:left="0"/>
              <w:jc w:val="left"/>
              <w:rPr>
                <w:rStyle w:val="normaltextrun"/>
                <w:rFonts w:cs="Arial"/>
                <w:sz w:val="18"/>
                <w:szCs w:val="18"/>
                <w:bdr w:val="none" w:sz="0" w:space="0" w:color="auto" w:frame="1"/>
              </w:rPr>
            </w:pPr>
            <w:r>
              <w:rPr>
                <w:rStyle w:val="normaltextrun"/>
                <w:rFonts w:cs="Arial"/>
                <w:sz w:val="18"/>
                <w:szCs w:val="18"/>
                <w:bdr w:val="none" w:sz="0" w:space="0" w:color="auto" w:frame="1"/>
              </w:rPr>
              <w:t>Attendance data 21/22</w:t>
            </w:r>
          </w:p>
          <w:p w14:paraId="66B94DC6" w14:textId="1EF53614" w:rsidR="00913F23" w:rsidRPr="001344E2" w:rsidRDefault="00913F23" w:rsidP="00913F23">
            <w:pPr>
              <w:pStyle w:val="TableRowCentered"/>
              <w:tabs>
                <w:tab w:val="left" w:pos="1524"/>
              </w:tabs>
              <w:ind w:left="0"/>
              <w:jc w:val="left"/>
              <w:rPr>
                <w:rStyle w:val="normaltextrun"/>
                <w:rFonts w:cs="Arial"/>
                <w:sz w:val="18"/>
                <w:szCs w:val="18"/>
                <w:bdr w:val="none" w:sz="0" w:space="0" w:color="auto" w:frame="1"/>
              </w:rPr>
            </w:pPr>
            <w:r w:rsidRPr="001344E2">
              <w:rPr>
                <w:rStyle w:val="normaltextrun"/>
                <w:rFonts w:cs="Arial"/>
                <w:sz w:val="18"/>
                <w:szCs w:val="18"/>
                <w:bdr w:val="none" w:sz="0" w:space="0" w:color="auto" w:frame="1"/>
              </w:rPr>
              <w:t xml:space="preserve">School </w:t>
            </w:r>
            <w:r>
              <w:rPr>
                <w:rStyle w:val="normaltextrun"/>
                <w:rFonts w:cs="Arial"/>
                <w:sz w:val="18"/>
                <w:szCs w:val="18"/>
                <w:bdr w:val="none" w:sz="0" w:space="0" w:color="auto" w:frame="1"/>
              </w:rPr>
              <w:t>attendance 21 / 22</w:t>
            </w:r>
            <w:r w:rsidRPr="001344E2">
              <w:rPr>
                <w:rStyle w:val="normaltextrun"/>
                <w:rFonts w:cs="Arial"/>
                <w:sz w:val="18"/>
                <w:szCs w:val="18"/>
                <w:bdr w:val="none" w:sz="0" w:space="0" w:color="auto" w:frame="1"/>
              </w:rPr>
              <w:t>:</w:t>
            </w:r>
            <w:r w:rsidR="00BD6262">
              <w:rPr>
                <w:rStyle w:val="normaltextrun"/>
                <w:rFonts w:cs="Arial"/>
                <w:sz w:val="18"/>
                <w:szCs w:val="18"/>
                <w:bdr w:val="none" w:sz="0" w:space="0" w:color="auto" w:frame="1"/>
              </w:rPr>
              <w:t xml:space="preserve"> 93</w:t>
            </w:r>
            <w:r w:rsidRPr="001344E2">
              <w:rPr>
                <w:rStyle w:val="normaltextrun"/>
                <w:rFonts w:cs="Arial"/>
                <w:sz w:val="18"/>
                <w:szCs w:val="18"/>
                <w:bdr w:val="none" w:sz="0" w:space="0" w:color="auto" w:frame="1"/>
              </w:rPr>
              <w:t>%</w:t>
            </w:r>
          </w:p>
          <w:p w14:paraId="6DE99638" w14:textId="61142624" w:rsidR="00913F23" w:rsidRPr="001344E2" w:rsidRDefault="00913F23" w:rsidP="00913F23">
            <w:pPr>
              <w:pStyle w:val="TableRowCentered"/>
              <w:tabs>
                <w:tab w:val="left" w:pos="1524"/>
              </w:tabs>
              <w:ind w:left="0"/>
              <w:jc w:val="left"/>
              <w:rPr>
                <w:sz w:val="18"/>
                <w:szCs w:val="18"/>
              </w:rPr>
            </w:pPr>
            <w:r w:rsidRPr="001344E2">
              <w:rPr>
                <w:sz w:val="18"/>
                <w:szCs w:val="18"/>
              </w:rPr>
              <w:t>Schoo</w:t>
            </w:r>
            <w:r>
              <w:rPr>
                <w:sz w:val="18"/>
                <w:szCs w:val="18"/>
              </w:rPr>
              <w:t>l disadvantaged attendance 21 / 22</w:t>
            </w:r>
            <w:r w:rsidRPr="001344E2">
              <w:rPr>
                <w:sz w:val="18"/>
                <w:szCs w:val="18"/>
              </w:rPr>
              <w:t xml:space="preserve">: </w:t>
            </w:r>
            <w:r w:rsidR="00BD6262">
              <w:rPr>
                <w:sz w:val="18"/>
                <w:szCs w:val="18"/>
              </w:rPr>
              <w:t>93</w:t>
            </w:r>
            <w:r w:rsidRPr="001344E2">
              <w:rPr>
                <w:sz w:val="18"/>
                <w:szCs w:val="18"/>
              </w:rPr>
              <w:t>%</w:t>
            </w:r>
          </w:p>
          <w:p w14:paraId="31CA022C" w14:textId="77777777" w:rsidR="00913F23" w:rsidRDefault="00913F23" w:rsidP="00913F23">
            <w:pPr>
              <w:pStyle w:val="TableRowCentered"/>
              <w:tabs>
                <w:tab w:val="left" w:pos="1524"/>
              </w:tabs>
              <w:ind w:left="0"/>
              <w:jc w:val="left"/>
              <w:rPr>
                <w:sz w:val="18"/>
                <w:szCs w:val="18"/>
              </w:rPr>
            </w:pPr>
            <w:r w:rsidRPr="001344E2">
              <w:rPr>
                <w:sz w:val="18"/>
                <w:szCs w:val="18"/>
              </w:rPr>
              <w:t>School no</w:t>
            </w:r>
            <w:r>
              <w:rPr>
                <w:sz w:val="18"/>
                <w:szCs w:val="18"/>
              </w:rPr>
              <w:t>n-disadvantaged attendance 21 / 22</w:t>
            </w:r>
            <w:r w:rsidRPr="001344E2">
              <w:rPr>
                <w:sz w:val="18"/>
                <w:szCs w:val="18"/>
              </w:rPr>
              <w:t>:</w:t>
            </w:r>
            <w:r w:rsidR="00BD6262">
              <w:rPr>
                <w:sz w:val="18"/>
                <w:szCs w:val="18"/>
              </w:rPr>
              <w:t xml:space="preserve"> 97</w:t>
            </w:r>
            <w:r w:rsidRPr="001344E2">
              <w:rPr>
                <w:sz w:val="18"/>
                <w:szCs w:val="18"/>
              </w:rPr>
              <w:t>%</w:t>
            </w:r>
          </w:p>
          <w:p w14:paraId="6E20750B" w14:textId="77777777" w:rsidR="00BD6262" w:rsidRDefault="00BD6262" w:rsidP="00913F23">
            <w:pPr>
              <w:pStyle w:val="TableRowCentered"/>
              <w:tabs>
                <w:tab w:val="left" w:pos="1524"/>
              </w:tabs>
              <w:ind w:left="0"/>
              <w:jc w:val="left"/>
              <w:rPr>
                <w:sz w:val="18"/>
                <w:szCs w:val="18"/>
              </w:rPr>
            </w:pPr>
          </w:p>
          <w:p w14:paraId="63328FE5" w14:textId="77777777" w:rsidR="00BD6262" w:rsidRPr="00BD6262" w:rsidRDefault="00BD6262" w:rsidP="00913F23">
            <w:pPr>
              <w:pStyle w:val="TableRowCentered"/>
              <w:tabs>
                <w:tab w:val="left" w:pos="1524"/>
              </w:tabs>
              <w:ind w:left="0"/>
              <w:jc w:val="left"/>
              <w:rPr>
                <w:sz w:val="20"/>
              </w:rPr>
            </w:pPr>
            <w:r w:rsidRPr="00BD6262">
              <w:rPr>
                <w:sz w:val="20"/>
              </w:rPr>
              <w:t xml:space="preserve">Children’s attendance is closely monitored and interventions are having a positive impact. </w:t>
            </w:r>
          </w:p>
          <w:p w14:paraId="0FBC2218" w14:textId="0CE06666" w:rsidR="00BD6262" w:rsidRPr="001344E2" w:rsidRDefault="00BD6262" w:rsidP="00913F23">
            <w:pPr>
              <w:pStyle w:val="TableRowCentered"/>
              <w:tabs>
                <w:tab w:val="left" w:pos="1524"/>
              </w:tabs>
              <w:ind w:left="0"/>
              <w:jc w:val="left"/>
              <w:rPr>
                <w:rStyle w:val="normaltextrun"/>
                <w:rFonts w:cs="Arial"/>
                <w:sz w:val="18"/>
                <w:szCs w:val="18"/>
                <w:bdr w:val="none" w:sz="0" w:space="0" w:color="auto" w:frame="1"/>
              </w:rPr>
            </w:pPr>
            <w:r w:rsidRPr="00BD6262">
              <w:rPr>
                <w:sz w:val="20"/>
              </w:rPr>
              <w:t>Children’s attendance continued to be affected by SEMH issues and these are showing signs of improvement. This takes time to impact.</w:t>
            </w:r>
          </w:p>
        </w:tc>
      </w:tr>
    </w:tbl>
    <w:p w14:paraId="60BAD9F6" w14:textId="77777777" w:rsidR="00120AB1" w:rsidRDefault="00120AB1">
      <w:pPr>
        <w:pStyle w:val="Heading2"/>
      </w:pPr>
    </w:p>
    <w:p w14:paraId="2A06959E" w14:textId="77777777" w:rsidR="00120AB1" w:rsidRDefault="00120AB1">
      <w:pPr>
        <w:suppressAutoHyphens w:val="0"/>
        <w:spacing w:after="0" w:line="240" w:lineRule="auto"/>
        <w:rPr>
          <w:b/>
          <w:color w:val="104F75"/>
          <w:sz w:val="32"/>
          <w:szCs w:val="32"/>
        </w:rPr>
      </w:pPr>
      <w:r>
        <w:br w:type="page"/>
      </w:r>
    </w:p>
    <w:p w14:paraId="2A7D5512" w14:textId="7B489199" w:rsidR="00E66558" w:rsidRDefault="009D71E8">
      <w:pPr>
        <w:pStyle w:val="Heading2"/>
      </w:pPr>
      <w:r>
        <w:lastRenderedPageBreak/>
        <w:t>Activity in this academic year</w:t>
      </w:r>
    </w:p>
    <w:p w14:paraId="2A7D5513" w14:textId="77777777" w:rsidR="00E66558" w:rsidRDefault="009D71E8">
      <w:pPr>
        <w:spacing w:after="480"/>
      </w:pPr>
      <w:r>
        <w:t xml:space="preserve">This details how we intend to spend our pupil premium (and recovery premium funding) </w:t>
      </w:r>
      <w:r>
        <w:rPr>
          <w:b/>
          <w:bCs/>
        </w:rPr>
        <w:t>this academic year</w:t>
      </w:r>
      <w:r>
        <w:t xml:space="preserve"> to address the challenges listed above.</w:t>
      </w:r>
    </w:p>
    <w:p w14:paraId="2A7D5514" w14:textId="77777777" w:rsidR="00E66558" w:rsidRDefault="009D71E8">
      <w:pPr>
        <w:pStyle w:val="Heading3"/>
      </w:pPr>
      <w:r>
        <w:t>Teaching (for example, CPD, recruitment and retention)</w:t>
      </w:r>
    </w:p>
    <w:p w14:paraId="2A7D5515" w14:textId="4BC6D8E6" w:rsidR="00E66558" w:rsidRPr="00EB650C" w:rsidRDefault="009D71E8">
      <w:r>
        <w:t xml:space="preserve">Budgeted cost: £ </w:t>
      </w:r>
      <w:proofErr w:type="gramStart"/>
      <w:r w:rsidR="00485C22">
        <w:t>57,668</w:t>
      </w:r>
      <w:r w:rsidR="00544548">
        <w:t xml:space="preserve">  </w:t>
      </w:r>
      <w:r w:rsidR="00544548" w:rsidRPr="00544548">
        <w:rPr>
          <w:color w:val="00B050"/>
        </w:rPr>
        <w:t>2022</w:t>
      </w:r>
      <w:proofErr w:type="gramEnd"/>
      <w:r w:rsidR="00544548" w:rsidRPr="00544548">
        <w:rPr>
          <w:color w:val="00B050"/>
        </w:rPr>
        <w:t xml:space="preserve"> review</w:t>
      </w:r>
    </w:p>
    <w:tbl>
      <w:tblPr>
        <w:tblW w:w="5000" w:type="pct"/>
        <w:tblCellMar>
          <w:left w:w="10" w:type="dxa"/>
          <w:right w:w="10" w:type="dxa"/>
        </w:tblCellMar>
        <w:tblLook w:val="04A0" w:firstRow="1" w:lastRow="0" w:firstColumn="1" w:lastColumn="0" w:noHBand="0" w:noVBand="1"/>
      </w:tblPr>
      <w:tblGrid>
        <w:gridCol w:w="2972"/>
        <w:gridCol w:w="4818"/>
        <w:gridCol w:w="1696"/>
      </w:tblGrid>
      <w:tr w:rsidR="00695FC0" w14:paraId="2A7D5519" w14:textId="77777777" w:rsidTr="005B044B">
        <w:tc>
          <w:tcPr>
            <w:tcW w:w="2972"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6" w14:textId="77777777" w:rsidR="00E66558" w:rsidRDefault="009D71E8">
            <w:pPr>
              <w:pStyle w:val="TableHeader"/>
              <w:jc w:val="left"/>
            </w:pPr>
            <w:r>
              <w:t>Activity</w:t>
            </w:r>
          </w:p>
        </w:tc>
        <w:tc>
          <w:tcPr>
            <w:tcW w:w="481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7" w14:textId="77777777" w:rsidR="00E66558" w:rsidRDefault="009D71E8">
            <w:pPr>
              <w:pStyle w:val="TableHeader"/>
              <w:jc w:val="left"/>
            </w:pPr>
            <w:r>
              <w:t>Evidence that supports this approach</w:t>
            </w:r>
          </w:p>
        </w:tc>
        <w:tc>
          <w:tcPr>
            <w:tcW w:w="1696"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18" w14:textId="77777777" w:rsidR="00E66558" w:rsidRDefault="009D71E8">
            <w:pPr>
              <w:pStyle w:val="TableHeader"/>
              <w:jc w:val="left"/>
            </w:pPr>
            <w:r w:rsidRPr="00217811">
              <w:rPr>
                <w:sz w:val="22"/>
              </w:rPr>
              <w:t>Challenge number(s) addressed</w:t>
            </w:r>
          </w:p>
        </w:tc>
      </w:tr>
      <w:tr w:rsidR="002138BD" w14:paraId="2A7D551D" w14:textId="77777777" w:rsidTr="005B044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3D0924" w14:textId="77777777" w:rsidR="002138BD" w:rsidRPr="002138BD" w:rsidRDefault="002138BD" w:rsidP="002138BD">
            <w:pPr>
              <w:pStyle w:val="TableRow"/>
              <w:rPr>
                <w:color w:val="auto"/>
                <w:sz w:val="18"/>
                <w:szCs w:val="20"/>
              </w:rPr>
            </w:pPr>
            <w:r w:rsidRPr="002138BD">
              <w:rPr>
                <w:color w:val="auto"/>
                <w:sz w:val="18"/>
                <w:szCs w:val="20"/>
              </w:rPr>
              <w:t xml:space="preserve">Provide an extensive </w:t>
            </w:r>
            <w:r w:rsidRPr="002138BD">
              <w:rPr>
                <w:b/>
                <w:color w:val="auto"/>
                <w:sz w:val="18"/>
                <w:szCs w:val="20"/>
              </w:rPr>
              <w:t>CPD programme</w:t>
            </w:r>
            <w:r w:rsidRPr="002138BD">
              <w:rPr>
                <w:color w:val="auto"/>
                <w:sz w:val="18"/>
                <w:szCs w:val="20"/>
              </w:rPr>
              <w:t xml:space="preserve"> to continue to develop quality first teaching across the whole school. This to include:</w:t>
            </w:r>
          </w:p>
          <w:p w14:paraId="65949D2A" w14:textId="77777777" w:rsidR="002138BD" w:rsidRPr="002138BD" w:rsidRDefault="002138BD" w:rsidP="002138BD">
            <w:pPr>
              <w:pStyle w:val="TableRow"/>
              <w:numPr>
                <w:ilvl w:val="0"/>
                <w:numId w:val="15"/>
              </w:numPr>
              <w:rPr>
                <w:color w:val="auto"/>
                <w:sz w:val="18"/>
                <w:szCs w:val="20"/>
              </w:rPr>
            </w:pPr>
            <w:r w:rsidRPr="002138BD">
              <w:rPr>
                <w:color w:val="auto"/>
                <w:sz w:val="18"/>
                <w:szCs w:val="20"/>
              </w:rPr>
              <w:t>ECT training</w:t>
            </w:r>
          </w:p>
          <w:p w14:paraId="6ADB0489" w14:textId="546572FD" w:rsidR="002138BD" w:rsidRDefault="002138BD" w:rsidP="002138BD">
            <w:pPr>
              <w:pStyle w:val="TableRow"/>
              <w:numPr>
                <w:ilvl w:val="0"/>
                <w:numId w:val="15"/>
              </w:numPr>
              <w:rPr>
                <w:color w:val="auto"/>
                <w:sz w:val="18"/>
                <w:szCs w:val="20"/>
              </w:rPr>
            </w:pPr>
            <w:r w:rsidRPr="002138BD">
              <w:rPr>
                <w:color w:val="auto"/>
                <w:sz w:val="18"/>
                <w:szCs w:val="20"/>
              </w:rPr>
              <w:t xml:space="preserve">Subject specific training (e.g. Little </w:t>
            </w:r>
            <w:proofErr w:type="spellStart"/>
            <w:r w:rsidRPr="002138BD">
              <w:rPr>
                <w:color w:val="auto"/>
                <w:sz w:val="18"/>
                <w:szCs w:val="20"/>
              </w:rPr>
              <w:t>Wandle</w:t>
            </w:r>
            <w:proofErr w:type="spellEnd"/>
            <w:r w:rsidRPr="002138BD">
              <w:rPr>
                <w:color w:val="auto"/>
                <w:sz w:val="18"/>
                <w:szCs w:val="20"/>
              </w:rPr>
              <w:t>, CLPE, White Rose Maths</w:t>
            </w:r>
            <w:r w:rsidR="00544548">
              <w:rPr>
                <w:color w:val="auto"/>
                <w:sz w:val="18"/>
                <w:szCs w:val="20"/>
              </w:rPr>
              <w:t>, NCTEM programme Early number</w:t>
            </w:r>
            <w:r w:rsidRPr="002138BD">
              <w:rPr>
                <w:color w:val="auto"/>
                <w:sz w:val="18"/>
                <w:szCs w:val="20"/>
              </w:rPr>
              <w:t>)</w:t>
            </w:r>
          </w:p>
          <w:p w14:paraId="29F58060" w14:textId="4C0D03BD" w:rsidR="00544548" w:rsidRPr="00544548" w:rsidRDefault="00544548" w:rsidP="002138BD">
            <w:pPr>
              <w:pStyle w:val="TableRow"/>
              <w:numPr>
                <w:ilvl w:val="0"/>
                <w:numId w:val="15"/>
              </w:numPr>
              <w:rPr>
                <w:color w:val="00B050"/>
                <w:sz w:val="18"/>
                <w:szCs w:val="20"/>
              </w:rPr>
            </w:pPr>
            <w:r w:rsidRPr="00544548">
              <w:rPr>
                <w:color w:val="00B050"/>
                <w:sz w:val="18"/>
                <w:szCs w:val="20"/>
              </w:rPr>
              <w:t>Great Teaching Toolkit</w:t>
            </w:r>
          </w:p>
          <w:p w14:paraId="044311FC" w14:textId="77777777" w:rsidR="002138BD" w:rsidRPr="002138BD" w:rsidRDefault="002138BD" w:rsidP="002138BD">
            <w:pPr>
              <w:pStyle w:val="TableRow"/>
              <w:rPr>
                <w:color w:val="auto"/>
                <w:sz w:val="18"/>
                <w:szCs w:val="20"/>
              </w:rPr>
            </w:pPr>
          </w:p>
          <w:p w14:paraId="2A7D551A" w14:textId="71B6ED51" w:rsidR="002138BD" w:rsidRPr="002138BD" w:rsidRDefault="002138BD" w:rsidP="00A150BC">
            <w:pPr>
              <w:pStyle w:val="TableRow"/>
              <w:rPr>
                <w:color w:val="auto"/>
                <w:sz w:val="18"/>
                <w:szCs w:val="18"/>
              </w:rPr>
            </w:pPr>
            <w:r w:rsidRPr="002138BD">
              <w:rPr>
                <w:i/>
                <w:color w:val="auto"/>
                <w:sz w:val="18"/>
                <w:szCs w:val="20"/>
              </w:rPr>
              <w:t xml:space="preserve">Cost - </w:t>
            </w:r>
            <w:r w:rsidR="00305205">
              <w:rPr>
                <w:i/>
                <w:color w:val="auto"/>
                <w:sz w:val="18"/>
                <w:szCs w:val="20"/>
              </w:rPr>
              <w:t>£5000</w:t>
            </w:r>
            <w:r w:rsidR="00544548">
              <w:rPr>
                <w:i/>
                <w:color w:val="auto"/>
                <w:sz w:val="18"/>
                <w:szCs w:val="20"/>
              </w:rPr>
              <w:t xml:space="preserve"> / </w:t>
            </w:r>
            <w:r w:rsidR="00544548" w:rsidRPr="00544548">
              <w:rPr>
                <w:i/>
                <w:color w:val="00B050"/>
                <w:sz w:val="18"/>
                <w:szCs w:val="20"/>
              </w:rPr>
              <w:t>£</w:t>
            </w:r>
            <w:r w:rsidR="00BD6262">
              <w:rPr>
                <w:i/>
                <w:color w:val="00B050"/>
                <w:sz w:val="18"/>
                <w:szCs w:val="20"/>
              </w:rPr>
              <w:t xml:space="preserve">** </w:t>
            </w:r>
            <w:proofErr w:type="spellStart"/>
            <w:r w:rsidR="00BD6262">
              <w:rPr>
                <w:i/>
                <w:color w:val="00B050"/>
                <w:sz w:val="18"/>
                <w:szCs w:val="20"/>
              </w:rPr>
              <w:t>Incrased</w:t>
            </w:r>
            <w:proofErr w:type="spellEnd"/>
            <w:r w:rsidR="00BD6262">
              <w:rPr>
                <w:i/>
                <w:color w:val="00B050"/>
                <w:sz w:val="18"/>
                <w:szCs w:val="20"/>
              </w:rPr>
              <w:t xml:space="preserve"> to cover extra costs</w:t>
            </w:r>
          </w:p>
        </w:tc>
        <w:tc>
          <w:tcPr>
            <w:tcW w:w="4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4341803" w14:textId="77777777" w:rsidR="002138BD" w:rsidRPr="002138BD" w:rsidRDefault="002138BD" w:rsidP="002138BD">
            <w:pPr>
              <w:pStyle w:val="TableRowCentered"/>
              <w:jc w:val="left"/>
              <w:rPr>
                <w:color w:val="auto"/>
                <w:sz w:val="18"/>
                <w:szCs w:val="18"/>
              </w:rPr>
            </w:pPr>
            <w:r w:rsidRPr="002138BD">
              <w:rPr>
                <w:color w:val="auto"/>
                <w:sz w:val="18"/>
                <w:szCs w:val="18"/>
              </w:rPr>
              <w:t xml:space="preserve">The EEF Pupil premium guide states that improving quality first teaching should be the first priority </w:t>
            </w:r>
          </w:p>
          <w:p w14:paraId="0DAAACA9" w14:textId="216F1879" w:rsidR="002138BD" w:rsidRPr="002138BD" w:rsidRDefault="002138BD" w:rsidP="002138BD">
            <w:pPr>
              <w:pStyle w:val="TableRowCentered"/>
              <w:jc w:val="left"/>
              <w:rPr>
                <w:color w:val="auto"/>
                <w:sz w:val="18"/>
                <w:szCs w:val="18"/>
              </w:rPr>
            </w:pPr>
            <w:r w:rsidRPr="002138BD">
              <w:rPr>
                <w:color w:val="auto"/>
                <w:sz w:val="18"/>
                <w:szCs w:val="18"/>
              </w:rPr>
              <w:t xml:space="preserve">To this end, we are providing a CPD budget of £5,000 </w:t>
            </w:r>
            <w:r w:rsidR="00544548">
              <w:rPr>
                <w:color w:val="auto"/>
                <w:sz w:val="18"/>
                <w:szCs w:val="18"/>
              </w:rPr>
              <w:t xml:space="preserve">/ </w:t>
            </w:r>
            <w:r w:rsidR="00544548" w:rsidRPr="00544548">
              <w:rPr>
                <w:color w:val="00B050"/>
                <w:sz w:val="18"/>
                <w:szCs w:val="18"/>
              </w:rPr>
              <w:t>£***</w:t>
            </w:r>
            <w:r w:rsidRPr="002138BD">
              <w:rPr>
                <w:color w:val="auto"/>
                <w:sz w:val="18"/>
                <w:szCs w:val="18"/>
              </w:rPr>
              <w:t>to allow teaching staff at all levels to develop their pedagogical skill and improve classroom teaching.</w:t>
            </w:r>
          </w:p>
          <w:p w14:paraId="67AE8CE9" w14:textId="0E14DD75" w:rsidR="002138BD" w:rsidRPr="002138BD" w:rsidRDefault="002138BD" w:rsidP="002138BD">
            <w:pPr>
              <w:pStyle w:val="TableRowCentered"/>
              <w:jc w:val="left"/>
              <w:rPr>
                <w:color w:val="auto"/>
                <w:sz w:val="18"/>
                <w:szCs w:val="18"/>
              </w:rPr>
            </w:pPr>
            <w:r w:rsidRPr="002138BD">
              <w:rPr>
                <w:color w:val="auto"/>
                <w:sz w:val="18"/>
                <w:szCs w:val="18"/>
              </w:rPr>
              <w:t xml:space="preserve">Specific courses are also backed up by evidence e.g. for </w:t>
            </w:r>
            <w:r>
              <w:rPr>
                <w:color w:val="auto"/>
                <w:sz w:val="18"/>
                <w:szCs w:val="18"/>
              </w:rPr>
              <w:t xml:space="preserve">Little </w:t>
            </w:r>
            <w:proofErr w:type="spellStart"/>
            <w:r>
              <w:rPr>
                <w:color w:val="auto"/>
                <w:sz w:val="18"/>
                <w:szCs w:val="18"/>
              </w:rPr>
              <w:t>Wandle</w:t>
            </w:r>
            <w:proofErr w:type="spellEnd"/>
            <w:r>
              <w:rPr>
                <w:color w:val="auto"/>
                <w:sz w:val="18"/>
                <w:szCs w:val="18"/>
              </w:rPr>
              <w:t xml:space="preserve"> letters and sounds</w:t>
            </w:r>
            <w:r w:rsidRPr="002138BD">
              <w:rPr>
                <w:color w:val="auto"/>
                <w:sz w:val="18"/>
                <w:szCs w:val="18"/>
              </w:rPr>
              <w:t xml:space="preserve"> phonics training, phonics is also stated by the EEF as having a significantly positive impact on attainment (+5 months).</w:t>
            </w:r>
          </w:p>
          <w:p w14:paraId="49ED29E9" w14:textId="77777777" w:rsidR="002138BD" w:rsidRDefault="002138BD" w:rsidP="002138BD">
            <w:pPr>
              <w:pStyle w:val="TableRowCentered"/>
              <w:ind w:left="0"/>
              <w:jc w:val="left"/>
              <w:rPr>
                <w:color w:val="auto"/>
                <w:sz w:val="18"/>
                <w:szCs w:val="18"/>
              </w:rPr>
            </w:pPr>
          </w:p>
          <w:p w14:paraId="49BEFD6B" w14:textId="77777777" w:rsidR="00BD6262" w:rsidRPr="00BD6262" w:rsidRDefault="00BD6262" w:rsidP="002138BD">
            <w:pPr>
              <w:pStyle w:val="TableRowCentered"/>
              <w:ind w:left="0"/>
              <w:jc w:val="left"/>
              <w:rPr>
                <w:color w:val="00B050"/>
                <w:sz w:val="18"/>
                <w:szCs w:val="18"/>
              </w:rPr>
            </w:pPr>
            <w:r w:rsidRPr="00BD6262">
              <w:rPr>
                <w:color w:val="00B050"/>
                <w:sz w:val="18"/>
                <w:szCs w:val="18"/>
              </w:rPr>
              <w:t>Staff time allocated to attend training linked to NPQML and specialist subject training</w:t>
            </w:r>
          </w:p>
          <w:p w14:paraId="2A7D551B" w14:textId="33BDC84D" w:rsidR="00BD6262" w:rsidRPr="002138BD" w:rsidRDefault="00BD6262" w:rsidP="002138BD">
            <w:pPr>
              <w:pStyle w:val="TableRowCentered"/>
              <w:ind w:left="0"/>
              <w:jc w:val="left"/>
              <w:rPr>
                <w:color w:val="auto"/>
                <w:sz w:val="18"/>
                <w:szCs w:val="18"/>
              </w:rPr>
            </w:pPr>
            <w:r w:rsidRPr="00BD6262">
              <w:rPr>
                <w:color w:val="00B050"/>
                <w:sz w:val="18"/>
                <w:szCs w:val="18"/>
              </w:rPr>
              <w:t>Training provided for bespoke needs and identified needs relating to children’s presentations</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1C" w14:textId="2E60A55B" w:rsidR="002138BD" w:rsidRDefault="002138BD" w:rsidP="002138BD">
            <w:pPr>
              <w:pStyle w:val="TableRowCentered"/>
              <w:jc w:val="left"/>
              <w:rPr>
                <w:sz w:val="22"/>
              </w:rPr>
            </w:pPr>
            <w:r w:rsidRPr="002138BD">
              <w:rPr>
                <w:color w:val="auto"/>
                <w:sz w:val="22"/>
              </w:rPr>
              <w:t>1, 2, 3, 4</w:t>
            </w:r>
          </w:p>
        </w:tc>
      </w:tr>
      <w:tr w:rsidR="002138BD" w14:paraId="6BA80D87" w14:textId="77777777" w:rsidTr="005B044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B1BB68" w14:textId="77777777" w:rsidR="002138BD" w:rsidRDefault="002138BD" w:rsidP="002138BD">
            <w:pPr>
              <w:pStyle w:val="TableRow"/>
              <w:rPr>
                <w:sz w:val="18"/>
                <w:szCs w:val="18"/>
              </w:rPr>
            </w:pPr>
            <w:r w:rsidRPr="00455CB9">
              <w:rPr>
                <w:sz w:val="18"/>
                <w:szCs w:val="18"/>
              </w:rPr>
              <w:t>Release from class for full time SENCO / Vice Principal to focus on PP children across whole school</w:t>
            </w:r>
            <w:r>
              <w:rPr>
                <w:sz w:val="18"/>
                <w:szCs w:val="18"/>
              </w:rPr>
              <w:t xml:space="preserve"> and </w:t>
            </w:r>
            <w:r w:rsidRPr="002138BD">
              <w:rPr>
                <w:sz w:val="18"/>
                <w:szCs w:val="18"/>
              </w:rPr>
              <w:t>to allow them to provide support to teachers to improve the quality of teaching across school</w:t>
            </w:r>
          </w:p>
          <w:p w14:paraId="0EDB02CA" w14:textId="71607D7B" w:rsidR="00305205" w:rsidRDefault="00305205" w:rsidP="002138BD">
            <w:pPr>
              <w:pStyle w:val="TableRow"/>
              <w:rPr>
                <w:sz w:val="18"/>
                <w:szCs w:val="18"/>
              </w:rPr>
            </w:pPr>
          </w:p>
          <w:p w14:paraId="1DBAD557" w14:textId="16A7FD13" w:rsidR="00544548" w:rsidRPr="00544548" w:rsidRDefault="00544548" w:rsidP="002138BD">
            <w:pPr>
              <w:pStyle w:val="TableRow"/>
              <w:rPr>
                <w:color w:val="00B050"/>
                <w:sz w:val="18"/>
                <w:szCs w:val="18"/>
              </w:rPr>
            </w:pPr>
            <w:r w:rsidRPr="00544548">
              <w:rPr>
                <w:color w:val="00B050"/>
                <w:sz w:val="18"/>
                <w:szCs w:val="18"/>
              </w:rPr>
              <w:t>Release time of identified key staff to support the high quality of teaching and learning across all subjects</w:t>
            </w:r>
          </w:p>
          <w:p w14:paraId="1928FA66" w14:textId="77777777" w:rsidR="00305205" w:rsidRDefault="00305205" w:rsidP="002138BD">
            <w:pPr>
              <w:pStyle w:val="TableRow"/>
              <w:rPr>
                <w:sz w:val="18"/>
                <w:szCs w:val="18"/>
              </w:rPr>
            </w:pPr>
          </w:p>
          <w:p w14:paraId="3D043A08" w14:textId="77777777" w:rsidR="00305205" w:rsidRDefault="00305205" w:rsidP="002138BD">
            <w:pPr>
              <w:pStyle w:val="TableRow"/>
              <w:rPr>
                <w:sz w:val="18"/>
                <w:szCs w:val="18"/>
              </w:rPr>
            </w:pPr>
          </w:p>
          <w:p w14:paraId="54415C4D" w14:textId="77777777" w:rsidR="00305205" w:rsidRDefault="00305205" w:rsidP="002138BD">
            <w:pPr>
              <w:pStyle w:val="TableRow"/>
              <w:rPr>
                <w:sz w:val="18"/>
                <w:szCs w:val="18"/>
              </w:rPr>
            </w:pPr>
          </w:p>
          <w:p w14:paraId="670EAF09" w14:textId="77777777" w:rsidR="00305205" w:rsidRDefault="00305205" w:rsidP="002138BD">
            <w:pPr>
              <w:pStyle w:val="TableRow"/>
              <w:rPr>
                <w:sz w:val="18"/>
                <w:szCs w:val="18"/>
              </w:rPr>
            </w:pPr>
          </w:p>
          <w:p w14:paraId="0F4E5570" w14:textId="77777777" w:rsidR="00305205" w:rsidRDefault="00305205" w:rsidP="002138BD">
            <w:pPr>
              <w:pStyle w:val="TableRow"/>
              <w:rPr>
                <w:sz w:val="18"/>
                <w:szCs w:val="18"/>
              </w:rPr>
            </w:pPr>
          </w:p>
          <w:p w14:paraId="7D70BF23" w14:textId="77777777" w:rsidR="00305205" w:rsidRDefault="00305205" w:rsidP="00F931A1">
            <w:pPr>
              <w:pStyle w:val="TableRow"/>
              <w:rPr>
                <w:sz w:val="18"/>
                <w:szCs w:val="18"/>
              </w:rPr>
            </w:pPr>
            <w:r>
              <w:rPr>
                <w:sz w:val="18"/>
                <w:szCs w:val="18"/>
              </w:rPr>
              <w:t>Cost - £</w:t>
            </w:r>
            <w:r w:rsidR="00F931A1">
              <w:rPr>
                <w:sz w:val="18"/>
                <w:szCs w:val="18"/>
              </w:rPr>
              <w:t>27,668</w:t>
            </w:r>
          </w:p>
          <w:p w14:paraId="659DECD4" w14:textId="77777777" w:rsidR="00544548" w:rsidRDefault="00544548" w:rsidP="00F931A1">
            <w:pPr>
              <w:pStyle w:val="TableRow"/>
              <w:rPr>
                <w:sz w:val="18"/>
                <w:szCs w:val="18"/>
              </w:rPr>
            </w:pPr>
          </w:p>
          <w:p w14:paraId="1DED8E48" w14:textId="73A6582D" w:rsidR="00544548" w:rsidRPr="00544548" w:rsidRDefault="00544548" w:rsidP="00F931A1">
            <w:pPr>
              <w:pStyle w:val="TableRow"/>
              <w:rPr>
                <w:color w:val="00B050"/>
                <w:sz w:val="18"/>
                <w:szCs w:val="18"/>
              </w:rPr>
            </w:pPr>
          </w:p>
        </w:tc>
        <w:tc>
          <w:tcPr>
            <w:tcW w:w="4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012696" w14:textId="77777777" w:rsidR="002138BD" w:rsidRDefault="002138BD" w:rsidP="002138BD">
            <w:pPr>
              <w:pStyle w:val="TableRowCentered"/>
              <w:ind w:left="0"/>
              <w:jc w:val="left"/>
              <w:rPr>
                <w:sz w:val="18"/>
                <w:szCs w:val="18"/>
              </w:rPr>
            </w:pPr>
            <w:r w:rsidRPr="00455CB9">
              <w:rPr>
                <w:sz w:val="18"/>
                <w:szCs w:val="18"/>
              </w:rPr>
              <w:t>Data in all areas show a significant gap</w:t>
            </w:r>
            <w:r>
              <w:rPr>
                <w:sz w:val="18"/>
                <w:szCs w:val="18"/>
              </w:rPr>
              <w:t xml:space="preserve"> that has appeared since March 2020.</w:t>
            </w:r>
            <w:r w:rsidRPr="00455CB9">
              <w:rPr>
                <w:sz w:val="18"/>
                <w:szCs w:val="18"/>
              </w:rPr>
              <w:t xml:space="preserve"> </w:t>
            </w:r>
            <w:r>
              <w:rPr>
                <w:sz w:val="18"/>
                <w:szCs w:val="18"/>
              </w:rPr>
              <w:t>This MUST be</w:t>
            </w:r>
            <w:r w:rsidRPr="00455CB9">
              <w:rPr>
                <w:sz w:val="18"/>
                <w:szCs w:val="18"/>
              </w:rPr>
              <w:t xml:space="preserve"> reduced.</w:t>
            </w:r>
          </w:p>
          <w:p w14:paraId="4E456FB5" w14:textId="627176C2" w:rsidR="002138BD" w:rsidRPr="002138BD" w:rsidRDefault="002138BD" w:rsidP="002138BD">
            <w:pPr>
              <w:pStyle w:val="TableRowCentered"/>
              <w:ind w:left="0"/>
              <w:jc w:val="left"/>
              <w:rPr>
                <w:sz w:val="18"/>
                <w:szCs w:val="18"/>
              </w:rPr>
            </w:pPr>
            <w:r w:rsidRPr="002138BD">
              <w:rPr>
                <w:sz w:val="18"/>
                <w:szCs w:val="18"/>
              </w:rPr>
              <w:t xml:space="preserve">Building on the above evidence base, the Vice </w:t>
            </w:r>
            <w:r w:rsidR="00A150BC">
              <w:rPr>
                <w:sz w:val="18"/>
                <w:szCs w:val="18"/>
              </w:rPr>
              <w:t xml:space="preserve">Principal have specific time </w:t>
            </w:r>
            <w:r w:rsidRPr="002138BD">
              <w:rPr>
                <w:sz w:val="18"/>
                <w:szCs w:val="18"/>
              </w:rPr>
              <w:t xml:space="preserve">to support teachers in ‘Improving Classroom Teaching’. </w:t>
            </w:r>
          </w:p>
          <w:p w14:paraId="179907E0" w14:textId="58DB5835" w:rsidR="002138BD" w:rsidRPr="00455CB9" w:rsidRDefault="002138BD" w:rsidP="002138BD">
            <w:pPr>
              <w:pStyle w:val="TableRowCentered"/>
              <w:ind w:left="0"/>
              <w:jc w:val="left"/>
              <w:rPr>
                <w:sz w:val="18"/>
                <w:szCs w:val="18"/>
              </w:rPr>
            </w:pPr>
            <w:r w:rsidRPr="002138BD">
              <w:rPr>
                <w:sz w:val="18"/>
                <w:szCs w:val="18"/>
              </w:rPr>
              <w:t xml:space="preserve">They use evidence-informed approaches to develop staff e.g. </w:t>
            </w:r>
            <w:proofErr w:type="spellStart"/>
            <w:r w:rsidRPr="002138BD">
              <w:rPr>
                <w:sz w:val="18"/>
                <w:szCs w:val="18"/>
              </w:rPr>
              <w:t>Rosenshine’s</w:t>
            </w:r>
            <w:proofErr w:type="spellEnd"/>
            <w:r w:rsidRPr="002138BD">
              <w:rPr>
                <w:sz w:val="18"/>
                <w:szCs w:val="18"/>
              </w:rPr>
              <w:t xml:space="preserve"> Principles and Sherrington’s </w:t>
            </w:r>
            <w:proofErr w:type="spellStart"/>
            <w:r w:rsidRPr="002138BD">
              <w:rPr>
                <w:sz w:val="18"/>
                <w:szCs w:val="18"/>
              </w:rPr>
              <w:t>Walkthrus</w:t>
            </w:r>
            <w:proofErr w:type="spellEnd"/>
            <w:r w:rsidRPr="002138BD">
              <w:rPr>
                <w:sz w:val="18"/>
                <w:szCs w:val="18"/>
              </w:rPr>
              <w:t>, which are based on a synthesis of evidence in the field.</w:t>
            </w:r>
          </w:p>
          <w:p w14:paraId="64CFE5BA" w14:textId="77777777" w:rsidR="002138BD" w:rsidRDefault="002138BD" w:rsidP="002138BD">
            <w:pPr>
              <w:pStyle w:val="TableRowCentered"/>
              <w:ind w:left="0"/>
              <w:jc w:val="left"/>
              <w:rPr>
                <w:sz w:val="18"/>
                <w:szCs w:val="18"/>
              </w:rPr>
            </w:pPr>
            <w:r w:rsidRPr="00455CB9">
              <w:rPr>
                <w:sz w:val="18"/>
                <w:szCs w:val="18"/>
              </w:rPr>
              <w:t>Early identification and task design will enable teachers to make small steps in progress for all SEN children</w:t>
            </w:r>
            <w:r>
              <w:rPr>
                <w:sz w:val="18"/>
                <w:szCs w:val="18"/>
              </w:rPr>
              <w:t>.</w:t>
            </w:r>
          </w:p>
          <w:p w14:paraId="29AD4D91" w14:textId="77777777" w:rsidR="002138BD" w:rsidRDefault="002138BD" w:rsidP="002138BD">
            <w:pPr>
              <w:pStyle w:val="TableRowCentered"/>
              <w:ind w:left="0"/>
              <w:jc w:val="left"/>
              <w:rPr>
                <w:sz w:val="18"/>
                <w:szCs w:val="18"/>
              </w:rPr>
            </w:pPr>
            <w:r>
              <w:rPr>
                <w:sz w:val="18"/>
                <w:szCs w:val="18"/>
              </w:rPr>
              <w:t>SLT capacity to be available to staff at all times enabled the gap to be narrowed 2016 – 2019. Clear support / modelling and challenge creates consistency for all PP children in all year groups.</w:t>
            </w:r>
          </w:p>
          <w:p w14:paraId="44897720" w14:textId="0B07FA86" w:rsidR="00544548" w:rsidRDefault="00544548" w:rsidP="002138BD">
            <w:pPr>
              <w:pStyle w:val="TableRowCentered"/>
              <w:ind w:left="0"/>
              <w:jc w:val="left"/>
              <w:rPr>
                <w:color w:val="00B050"/>
                <w:sz w:val="18"/>
                <w:szCs w:val="18"/>
              </w:rPr>
            </w:pPr>
          </w:p>
          <w:p w14:paraId="4C22907D" w14:textId="60C106FB" w:rsidR="00544548" w:rsidRPr="00544548" w:rsidRDefault="00544548" w:rsidP="002138BD">
            <w:pPr>
              <w:pStyle w:val="TableRowCentered"/>
              <w:ind w:left="0"/>
              <w:jc w:val="left"/>
              <w:rPr>
                <w:color w:val="00B050"/>
                <w:sz w:val="18"/>
                <w:szCs w:val="18"/>
              </w:rPr>
            </w:pPr>
            <w:r>
              <w:rPr>
                <w:color w:val="00B050"/>
                <w:sz w:val="18"/>
                <w:szCs w:val="18"/>
              </w:rPr>
              <w:t>4 identified leaders for learning have protected non-contact time so that they are able to support, challenge and develop across the whole school. This will ensure that identified PP children are receiving the required support in all aspects of learning.</w:t>
            </w:r>
          </w:p>
          <w:p w14:paraId="3D782265" w14:textId="24A2EA04" w:rsidR="00544548" w:rsidRPr="00544548" w:rsidRDefault="00544548" w:rsidP="002138BD">
            <w:pPr>
              <w:pStyle w:val="TableRowCentered"/>
              <w:ind w:left="0"/>
              <w:jc w:val="left"/>
              <w:rPr>
                <w:color w:val="00B050"/>
                <w:sz w:val="18"/>
                <w:szCs w:val="18"/>
              </w:rPr>
            </w:pP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C460C" w14:textId="313B1EF9" w:rsidR="002138BD" w:rsidRDefault="00A150BC" w:rsidP="00A150BC">
            <w:pPr>
              <w:pStyle w:val="TableRowCentered"/>
              <w:ind w:left="0"/>
              <w:jc w:val="left"/>
              <w:rPr>
                <w:sz w:val="22"/>
              </w:rPr>
            </w:pPr>
            <w:r w:rsidRPr="002138BD">
              <w:rPr>
                <w:color w:val="auto"/>
                <w:sz w:val="22"/>
              </w:rPr>
              <w:t>1, 2, 3, 4</w:t>
            </w:r>
          </w:p>
        </w:tc>
      </w:tr>
      <w:tr w:rsidR="00A150BC" w14:paraId="42A3DA9D" w14:textId="77777777" w:rsidTr="005B044B">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C9D8D6" w14:textId="11937821" w:rsidR="00A150BC" w:rsidRPr="00A150BC" w:rsidRDefault="00A150BC" w:rsidP="00A150BC">
            <w:pPr>
              <w:pStyle w:val="TableRow"/>
              <w:rPr>
                <w:color w:val="auto"/>
                <w:sz w:val="18"/>
                <w:szCs w:val="20"/>
              </w:rPr>
            </w:pPr>
            <w:r w:rsidRPr="00A150BC">
              <w:rPr>
                <w:color w:val="auto"/>
                <w:sz w:val="18"/>
                <w:szCs w:val="20"/>
              </w:rPr>
              <w:t xml:space="preserve">Provide </w:t>
            </w:r>
            <w:r w:rsidRPr="00A150BC">
              <w:rPr>
                <w:b/>
                <w:color w:val="auto"/>
                <w:sz w:val="18"/>
                <w:szCs w:val="20"/>
              </w:rPr>
              <w:t>daily release time</w:t>
            </w:r>
            <w:r w:rsidRPr="00A150BC">
              <w:rPr>
                <w:color w:val="auto"/>
                <w:sz w:val="18"/>
                <w:szCs w:val="20"/>
              </w:rPr>
              <w:t xml:space="preserve"> for the maths lead, leading teacher and Early Reading lead to allow them to provide support to teachers to improve the quality of teaching across school. </w:t>
            </w:r>
          </w:p>
          <w:p w14:paraId="11906169" w14:textId="77777777" w:rsidR="00A150BC" w:rsidRPr="00A150BC" w:rsidRDefault="00A150BC" w:rsidP="00A150BC">
            <w:pPr>
              <w:pStyle w:val="TableRow"/>
              <w:rPr>
                <w:color w:val="auto"/>
                <w:sz w:val="18"/>
                <w:szCs w:val="20"/>
              </w:rPr>
            </w:pPr>
          </w:p>
          <w:p w14:paraId="26BFC3B9" w14:textId="77777777" w:rsidR="00305205" w:rsidRDefault="00305205" w:rsidP="00A150BC">
            <w:pPr>
              <w:pStyle w:val="TableRow"/>
              <w:rPr>
                <w:i/>
                <w:color w:val="auto"/>
                <w:sz w:val="18"/>
                <w:szCs w:val="20"/>
              </w:rPr>
            </w:pPr>
          </w:p>
          <w:p w14:paraId="663630FE" w14:textId="093FD5DE" w:rsidR="00A150BC" w:rsidRPr="00A150BC" w:rsidRDefault="00A150BC" w:rsidP="00504600">
            <w:pPr>
              <w:pStyle w:val="TableRow"/>
              <w:rPr>
                <w:color w:val="auto"/>
                <w:sz w:val="18"/>
                <w:szCs w:val="18"/>
              </w:rPr>
            </w:pPr>
            <w:r w:rsidRPr="00A150BC">
              <w:rPr>
                <w:i/>
                <w:color w:val="auto"/>
                <w:sz w:val="18"/>
                <w:szCs w:val="20"/>
              </w:rPr>
              <w:t xml:space="preserve">Cost - </w:t>
            </w:r>
            <w:r w:rsidR="00305205">
              <w:rPr>
                <w:i/>
                <w:color w:val="auto"/>
                <w:sz w:val="18"/>
                <w:szCs w:val="20"/>
              </w:rPr>
              <w:t>£</w:t>
            </w:r>
            <w:r w:rsidR="00504600">
              <w:rPr>
                <w:i/>
                <w:color w:val="auto"/>
                <w:sz w:val="18"/>
                <w:szCs w:val="20"/>
              </w:rPr>
              <w:t>25,000</w:t>
            </w:r>
          </w:p>
        </w:tc>
        <w:tc>
          <w:tcPr>
            <w:tcW w:w="4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E8BF08" w14:textId="77777777" w:rsidR="00A150BC" w:rsidRPr="00A150BC" w:rsidRDefault="00A150BC" w:rsidP="00A150BC">
            <w:pPr>
              <w:pStyle w:val="TableRowCentered"/>
              <w:jc w:val="left"/>
              <w:rPr>
                <w:color w:val="auto"/>
                <w:sz w:val="18"/>
                <w:szCs w:val="18"/>
              </w:rPr>
            </w:pPr>
            <w:r w:rsidRPr="00A150BC">
              <w:rPr>
                <w:color w:val="auto"/>
                <w:sz w:val="18"/>
                <w:szCs w:val="18"/>
              </w:rPr>
              <w:t>Building on the above evidence base, phonics is also stated by the EEF as having a significantly positive impact on attainment (+5 months).</w:t>
            </w:r>
          </w:p>
          <w:p w14:paraId="77034FC0" w14:textId="77777777" w:rsidR="00A150BC" w:rsidRPr="00A150BC" w:rsidRDefault="00A150BC" w:rsidP="00A150BC">
            <w:pPr>
              <w:pStyle w:val="TableRowCentered"/>
              <w:jc w:val="left"/>
              <w:rPr>
                <w:color w:val="auto"/>
                <w:sz w:val="18"/>
                <w:szCs w:val="18"/>
              </w:rPr>
            </w:pPr>
            <w:r w:rsidRPr="00A150BC">
              <w:rPr>
                <w:color w:val="auto"/>
                <w:sz w:val="18"/>
                <w:szCs w:val="18"/>
              </w:rPr>
              <w:t xml:space="preserve">The Early Reading lead provides daily phonics training for all staff in line with the guidance in our SSP scheme, Little </w:t>
            </w:r>
            <w:proofErr w:type="spellStart"/>
            <w:r w:rsidRPr="00A150BC">
              <w:rPr>
                <w:color w:val="auto"/>
                <w:sz w:val="18"/>
                <w:szCs w:val="18"/>
              </w:rPr>
              <w:t>Wandle</w:t>
            </w:r>
            <w:proofErr w:type="spellEnd"/>
            <w:r w:rsidRPr="00A150BC">
              <w:rPr>
                <w:color w:val="auto"/>
                <w:sz w:val="18"/>
                <w:szCs w:val="18"/>
              </w:rPr>
              <w:t xml:space="preserve"> Letters and Sounds. </w:t>
            </w:r>
          </w:p>
          <w:p w14:paraId="2BF57FA2" w14:textId="44C0DF6F" w:rsidR="00A150BC" w:rsidRPr="00A150BC" w:rsidRDefault="00A150BC" w:rsidP="00A150BC">
            <w:pPr>
              <w:pStyle w:val="TableRowCentered"/>
              <w:jc w:val="left"/>
              <w:rPr>
                <w:color w:val="auto"/>
                <w:sz w:val="18"/>
                <w:szCs w:val="18"/>
              </w:rPr>
            </w:pPr>
            <w:r w:rsidRPr="00A150BC">
              <w:rPr>
                <w:color w:val="auto"/>
                <w:sz w:val="18"/>
                <w:szCs w:val="18"/>
              </w:rPr>
              <w:t>This ensures that we are following the scheme with fidelity (which is also an evidence-informed recommendation) and precision.</w:t>
            </w:r>
          </w:p>
          <w:p w14:paraId="480279A8" w14:textId="597648CF" w:rsidR="00A150BC" w:rsidRPr="00E94331" w:rsidRDefault="00E94331" w:rsidP="00A150BC">
            <w:pPr>
              <w:pStyle w:val="TableRowCentered"/>
              <w:ind w:left="0"/>
              <w:jc w:val="left"/>
              <w:rPr>
                <w:color w:val="00B050"/>
                <w:sz w:val="18"/>
                <w:szCs w:val="18"/>
              </w:rPr>
            </w:pPr>
            <w:r>
              <w:rPr>
                <w:color w:val="00B050"/>
                <w:sz w:val="18"/>
                <w:szCs w:val="18"/>
              </w:rPr>
              <w:t>Identified new roles and systems to continue this work</w:t>
            </w:r>
          </w:p>
        </w:tc>
        <w:tc>
          <w:tcPr>
            <w:tcW w:w="1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0205C3" w14:textId="2AC42D75" w:rsidR="00A150BC" w:rsidRPr="00A150BC" w:rsidRDefault="00A150BC" w:rsidP="00A150BC">
            <w:pPr>
              <w:pStyle w:val="TableRowCentered"/>
              <w:ind w:left="0"/>
              <w:jc w:val="left"/>
              <w:rPr>
                <w:color w:val="auto"/>
                <w:sz w:val="22"/>
              </w:rPr>
            </w:pPr>
            <w:r w:rsidRPr="00A150BC">
              <w:rPr>
                <w:color w:val="auto"/>
                <w:sz w:val="22"/>
              </w:rPr>
              <w:t>1, 2, 3</w:t>
            </w:r>
            <w:r>
              <w:rPr>
                <w:color w:val="auto"/>
                <w:sz w:val="22"/>
              </w:rPr>
              <w:t>, 4</w:t>
            </w:r>
          </w:p>
        </w:tc>
      </w:tr>
    </w:tbl>
    <w:p w14:paraId="5D08ECB1" w14:textId="2C1E9833" w:rsidR="00305205" w:rsidRDefault="00305205">
      <w:pPr>
        <w:keepNext/>
        <w:spacing w:after="60"/>
        <w:outlineLvl w:val="1"/>
      </w:pPr>
    </w:p>
    <w:p w14:paraId="2A7D5523" w14:textId="1DC08891" w:rsidR="00E66558" w:rsidRDefault="009D71E8" w:rsidP="007B4EBB">
      <w:pPr>
        <w:spacing w:after="0"/>
        <w:rPr>
          <w:b/>
          <w:bCs/>
          <w:color w:val="104F75"/>
          <w:sz w:val="28"/>
          <w:szCs w:val="28"/>
        </w:rPr>
      </w:pPr>
      <w:r>
        <w:rPr>
          <w:b/>
          <w:bCs/>
          <w:color w:val="104F75"/>
          <w:sz w:val="28"/>
          <w:szCs w:val="28"/>
        </w:rPr>
        <w:t xml:space="preserve">Targeted academic support (for example, </w:t>
      </w:r>
      <w:r w:rsidR="00D33FE5">
        <w:rPr>
          <w:b/>
          <w:bCs/>
          <w:color w:val="104F75"/>
          <w:sz w:val="28"/>
          <w:szCs w:val="28"/>
        </w:rPr>
        <w:t xml:space="preserve">tutoring, one-to-one support </w:t>
      </w:r>
      <w:r>
        <w:rPr>
          <w:b/>
          <w:bCs/>
          <w:color w:val="104F75"/>
          <w:sz w:val="28"/>
          <w:szCs w:val="28"/>
        </w:rPr>
        <w:t xml:space="preserve">structured interventions) </w:t>
      </w:r>
    </w:p>
    <w:p w14:paraId="2A7D5524" w14:textId="4431AF97" w:rsidR="00E66558" w:rsidRDefault="009D71E8" w:rsidP="007B4EBB">
      <w:pPr>
        <w:spacing w:after="0"/>
        <w:rPr>
          <w:i/>
          <w:iCs/>
        </w:rPr>
      </w:pPr>
      <w:r>
        <w:t>Budgeted cost: £</w:t>
      </w:r>
      <w:r w:rsidR="00001E21">
        <w:t>88</w:t>
      </w:r>
      <w:r w:rsidR="00485C22">
        <w:t>,834</w:t>
      </w:r>
    </w:p>
    <w:p w14:paraId="5F49EC1E" w14:textId="674B1081" w:rsidR="007B4EBB" w:rsidRPr="007B4EBB" w:rsidRDefault="007B4EBB" w:rsidP="007B4EBB">
      <w:pPr>
        <w:spacing w:after="0"/>
        <w:rPr>
          <w:color w:val="FF0000"/>
          <w:sz w:val="22"/>
        </w:rPr>
      </w:pPr>
      <w:r w:rsidRPr="007B4EBB">
        <w:rPr>
          <w:i/>
          <w:iCs/>
          <w:color w:val="FF0000"/>
          <w:sz w:val="22"/>
        </w:rPr>
        <w:t>Recovery funding – £</w:t>
      </w:r>
      <w:r w:rsidR="006766EB">
        <w:rPr>
          <w:i/>
          <w:iCs/>
          <w:color w:val="FF0000"/>
          <w:sz w:val="22"/>
        </w:rPr>
        <w:t>20,000</w:t>
      </w:r>
    </w:p>
    <w:tbl>
      <w:tblPr>
        <w:tblW w:w="5000" w:type="pct"/>
        <w:tblCellMar>
          <w:left w:w="10" w:type="dxa"/>
          <w:right w:w="10" w:type="dxa"/>
        </w:tblCellMar>
        <w:tblLook w:val="04A0" w:firstRow="1" w:lastRow="0" w:firstColumn="1" w:lastColumn="0" w:noHBand="0" w:noVBand="1"/>
      </w:tblPr>
      <w:tblGrid>
        <w:gridCol w:w="2688"/>
        <w:gridCol w:w="4254"/>
        <w:gridCol w:w="2544"/>
      </w:tblGrid>
      <w:tr w:rsidR="00E66558" w14:paraId="2A7D5528" w14:textId="77777777">
        <w:tc>
          <w:tcPr>
            <w:tcW w:w="268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5" w14:textId="77777777" w:rsidR="00E66558" w:rsidRDefault="009D71E8">
            <w:pPr>
              <w:pStyle w:val="TableHeader"/>
              <w:jc w:val="left"/>
            </w:pPr>
            <w:r>
              <w:t>Activity</w:t>
            </w:r>
          </w:p>
        </w:tc>
        <w:tc>
          <w:tcPr>
            <w:tcW w:w="425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6" w14:textId="77777777" w:rsidR="00E66558" w:rsidRDefault="009D71E8">
            <w:pPr>
              <w:pStyle w:val="TableHeader"/>
              <w:jc w:val="left"/>
            </w:pPr>
            <w:r>
              <w:t>Evidence that supports this approach</w:t>
            </w:r>
          </w:p>
        </w:tc>
        <w:tc>
          <w:tcPr>
            <w:tcW w:w="2544"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27" w14:textId="77777777" w:rsidR="00E66558" w:rsidRDefault="009D71E8">
            <w:pPr>
              <w:pStyle w:val="TableHeader"/>
              <w:jc w:val="left"/>
            </w:pPr>
            <w:r>
              <w:t>Challenge number(s) addressed</w:t>
            </w:r>
          </w:p>
        </w:tc>
      </w:tr>
      <w:tr w:rsidR="004563B0" w14:paraId="2A7D552C"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C05F86" w14:textId="1AA77B0B" w:rsidR="004563B0" w:rsidRDefault="004563B0" w:rsidP="004563B0">
            <w:pPr>
              <w:pStyle w:val="TableRow"/>
              <w:rPr>
                <w:sz w:val="18"/>
                <w:szCs w:val="20"/>
              </w:rPr>
            </w:pPr>
            <w:r>
              <w:rPr>
                <w:sz w:val="18"/>
                <w:szCs w:val="20"/>
              </w:rPr>
              <w:t>Provide t</w:t>
            </w:r>
            <w:r w:rsidRPr="00044D33">
              <w:rPr>
                <w:sz w:val="18"/>
                <w:szCs w:val="20"/>
              </w:rPr>
              <w:t xml:space="preserve">argeted </w:t>
            </w:r>
            <w:r w:rsidRPr="00044D33">
              <w:rPr>
                <w:b/>
                <w:sz w:val="18"/>
                <w:szCs w:val="20"/>
              </w:rPr>
              <w:t xml:space="preserve">one-to-one reading tutoring </w:t>
            </w:r>
            <w:r w:rsidRPr="00044D33">
              <w:rPr>
                <w:sz w:val="18"/>
                <w:szCs w:val="20"/>
              </w:rPr>
              <w:t xml:space="preserve">using the </w:t>
            </w:r>
            <w:r>
              <w:rPr>
                <w:sz w:val="18"/>
                <w:szCs w:val="20"/>
              </w:rPr>
              <w:t xml:space="preserve">Little </w:t>
            </w:r>
            <w:proofErr w:type="spellStart"/>
            <w:r>
              <w:rPr>
                <w:sz w:val="18"/>
                <w:szCs w:val="20"/>
              </w:rPr>
              <w:t>Wandle</w:t>
            </w:r>
            <w:proofErr w:type="spellEnd"/>
            <w:r>
              <w:rPr>
                <w:sz w:val="18"/>
                <w:szCs w:val="20"/>
              </w:rPr>
              <w:t xml:space="preserve"> Letters and Sounds catch up </w:t>
            </w:r>
            <w:r w:rsidRPr="00044D33">
              <w:rPr>
                <w:sz w:val="18"/>
                <w:szCs w:val="20"/>
              </w:rPr>
              <w:t>toolkit</w:t>
            </w:r>
            <w:r>
              <w:rPr>
                <w:sz w:val="18"/>
                <w:szCs w:val="20"/>
              </w:rPr>
              <w:t xml:space="preserve"> for children in Years 1, 2 and 3.</w:t>
            </w:r>
          </w:p>
          <w:p w14:paraId="231D81EE" w14:textId="2E377E92" w:rsidR="004563B0" w:rsidRPr="00044D33" w:rsidRDefault="004563B0" w:rsidP="004563B0">
            <w:pPr>
              <w:pStyle w:val="TableRow"/>
              <w:rPr>
                <w:sz w:val="18"/>
                <w:szCs w:val="20"/>
              </w:rPr>
            </w:pPr>
            <w:r w:rsidRPr="00044D33">
              <w:rPr>
                <w:sz w:val="18"/>
                <w:szCs w:val="20"/>
              </w:rPr>
              <w:t xml:space="preserve">Employ </w:t>
            </w:r>
            <w:r>
              <w:rPr>
                <w:sz w:val="18"/>
                <w:szCs w:val="20"/>
              </w:rPr>
              <w:t xml:space="preserve">2 </w:t>
            </w:r>
            <w:r w:rsidRPr="00044D33">
              <w:rPr>
                <w:sz w:val="18"/>
                <w:szCs w:val="20"/>
              </w:rPr>
              <w:t xml:space="preserve"> 0.5 </w:t>
            </w:r>
            <w:r>
              <w:rPr>
                <w:sz w:val="18"/>
                <w:szCs w:val="20"/>
              </w:rPr>
              <w:t xml:space="preserve">(afternoon) tutors – for </w:t>
            </w:r>
            <w:r w:rsidRPr="00044D33">
              <w:rPr>
                <w:sz w:val="18"/>
                <w:szCs w:val="20"/>
              </w:rPr>
              <w:t xml:space="preserve"> Year 2 and Year 3.</w:t>
            </w:r>
            <w:r>
              <w:rPr>
                <w:sz w:val="18"/>
                <w:szCs w:val="20"/>
              </w:rPr>
              <w:t>(&amp;4)</w:t>
            </w:r>
            <w:r w:rsidRPr="00044D33">
              <w:rPr>
                <w:sz w:val="18"/>
                <w:szCs w:val="20"/>
              </w:rPr>
              <w:t xml:space="preserve"> </w:t>
            </w:r>
          </w:p>
          <w:p w14:paraId="3E0E50AB" w14:textId="77777777" w:rsidR="004563B0" w:rsidRDefault="004563B0" w:rsidP="004563B0">
            <w:pPr>
              <w:pStyle w:val="TableRow"/>
              <w:rPr>
                <w:sz w:val="18"/>
                <w:szCs w:val="20"/>
              </w:rPr>
            </w:pPr>
            <w:r>
              <w:rPr>
                <w:sz w:val="18"/>
                <w:szCs w:val="20"/>
              </w:rPr>
              <w:t xml:space="preserve">This to be joint funded through the NTP grant and recovery premium. </w:t>
            </w:r>
          </w:p>
          <w:p w14:paraId="4639755B" w14:textId="77777777" w:rsidR="004563B0" w:rsidRDefault="004563B0" w:rsidP="004563B0">
            <w:pPr>
              <w:pStyle w:val="TableRow"/>
              <w:rPr>
                <w:sz w:val="18"/>
                <w:szCs w:val="20"/>
              </w:rPr>
            </w:pPr>
          </w:p>
          <w:p w14:paraId="2A7D5529" w14:textId="0A7472C7" w:rsidR="004563B0" w:rsidRPr="00EB650C" w:rsidRDefault="004563B0" w:rsidP="006766EB">
            <w:pPr>
              <w:pStyle w:val="TableRow"/>
              <w:rPr>
                <w:sz w:val="18"/>
                <w:szCs w:val="18"/>
              </w:rPr>
            </w:pPr>
            <w:r w:rsidRPr="00305205">
              <w:rPr>
                <w:i/>
                <w:color w:val="FF0000"/>
                <w:sz w:val="18"/>
                <w:szCs w:val="20"/>
              </w:rPr>
              <w:t xml:space="preserve">Cost - </w:t>
            </w:r>
            <w:r w:rsidR="00305205" w:rsidRPr="00305205">
              <w:rPr>
                <w:i/>
                <w:color w:val="FF0000"/>
                <w:sz w:val="18"/>
                <w:szCs w:val="20"/>
              </w:rPr>
              <w:t>£</w:t>
            </w:r>
            <w:r w:rsidR="006766EB">
              <w:rPr>
                <w:i/>
                <w:color w:val="FF0000"/>
                <w:sz w:val="18"/>
                <w:szCs w:val="20"/>
              </w:rPr>
              <w:t>10,000</w:t>
            </w:r>
            <w:r w:rsidR="00305205">
              <w:rPr>
                <w:i/>
                <w:color w:val="FF0000"/>
                <w:sz w:val="18"/>
                <w:szCs w:val="20"/>
              </w:rPr>
              <w:t xml:space="preserve"> Recovery Funding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C2BD17" w14:textId="77777777" w:rsidR="004563B0" w:rsidRPr="00DD41DD" w:rsidRDefault="004563B0" w:rsidP="004563B0">
            <w:pPr>
              <w:pStyle w:val="TableRowCentered"/>
              <w:jc w:val="left"/>
              <w:rPr>
                <w:sz w:val="18"/>
                <w:szCs w:val="18"/>
              </w:rPr>
            </w:pPr>
            <w:r w:rsidRPr="00DD41DD">
              <w:rPr>
                <w:sz w:val="18"/>
                <w:szCs w:val="18"/>
              </w:rPr>
              <w:t xml:space="preserve">One-to-one tuition is highlighted by the EEF as having a significant positive impact </w:t>
            </w:r>
            <w:r>
              <w:rPr>
                <w:sz w:val="18"/>
                <w:szCs w:val="18"/>
              </w:rPr>
              <w:t xml:space="preserve">on pupil attainment </w:t>
            </w:r>
            <w:r w:rsidRPr="00DD41DD">
              <w:rPr>
                <w:sz w:val="18"/>
                <w:szCs w:val="18"/>
              </w:rPr>
              <w:t>(+5 months).</w:t>
            </w:r>
          </w:p>
          <w:p w14:paraId="5BDCF5A5" w14:textId="77777777" w:rsidR="004563B0" w:rsidRPr="00DD41DD" w:rsidRDefault="004563B0" w:rsidP="004563B0">
            <w:pPr>
              <w:pStyle w:val="TableRowCentered"/>
              <w:jc w:val="left"/>
              <w:rPr>
                <w:sz w:val="18"/>
                <w:szCs w:val="18"/>
              </w:rPr>
            </w:pPr>
          </w:p>
          <w:p w14:paraId="10A63BEF" w14:textId="77777777" w:rsidR="004563B0" w:rsidRDefault="004563B0" w:rsidP="004563B0">
            <w:pPr>
              <w:pStyle w:val="TableRowCentered"/>
              <w:jc w:val="left"/>
              <w:rPr>
                <w:sz w:val="18"/>
                <w:szCs w:val="18"/>
              </w:rPr>
            </w:pPr>
            <w:r w:rsidRPr="00DD41DD">
              <w:rPr>
                <w:sz w:val="18"/>
                <w:szCs w:val="18"/>
              </w:rPr>
              <w:t>We follow the EEF recommendations, particularly</w:t>
            </w:r>
            <w:r>
              <w:rPr>
                <w:sz w:val="18"/>
                <w:szCs w:val="18"/>
              </w:rPr>
              <w:t>,</w:t>
            </w:r>
            <w:r w:rsidRPr="00DD41DD">
              <w:rPr>
                <w:sz w:val="18"/>
                <w:szCs w:val="18"/>
              </w:rPr>
              <w:t xml:space="preserve"> “</w:t>
            </w:r>
            <w:r w:rsidRPr="006E6541">
              <w:rPr>
                <w:i/>
                <w:sz w:val="18"/>
                <w:szCs w:val="18"/>
              </w:rPr>
              <w:t>for one to one tuition led by teaching assistants, interventions are likely to be particularly beneficial when the teaching assistants are experienced, well-trained and supported – for example, delivering a structured intervention.</w:t>
            </w:r>
            <w:r w:rsidRPr="00DD41DD">
              <w:rPr>
                <w:sz w:val="18"/>
                <w:szCs w:val="18"/>
              </w:rPr>
              <w:t xml:space="preserve">”. </w:t>
            </w:r>
          </w:p>
          <w:p w14:paraId="64CBFA93" w14:textId="77777777" w:rsidR="004563B0" w:rsidRDefault="004563B0" w:rsidP="004563B0">
            <w:pPr>
              <w:pStyle w:val="TableRowCentered"/>
              <w:jc w:val="left"/>
              <w:rPr>
                <w:sz w:val="18"/>
                <w:szCs w:val="18"/>
              </w:rPr>
            </w:pPr>
            <w:r>
              <w:rPr>
                <w:sz w:val="18"/>
                <w:szCs w:val="18"/>
              </w:rPr>
              <w:t xml:space="preserve">We use the structured programme within Little </w:t>
            </w:r>
            <w:proofErr w:type="spellStart"/>
            <w:r>
              <w:rPr>
                <w:sz w:val="18"/>
                <w:szCs w:val="18"/>
              </w:rPr>
              <w:t>Wandle</w:t>
            </w:r>
            <w:proofErr w:type="spellEnd"/>
            <w:r>
              <w:rPr>
                <w:sz w:val="18"/>
                <w:szCs w:val="18"/>
              </w:rPr>
              <w:t xml:space="preserve"> letters and </w:t>
            </w:r>
            <w:proofErr w:type="gramStart"/>
            <w:r>
              <w:rPr>
                <w:sz w:val="18"/>
                <w:szCs w:val="18"/>
              </w:rPr>
              <w:t>sounds  and</w:t>
            </w:r>
            <w:proofErr w:type="gramEnd"/>
            <w:r>
              <w:rPr>
                <w:sz w:val="18"/>
                <w:szCs w:val="18"/>
              </w:rPr>
              <w:t xml:space="preserve"> our tutors have continual training in this approach.</w:t>
            </w:r>
          </w:p>
          <w:p w14:paraId="60B01D7D" w14:textId="77777777" w:rsidR="006766EB" w:rsidRDefault="006766EB" w:rsidP="004563B0">
            <w:pPr>
              <w:pStyle w:val="TableRowCentered"/>
              <w:jc w:val="left"/>
              <w:rPr>
                <w:sz w:val="18"/>
                <w:szCs w:val="18"/>
              </w:rPr>
            </w:pPr>
          </w:p>
          <w:p w14:paraId="2A7D552A" w14:textId="2D6B4D12" w:rsidR="006766EB" w:rsidRPr="006766EB" w:rsidRDefault="006766EB" w:rsidP="004563B0">
            <w:pPr>
              <w:pStyle w:val="TableRowCentered"/>
              <w:jc w:val="left"/>
              <w:rPr>
                <w:color w:val="00B050"/>
                <w:sz w:val="18"/>
              </w:rPr>
            </w:pPr>
            <w:r>
              <w:rPr>
                <w:color w:val="00B050"/>
                <w:sz w:val="18"/>
                <w:szCs w:val="18"/>
              </w:rPr>
              <w:t>Continue as had impact last academic year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B" w14:textId="174B767A" w:rsidR="004563B0" w:rsidRDefault="004563B0" w:rsidP="004563B0">
            <w:pPr>
              <w:pStyle w:val="TableRowCentered"/>
              <w:jc w:val="left"/>
              <w:rPr>
                <w:sz w:val="22"/>
              </w:rPr>
            </w:pPr>
            <w:r w:rsidRPr="00F339A7">
              <w:rPr>
                <w:sz w:val="22"/>
              </w:rPr>
              <w:t>1, 2</w:t>
            </w:r>
          </w:p>
        </w:tc>
      </w:tr>
      <w:tr w:rsidR="004563B0" w14:paraId="44DB4B48"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BA93AF" w14:textId="6F12AD47" w:rsidR="004563B0" w:rsidRDefault="004563B0" w:rsidP="004563B0">
            <w:pPr>
              <w:pStyle w:val="TableRow"/>
              <w:rPr>
                <w:sz w:val="18"/>
                <w:szCs w:val="20"/>
              </w:rPr>
            </w:pPr>
            <w:r>
              <w:rPr>
                <w:sz w:val="18"/>
                <w:szCs w:val="20"/>
              </w:rPr>
              <w:t xml:space="preserve">Provide targeted </w:t>
            </w:r>
            <w:r w:rsidRPr="00F13C41">
              <w:rPr>
                <w:b/>
                <w:bCs/>
                <w:sz w:val="18"/>
                <w:szCs w:val="20"/>
              </w:rPr>
              <w:t>one-to-three maths tutoring</w:t>
            </w:r>
            <w:r>
              <w:rPr>
                <w:sz w:val="18"/>
                <w:szCs w:val="20"/>
              </w:rPr>
              <w:t xml:space="preserve"> for identified children in Year 5 and 6. This to be joint funded through the NTP subsidy and the recovery premium.</w:t>
            </w:r>
          </w:p>
          <w:p w14:paraId="1CC0A606" w14:textId="77777777" w:rsidR="004563B0" w:rsidRDefault="004563B0" w:rsidP="004563B0">
            <w:pPr>
              <w:pStyle w:val="TableRow"/>
              <w:rPr>
                <w:sz w:val="18"/>
                <w:szCs w:val="20"/>
              </w:rPr>
            </w:pPr>
          </w:p>
          <w:p w14:paraId="58938A7D" w14:textId="77777777" w:rsidR="004563B0" w:rsidRDefault="004563B0" w:rsidP="00CC2E0A">
            <w:pPr>
              <w:pStyle w:val="TableRow"/>
              <w:rPr>
                <w:i/>
                <w:sz w:val="18"/>
                <w:szCs w:val="20"/>
              </w:rPr>
            </w:pPr>
          </w:p>
          <w:p w14:paraId="0EBD1A65" w14:textId="77777777" w:rsidR="00305205" w:rsidRDefault="00305205" w:rsidP="00CC2E0A">
            <w:pPr>
              <w:pStyle w:val="TableRow"/>
              <w:rPr>
                <w:i/>
                <w:sz w:val="18"/>
                <w:szCs w:val="20"/>
              </w:rPr>
            </w:pPr>
          </w:p>
          <w:p w14:paraId="7C215F0C" w14:textId="77777777" w:rsidR="00305205" w:rsidRDefault="00305205" w:rsidP="00CC2E0A">
            <w:pPr>
              <w:pStyle w:val="TableRow"/>
              <w:rPr>
                <w:i/>
                <w:sz w:val="18"/>
                <w:szCs w:val="20"/>
              </w:rPr>
            </w:pPr>
          </w:p>
          <w:p w14:paraId="160116D7" w14:textId="77777777" w:rsidR="00305205" w:rsidRDefault="00305205" w:rsidP="00CC2E0A">
            <w:pPr>
              <w:pStyle w:val="TableRow"/>
              <w:rPr>
                <w:i/>
                <w:sz w:val="18"/>
                <w:szCs w:val="20"/>
              </w:rPr>
            </w:pPr>
          </w:p>
          <w:p w14:paraId="4BF99576" w14:textId="77777777" w:rsidR="00305205" w:rsidRDefault="00305205" w:rsidP="00CC2E0A">
            <w:pPr>
              <w:pStyle w:val="TableRow"/>
              <w:rPr>
                <w:i/>
                <w:sz w:val="18"/>
                <w:szCs w:val="20"/>
              </w:rPr>
            </w:pPr>
          </w:p>
          <w:p w14:paraId="0D99155B" w14:textId="72CB6908" w:rsidR="00305205" w:rsidRDefault="00305205" w:rsidP="00CC2E0A">
            <w:pPr>
              <w:pStyle w:val="TableRow"/>
              <w:rPr>
                <w:sz w:val="18"/>
                <w:szCs w:val="20"/>
              </w:rPr>
            </w:pPr>
            <w:r w:rsidRPr="00305205">
              <w:rPr>
                <w:i/>
                <w:color w:val="FF0000"/>
                <w:sz w:val="18"/>
                <w:szCs w:val="20"/>
              </w:rPr>
              <w:t>Cost - £4950</w:t>
            </w:r>
            <w:r>
              <w:rPr>
                <w:i/>
                <w:color w:val="FF0000"/>
                <w:sz w:val="18"/>
                <w:szCs w:val="20"/>
              </w:rPr>
              <w:t xml:space="preserve"> Recovery Funding</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28857" w14:textId="77777777" w:rsidR="004563B0" w:rsidRPr="00DD41DD" w:rsidRDefault="004563B0" w:rsidP="004563B0">
            <w:pPr>
              <w:pStyle w:val="TableRowCentered"/>
              <w:jc w:val="left"/>
              <w:rPr>
                <w:sz w:val="18"/>
                <w:szCs w:val="18"/>
              </w:rPr>
            </w:pPr>
            <w:r w:rsidRPr="00DD41DD">
              <w:rPr>
                <w:sz w:val="18"/>
                <w:szCs w:val="18"/>
              </w:rPr>
              <w:t xml:space="preserve">One-to-one tuition is highlighted by the EEF as having a significant positive impact </w:t>
            </w:r>
            <w:r>
              <w:rPr>
                <w:sz w:val="18"/>
                <w:szCs w:val="18"/>
              </w:rPr>
              <w:t xml:space="preserve">on pupil attainment </w:t>
            </w:r>
            <w:r w:rsidRPr="00DD41DD">
              <w:rPr>
                <w:sz w:val="18"/>
                <w:szCs w:val="18"/>
              </w:rPr>
              <w:t>(+5 months).</w:t>
            </w:r>
          </w:p>
          <w:p w14:paraId="10B52F93" w14:textId="77777777" w:rsidR="004563B0" w:rsidRPr="00DD41DD" w:rsidRDefault="004563B0" w:rsidP="004563B0">
            <w:pPr>
              <w:pStyle w:val="TableRowCentered"/>
              <w:jc w:val="left"/>
              <w:rPr>
                <w:sz w:val="18"/>
                <w:szCs w:val="18"/>
              </w:rPr>
            </w:pPr>
          </w:p>
          <w:p w14:paraId="27C77097" w14:textId="77777777" w:rsidR="00CC2E0A" w:rsidRDefault="004563B0" w:rsidP="004563B0">
            <w:pPr>
              <w:pStyle w:val="TableRowCentered"/>
              <w:jc w:val="left"/>
              <w:rPr>
                <w:sz w:val="18"/>
                <w:szCs w:val="18"/>
              </w:rPr>
            </w:pPr>
            <w:r>
              <w:rPr>
                <w:sz w:val="18"/>
                <w:szCs w:val="18"/>
              </w:rPr>
              <w:t xml:space="preserve">Through the NTP we are using a 1:3 approach. </w:t>
            </w:r>
          </w:p>
          <w:p w14:paraId="224B8D88" w14:textId="77777777" w:rsidR="00CC2E0A" w:rsidRDefault="004563B0" w:rsidP="004563B0">
            <w:pPr>
              <w:pStyle w:val="TableRowCentered"/>
              <w:jc w:val="left"/>
              <w:rPr>
                <w:sz w:val="18"/>
                <w:szCs w:val="18"/>
              </w:rPr>
            </w:pPr>
            <w:r>
              <w:rPr>
                <w:sz w:val="18"/>
                <w:szCs w:val="18"/>
              </w:rPr>
              <w:t>The EEF state, “</w:t>
            </w:r>
            <w:r w:rsidRPr="00B0451F">
              <w:rPr>
                <w:i/>
                <w:sz w:val="18"/>
                <w:szCs w:val="18"/>
              </w:rPr>
              <w:t>Approaches that … deliver instruction … in small groups rather than one to one have smaller positive effects, on average, but may be a cost-effective solution to providing targeted support</w:t>
            </w:r>
            <w:r w:rsidRPr="00DD41DD">
              <w:rPr>
                <w:sz w:val="18"/>
                <w:szCs w:val="18"/>
              </w:rPr>
              <w:t>.</w:t>
            </w:r>
            <w:r>
              <w:rPr>
                <w:sz w:val="18"/>
                <w:szCs w:val="18"/>
              </w:rPr>
              <w:t>”</w:t>
            </w:r>
            <w:r w:rsidRPr="00DD41DD">
              <w:rPr>
                <w:sz w:val="18"/>
                <w:szCs w:val="18"/>
              </w:rPr>
              <w:t xml:space="preserve"> (EEF Toolkit)</w:t>
            </w:r>
            <w:r>
              <w:rPr>
                <w:sz w:val="18"/>
                <w:szCs w:val="18"/>
              </w:rPr>
              <w:t xml:space="preserve">. </w:t>
            </w:r>
          </w:p>
          <w:p w14:paraId="11EED633" w14:textId="5F556063" w:rsidR="004563B0" w:rsidRDefault="00CC2E0A" w:rsidP="004563B0">
            <w:pPr>
              <w:pStyle w:val="TableRowCentered"/>
              <w:jc w:val="left"/>
              <w:rPr>
                <w:sz w:val="18"/>
                <w:szCs w:val="18"/>
              </w:rPr>
            </w:pPr>
            <w:r>
              <w:rPr>
                <w:sz w:val="18"/>
                <w:szCs w:val="18"/>
              </w:rPr>
              <w:t>The Tutor works directly with the class teachers to ensure planning is targeted and following the White Rose and NCETM catch up / curriculum.</w:t>
            </w:r>
          </w:p>
          <w:p w14:paraId="1B6271F2" w14:textId="77777777" w:rsidR="004563B0" w:rsidRDefault="004563B0" w:rsidP="004563B0">
            <w:pPr>
              <w:pStyle w:val="TableRowCentered"/>
              <w:jc w:val="left"/>
              <w:rPr>
                <w:sz w:val="18"/>
                <w:szCs w:val="18"/>
              </w:rPr>
            </w:pPr>
          </w:p>
          <w:p w14:paraId="33E6F44A" w14:textId="77777777" w:rsidR="006766EB" w:rsidRDefault="006766EB" w:rsidP="004563B0">
            <w:pPr>
              <w:pStyle w:val="TableRowCentered"/>
              <w:jc w:val="left"/>
              <w:rPr>
                <w:sz w:val="18"/>
                <w:szCs w:val="18"/>
              </w:rPr>
            </w:pPr>
          </w:p>
          <w:p w14:paraId="44D4F596" w14:textId="1A362C57" w:rsidR="006766EB" w:rsidRPr="00DD41DD" w:rsidRDefault="006766EB" w:rsidP="004563B0">
            <w:pPr>
              <w:pStyle w:val="TableRowCentered"/>
              <w:jc w:val="left"/>
              <w:rPr>
                <w:sz w:val="18"/>
                <w:szCs w:val="18"/>
              </w:rPr>
            </w:pPr>
            <w:r>
              <w:rPr>
                <w:color w:val="00B050"/>
                <w:sz w:val="18"/>
                <w:szCs w:val="18"/>
              </w:rPr>
              <w:t>Continue as had impact last academic year</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DE57CE" w14:textId="129C140F" w:rsidR="004563B0" w:rsidRPr="00F339A7" w:rsidRDefault="004563B0" w:rsidP="004563B0">
            <w:pPr>
              <w:pStyle w:val="TableRowCentered"/>
              <w:jc w:val="left"/>
              <w:rPr>
                <w:sz w:val="22"/>
              </w:rPr>
            </w:pPr>
            <w:r>
              <w:rPr>
                <w:sz w:val="22"/>
              </w:rPr>
              <w:t>1</w:t>
            </w:r>
          </w:p>
        </w:tc>
      </w:tr>
      <w:tr w:rsidR="00CC2E0A" w14:paraId="433884A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E735C3" w14:textId="77777777" w:rsidR="00CC2E0A" w:rsidRDefault="00CC2E0A" w:rsidP="00CC2E0A">
            <w:pPr>
              <w:pStyle w:val="TableRow"/>
              <w:rPr>
                <w:sz w:val="18"/>
                <w:szCs w:val="20"/>
              </w:rPr>
            </w:pPr>
            <w:r w:rsidRPr="00F339A7">
              <w:rPr>
                <w:b/>
                <w:sz w:val="18"/>
                <w:szCs w:val="20"/>
              </w:rPr>
              <w:t>HLTA</w:t>
            </w:r>
            <w:r w:rsidRPr="00044D33">
              <w:rPr>
                <w:sz w:val="18"/>
                <w:szCs w:val="20"/>
              </w:rPr>
              <w:t xml:space="preserve"> </w:t>
            </w:r>
            <w:r>
              <w:rPr>
                <w:sz w:val="18"/>
                <w:szCs w:val="20"/>
              </w:rPr>
              <w:t>for SEND identification and bespoke teaching and learning programmes.</w:t>
            </w:r>
          </w:p>
          <w:p w14:paraId="289B1F0B" w14:textId="77777777" w:rsidR="00CC2E0A" w:rsidRDefault="00CC2E0A" w:rsidP="00CC2E0A">
            <w:pPr>
              <w:pStyle w:val="TableRow"/>
              <w:rPr>
                <w:sz w:val="18"/>
                <w:szCs w:val="20"/>
              </w:rPr>
            </w:pPr>
          </w:p>
          <w:p w14:paraId="6A799470" w14:textId="11B446EE" w:rsidR="00CC2E0A" w:rsidRPr="00EB650C" w:rsidRDefault="00CC2E0A" w:rsidP="00F931A1">
            <w:pPr>
              <w:pStyle w:val="TableRow"/>
              <w:rPr>
                <w:sz w:val="18"/>
                <w:szCs w:val="18"/>
              </w:rPr>
            </w:pPr>
            <w:r w:rsidRPr="00B0451F">
              <w:rPr>
                <w:i/>
                <w:sz w:val="18"/>
                <w:szCs w:val="20"/>
              </w:rPr>
              <w:t xml:space="preserve">Cost </w:t>
            </w:r>
            <w:r w:rsidR="007B4EBB">
              <w:rPr>
                <w:i/>
                <w:sz w:val="18"/>
                <w:szCs w:val="20"/>
              </w:rPr>
              <w:t>–</w:t>
            </w:r>
            <w:r w:rsidRPr="00B0451F">
              <w:rPr>
                <w:i/>
                <w:sz w:val="18"/>
                <w:szCs w:val="20"/>
              </w:rPr>
              <w:t xml:space="preserve"> </w:t>
            </w:r>
            <w:r w:rsidR="007B4EBB">
              <w:rPr>
                <w:i/>
                <w:sz w:val="18"/>
                <w:szCs w:val="20"/>
              </w:rPr>
              <w:t>£</w:t>
            </w:r>
            <w:r w:rsidR="00F931A1">
              <w:rPr>
                <w:i/>
                <w:sz w:val="18"/>
                <w:szCs w:val="20"/>
              </w:rPr>
              <w:t>23,784</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BDAE2C" w14:textId="77777777" w:rsidR="00CC2E0A" w:rsidRDefault="00CC2E0A" w:rsidP="00CC2E0A">
            <w:pPr>
              <w:pStyle w:val="TableRowCentered"/>
              <w:jc w:val="left"/>
              <w:rPr>
                <w:sz w:val="18"/>
                <w:szCs w:val="18"/>
              </w:rPr>
            </w:pPr>
            <w:r w:rsidRPr="00DD41DD">
              <w:rPr>
                <w:sz w:val="18"/>
                <w:szCs w:val="18"/>
              </w:rPr>
              <w:t xml:space="preserve">Teaching Assistant interventions are highlighted by the EEF as </w:t>
            </w:r>
            <w:r>
              <w:rPr>
                <w:sz w:val="18"/>
                <w:szCs w:val="18"/>
              </w:rPr>
              <w:t xml:space="preserve">having a positive </w:t>
            </w:r>
            <w:r w:rsidRPr="00DD41DD">
              <w:rPr>
                <w:sz w:val="18"/>
                <w:szCs w:val="18"/>
              </w:rPr>
              <w:t>impact</w:t>
            </w:r>
            <w:r>
              <w:rPr>
                <w:sz w:val="18"/>
                <w:szCs w:val="18"/>
              </w:rPr>
              <w:t xml:space="preserve"> on pupil attainment</w:t>
            </w:r>
            <w:r w:rsidRPr="00DD41DD">
              <w:rPr>
                <w:sz w:val="18"/>
                <w:szCs w:val="18"/>
              </w:rPr>
              <w:t xml:space="preserve"> (+4 months).</w:t>
            </w:r>
          </w:p>
          <w:p w14:paraId="79CF941D" w14:textId="77777777" w:rsidR="00CC2E0A" w:rsidRDefault="00CC2E0A" w:rsidP="00CC2E0A">
            <w:pPr>
              <w:pStyle w:val="TableRowCentered"/>
              <w:jc w:val="left"/>
              <w:rPr>
                <w:sz w:val="18"/>
                <w:szCs w:val="18"/>
              </w:rPr>
            </w:pPr>
          </w:p>
          <w:p w14:paraId="6AAAFDCC" w14:textId="77777777" w:rsidR="00CC2E0A" w:rsidRDefault="00CC2E0A" w:rsidP="00CC2E0A">
            <w:pPr>
              <w:pStyle w:val="TableRowCentered"/>
              <w:jc w:val="left"/>
              <w:rPr>
                <w:sz w:val="18"/>
                <w:szCs w:val="18"/>
              </w:rPr>
            </w:pPr>
            <w:r>
              <w:rPr>
                <w:sz w:val="18"/>
                <w:szCs w:val="18"/>
              </w:rPr>
              <w:t>The EEF state, “</w:t>
            </w:r>
            <w:r w:rsidRPr="00B0451F">
              <w:rPr>
                <w:i/>
                <w:sz w:val="18"/>
                <w:szCs w:val="18"/>
              </w:rPr>
              <w:t>Targeted deployment, where teaching assistants are trained to deliver an intervention to small groups or individuals has a higher impact</w:t>
            </w:r>
            <w:r>
              <w:rPr>
                <w:sz w:val="18"/>
                <w:szCs w:val="18"/>
              </w:rPr>
              <w:t xml:space="preserve">”. </w:t>
            </w:r>
          </w:p>
          <w:p w14:paraId="5E03D3BF" w14:textId="370FD6AC" w:rsidR="00CC2E0A" w:rsidRDefault="00CC2E0A" w:rsidP="00CC2E0A">
            <w:pPr>
              <w:pStyle w:val="TableRowCentered"/>
              <w:jc w:val="left"/>
              <w:rPr>
                <w:sz w:val="18"/>
                <w:szCs w:val="18"/>
              </w:rPr>
            </w:pPr>
            <w:r>
              <w:rPr>
                <w:sz w:val="18"/>
                <w:szCs w:val="18"/>
              </w:rPr>
              <w:t xml:space="preserve">Our highly skilled HLTA is qualified to assess and support children with Dyslexia and cognition barriers to their learning. Bespoke 1:1 teaching programs are created and delivered. </w:t>
            </w:r>
          </w:p>
          <w:p w14:paraId="15A211BE" w14:textId="77777777" w:rsidR="00CC2E0A" w:rsidRDefault="00CC2E0A" w:rsidP="00CC2E0A">
            <w:pPr>
              <w:pStyle w:val="TableRowCentered"/>
              <w:jc w:val="left"/>
              <w:rPr>
                <w:sz w:val="18"/>
                <w:szCs w:val="18"/>
              </w:rPr>
            </w:pPr>
          </w:p>
          <w:p w14:paraId="0FD74A7C" w14:textId="77777777" w:rsidR="00CC2E0A" w:rsidRDefault="00CC2E0A" w:rsidP="00CC2E0A">
            <w:pPr>
              <w:pStyle w:val="TableRowCentered"/>
              <w:jc w:val="left"/>
              <w:rPr>
                <w:sz w:val="18"/>
                <w:szCs w:val="18"/>
              </w:rPr>
            </w:pPr>
            <w:r>
              <w:rPr>
                <w:sz w:val="18"/>
                <w:szCs w:val="18"/>
              </w:rPr>
              <w:t xml:space="preserve">Training provided to all staff and identified year groups to ensure that teaching and learning for the children is successful at all points in the school day. </w:t>
            </w:r>
          </w:p>
          <w:p w14:paraId="4183709A" w14:textId="77777777" w:rsidR="00E94331" w:rsidRDefault="00E94331" w:rsidP="00CC2E0A">
            <w:pPr>
              <w:pStyle w:val="TableRowCentered"/>
              <w:jc w:val="left"/>
              <w:rPr>
                <w:sz w:val="18"/>
                <w:szCs w:val="18"/>
              </w:rPr>
            </w:pPr>
          </w:p>
          <w:p w14:paraId="554073B7" w14:textId="223D10D5" w:rsidR="00E94331" w:rsidRPr="00E94331" w:rsidRDefault="00E94331" w:rsidP="00CC2E0A">
            <w:pPr>
              <w:pStyle w:val="TableRowCentered"/>
              <w:jc w:val="left"/>
              <w:rPr>
                <w:color w:val="00B050"/>
                <w:sz w:val="18"/>
              </w:rPr>
            </w:pPr>
            <w:r>
              <w:rPr>
                <w:color w:val="00B050"/>
                <w:sz w:val="18"/>
                <w:szCs w:val="18"/>
              </w:rPr>
              <w:lastRenderedPageBreak/>
              <w:t>2022 – HLTA role altered to focus on communication and interaction needs, especially in EYFS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A403F5" w14:textId="13180D5E" w:rsidR="00CC2E0A" w:rsidRDefault="00C33C01" w:rsidP="00CC2E0A">
            <w:pPr>
              <w:pStyle w:val="TableRowCentered"/>
              <w:jc w:val="left"/>
              <w:rPr>
                <w:sz w:val="22"/>
              </w:rPr>
            </w:pPr>
            <w:r>
              <w:rPr>
                <w:sz w:val="22"/>
              </w:rPr>
              <w:lastRenderedPageBreak/>
              <w:t>1,2,3,4</w:t>
            </w:r>
          </w:p>
        </w:tc>
      </w:tr>
      <w:tr w:rsidR="00E94331" w14:paraId="46857DC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7379B8" w14:textId="77777777" w:rsidR="00E94331" w:rsidRPr="00E94331" w:rsidRDefault="00E94331" w:rsidP="00CC2E0A">
            <w:pPr>
              <w:pStyle w:val="TableRow"/>
              <w:rPr>
                <w:b/>
                <w:color w:val="00B050"/>
                <w:sz w:val="18"/>
                <w:szCs w:val="20"/>
              </w:rPr>
            </w:pPr>
            <w:r w:rsidRPr="00E94331">
              <w:rPr>
                <w:b/>
                <w:color w:val="00B050"/>
                <w:sz w:val="18"/>
                <w:szCs w:val="20"/>
              </w:rPr>
              <w:t>HLTA for Speech and Language</w:t>
            </w:r>
          </w:p>
          <w:p w14:paraId="4E1CE7C2" w14:textId="09A9F6AF" w:rsidR="00E94331" w:rsidRDefault="00E94331" w:rsidP="00CC2E0A">
            <w:pPr>
              <w:pStyle w:val="TableRow"/>
              <w:rPr>
                <w:b/>
                <w:sz w:val="18"/>
                <w:szCs w:val="20"/>
              </w:rPr>
            </w:pPr>
          </w:p>
          <w:p w14:paraId="586947E7" w14:textId="04CCC5AE" w:rsidR="00E94331" w:rsidRPr="00E94331" w:rsidRDefault="00E94331" w:rsidP="00CC2E0A">
            <w:pPr>
              <w:pStyle w:val="TableRow"/>
              <w:rPr>
                <w:b/>
                <w:color w:val="00B050"/>
                <w:sz w:val="18"/>
                <w:szCs w:val="20"/>
              </w:rPr>
            </w:pPr>
            <w:r w:rsidRPr="00E94331">
              <w:rPr>
                <w:b/>
                <w:color w:val="00B050"/>
                <w:sz w:val="18"/>
                <w:szCs w:val="20"/>
              </w:rPr>
              <w:t xml:space="preserve">Cost: </w:t>
            </w:r>
          </w:p>
          <w:p w14:paraId="08936EF8" w14:textId="09F31943" w:rsidR="00E94331" w:rsidRPr="00F339A7" w:rsidRDefault="00E94331" w:rsidP="00CC2E0A">
            <w:pPr>
              <w:pStyle w:val="TableRow"/>
              <w:rPr>
                <w:b/>
                <w:sz w:val="18"/>
                <w:szCs w:val="20"/>
              </w:rPr>
            </w:pP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779879" w14:textId="77777777" w:rsidR="00E94331" w:rsidRDefault="00E94331" w:rsidP="00CC2E0A">
            <w:pPr>
              <w:pStyle w:val="TableRowCentered"/>
              <w:jc w:val="left"/>
              <w:rPr>
                <w:color w:val="00B050"/>
                <w:sz w:val="18"/>
                <w:szCs w:val="18"/>
              </w:rPr>
            </w:pPr>
            <w:r>
              <w:rPr>
                <w:color w:val="00B050"/>
                <w:sz w:val="18"/>
                <w:szCs w:val="18"/>
              </w:rPr>
              <w:t>2021 – 2022</w:t>
            </w:r>
            <w:r w:rsidRPr="00E94331">
              <w:rPr>
                <w:color w:val="00B050"/>
                <w:sz w:val="18"/>
                <w:szCs w:val="18"/>
              </w:rPr>
              <w:t xml:space="preserve">HLTA </w:t>
            </w:r>
            <w:r>
              <w:rPr>
                <w:color w:val="00B050"/>
                <w:sz w:val="18"/>
                <w:szCs w:val="18"/>
              </w:rPr>
              <w:t>trained in:</w:t>
            </w:r>
          </w:p>
          <w:p w14:paraId="228CD3ED" w14:textId="6D2BB2CF" w:rsidR="00E94331" w:rsidRDefault="00E94331" w:rsidP="00CC2E0A">
            <w:pPr>
              <w:pStyle w:val="TableRowCentered"/>
              <w:jc w:val="left"/>
              <w:rPr>
                <w:color w:val="00B050"/>
                <w:sz w:val="18"/>
                <w:szCs w:val="18"/>
              </w:rPr>
            </w:pPr>
            <w:r>
              <w:rPr>
                <w:color w:val="00B050"/>
                <w:sz w:val="18"/>
                <w:szCs w:val="18"/>
              </w:rPr>
              <w:t xml:space="preserve">***** </w:t>
            </w:r>
          </w:p>
          <w:p w14:paraId="4CC7B91E" w14:textId="1754AAD4" w:rsidR="00E94331" w:rsidRDefault="00E94331" w:rsidP="00CC2E0A">
            <w:pPr>
              <w:pStyle w:val="TableRowCentered"/>
              <w:jc w:val="left"/>
              <w:rPr>
                <w:color w:val="00B050"/>
                <w:sz w:val="18"/>
                <w:szCs w:val="18"/>
              </w:rPr>
            </w:pPr>
            <w:r>
              <w:rPr>
                <w:color w:val="00B050"/>
                <w:sz w:val="18"/>
                <w:szCs w:val="18"/>
              </w:rPr>
              <w:t>Training specific to use of language and vocabulary development in early years</w:t>
            </w:r>
          </w:p>
          <w:p w14:paraId="262A53F8" w14:textId="332F81E8" w:rsidR="00E94331" w:rsidRDefault="00E94331" w:rsidP="00CC2E0A">
            <w:pPr>
              <w:pStyle w:val="TableRowCentered"/>
              <w:jc w:val="left"/>
              <w:rPr>
                <w:color w:val="00B050"/>
                <w:sz w:val="18"/>
                <w:szCs w:val="18"/>
              </w:rPr>
            </w:pPr>
            <w:r>
              <w:rPr>
                <w:color w:val="00B050"/>
                <w:sz w:val="18"/>
                <w:szCs w:val="18"/>
              </w:rPr>
              <w:t>Makaton training</w:t>
            </w:r>
          </w:p>
          <w:p w14:paraId="40976DDC" w14:textId="75032B8B" w:rsidR="00E94331" w:rsidRDefault="00E94331" w:rsidP="00CC2E0A">
            <w:pPr>
              <w:pStyle w:val="TableRowCentered"/>
              <w:jc w:val="left"/>
              <w:rPr>
                <w:color w:val="00B050"/>
                <w:sz w:val="18"/>
                <w:szCs w:val="18"/>
              </w:rPr>
            </w:pPr>
          </w:p>
          <w:p w14:paraId="02B4BAEF" w14:textId="77777777" w:rsidR="00E94331" w:rsidRDefault="00E94331" w:rsidP="00CC2E0A">
            <w:pPr>
              <w:pStyle w:val="TableRowCentered"/>
              <w:jc w:val="left"/>
              <w:rPr>
                <w:color w:val="00B050"/>
                <w:sz w:val="18"/>
                <w:szCs w:val="18"/>
              </w:rPr>
            </w:pPr>
            <w:r>
              <w:rPr>
                <w:color w:val="00B050"/>
                <w:sz w:val="18"/>
                <w:szCs w:val="18"/>
              </w:rPr>
              <w:t>This academic year this role is to:</w:t>
            </w:r>
          </w:p>
          <w:p w14:paraId="15AA5F52" w14:textId="08835418" w:rsidR="00E94331" w:rsidRDefault="00E94331" w:rsidP="00E94331">
            <w:pPr>
              <w:pStyle w:val="TableRowCentered"/>
              <w:numPr>
                <w:ilvl w:val="0"/>
                <w:numId w:val="16"/>
              </w:numPr>
              <w:jc w:val="left"/>
              <w:rPr>
                <w:color w:val="00B050"/>
                <w:sz w:val="18"/>
                <w:szCs w:val="18"/>
              </w:rPr>
            </w:pPr>
            <w:r>
              <w:rPr>
                <w:color w:val="00B050"/>
                <w:sz w:val="18"/>
                <w:szCs w:val="18"/>
              </w:rPr>
              <w:t>support the early identification of need</w:t>
            </w:r>
          </w:p>
          <w:p w14:paraId="313DE267" w14:textId="4EB2032F" w:rsidR="00E94331" w:rsidRDefault="00E94331" w:rsidP="00E94331">
            <w:pPr>
              <w:pStyle w:val="TableRowCentered"/>
              <w:numPr>
                <w:ilvl w:val="0"/>
                <w:numId w:val="16"/>
              </w:numPr>
              <w:jc w:val="left"/>
              <w:rPr>
                <w:color w:val="00B050"/>
                <w:sz w:val="18"/>
                <w:szCs w:val="18"/>
              </w:rPr>
            </w:pPr>
            <w:r>
              <w:rPr>
                <w:color w:val="00B050"/>
                <w:sz w:val="18"/>
                <w:szCs w:val="18"/>
              </w:rPr>
              <w:t>support adapted provision and staff planning for individual children</w:t>
            </w:r>
          </w:p>
          <w:p w14:paraId="763A8C89" w14:textId="082AEC2E" w:rsidR="00E94331" w:rsidRDefault="00E94331" w:rsidP="00E94331">
            <w:pPr>
              <w:pStyle w:val="TableRowCentered"/>
              <w:numPr>
                <w:ilvl w:val="0"/>
                <w:numId w:val="16"/>
              </w:numPr>
              <w:jc w:val="left"/>
              <w:rPr>
                <w:color w:val="00B050"/>
                <w:sz w:val="18"/>
                <w:szCs w:val="18"/>
              </w:rPr>
            </w:pPr>
            <w:r>
              <w:rPr>
                <w:color w:val="00B050"/>
                <w:sz w:val="18"/>
                <w:szCs w:val="18"/>
              </w:rPr>
              <w:t xml:space="preserve">training delivered to staff to aid early identification and </w:t>
            </w:r>
            <w:r w:rsidR="007E3FB2">
              <w:rPr>
                <w:color w:val="00B050"/>
                <w:sz w:val="18"/>
                <w:szCs w:val="18"/>
              </w:rPr>
              <w:t>implementation</w:t>
            </w:r>
          </w:p>
          <w:p w14:paraId="71B351B6" w14:textId="6BF3EB0A" w:rsidR="007E3FB2" w:rsidRDefault="007E3FB2" w:rsidP="00E94331">
            <w:pPr>
              <w:pStyle w:val="TableRowCentered"/>
              <w:numPr>
                <w:ilvl w:val="0"/>
                <w:numId w:val="16"/>
              </w:numPr>
              <w:jc w:val="left"/>
              <w:rPr>
                <w:color w:val="00B050"/>
                <w:sz w:val="18"/>
                <w:szCs w:val="18"/>
              </w:rPr>
            </w:pPr>
            <w:r>
              <w:rPr>
                <w:color w:val="00B050"/>
                <w:sz w:val="18"/>
                <w:szCs w:val="18"/>
              </w:rPr>
              <w:t>Monitor and evaluate impact of strategies</w:t>
            </w:r>
          </w:p>
          <w:p w14:paraId="1B14E328" w14:textId="61601222" w:rsidR="00E94331" w:rsidRPr="007E3FB2" w:rsidRDefault="007E3FB2" w:rsidP="007E3FB2">
            <w:pPr>
              <w:pStyle w:val="TableRowCentered"/>
              <w:numPr>
                <w:ilvl w:val="0"/>
                <w:numId w:val="16"/>
              </w:numPr>
              <w:jc w:val="left"/>
              <w:rPr>
                <w:color w:val="00B050"/>
                <w:sz w:val="18"/>
                <w:szCs w:val="18"/>
              </w:rPr>
            </w:pPr>
            <w:r>
              <w:rPr>
                <w:color w:val="00B050"/>
                <w:sz w:val="18"/>
                <w:szCs w:val="18"/>
              </w:rPr>
              <w:t>Work with outside agencies</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B5B3ED1" w14:textId="77777777" w:rsidR="00E94331" w:rsidRDefault="00E94331" w:rsidP="00CC2E0A">
            <w:pPr>
              <w:pStyle w:val="TableRowCentered"/>
              <w:jc w:val="left"/>
              <w:rPr>
                <w:sz w:val="22"/>
              </w:rPr>
            </w:pPr>
          </w:p>
        </w:tc>
      </w:tr>
      <w:tr w:rsidR="00C33C01" w14:paraId="2A7D5530"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77C5F2" w14:textId="77777777" w:rsidR="00C33C01" w:rsidRDefault="00C33C01" w:rsidP="00C33C01">
            <w:pPr>
              <w:pStyle w:val="TableRow"/>
              <w:rPr>
                <w:rStyle w:val="eop"/>
                <w:rFonts w:cs="Arial"/>
                <w:color w:val="000000"/>
                <w:sz w:val="18"/>
                <w:szCs w:val="18"/>
                <w:shd w:val="clear" w:color="auto" w:fill="FFFFFF"/>
              </w:rPr>
            </w:pPr>
            <w:r>
              <w:rPr>
                <w:rStyle w:val="normaltextrun"/>
                <w:rFonts w:cs="Arial"/>
                <w:color w:val="000000"/>
                <w:sz w:val="18"/>
                <w:szCs w:val="18"/>
                <w:shd w:val="clear" w:color="auto" w:fill="FFFFFF"/>
              </w:rPr>
              <w:t>Continue to provide </w:t>
            </w:r>
            <w:r>
              <w:rPr>
                <w:rStyle w:val="normaltextrun"/>
                <w:rFonts w:cs="Arial"/>
                <w:b/>
                <w:bCs/>
                <w:color w:val="000000"/>
                <w:sz w:val="18"/>
                <w:szCs w:val="18"/>
                <w:shd w:val="clear" w:color="auto" w:fill="FFFFFF"/>
              </w:rPr>
              <w:t>Reading Plus </w:t>
            </w:r>
            <w:r>
              <w:rPr>
                <w:rStyle w:val="normaltextrun"/>
                <w:rFonts w:cs="Arial"/>
                <w:color w:val="000000"/>
                <w:sz w:val="18"/>
                <w:szCs w:val="18"/>
                <w:shd w:val="clear" w:color="auto" w:fill="FFFFFF"/>
              </w:rPr>
              <w:t>as effective targeted support in reading comprehension in KS2.</w:t>
            </w:r>
            <w:r>
              <w:rPr>
                <w:rStyle w:val="eop"/>
                <w:rFonts w:cs="Arial"/>
                <w:color w:val="000000"/>
                <w:sz w:val="18"/>
                <w:szCs w:val="18"/>
                <w:shd w:val="clear" w:color="auto" w:fill="FFFFFF"/>
              </w:rPr>
              <w:t> </w:t>
            </w:r>
          </w:p>
          <w:p w14:paraId="76F1D530" w14:textId="77777777" w:rsidR="00C33C01" w:rsidRDefault="00C33C01" w:rsidP="00C33C01">
            <w:pPr>
              <w:pStyle w:val="TableRow"/>
              <w:rPr>
                <w:rStyle w:val="eop"/>
                <w:rFonts w:cs="Arial"/>
                <w:color w:val="000000"/>
                <w:sz w:val="18"/>
                <w:szCs w:val="18"/>
                <w:shd w:val="clear" w:color="auto" w:fill="FFFFFF"/>
              </w:rPr>
            </w:pPr>
          </w:p>
          <w:p w14:paraId="2A7D552D" w14:textId="33551C30" w:rsidR="00C33C01" w:rsidRPr="00EB650C" w:rsidRDefault="00C33C01" w:rsidP="00C33C01">
            <w:pPr>
              <w:pStyle w:val="TableRow"/>
              <w:ind w:left="0"/>
              <w:rPr>
                <w:sz w:val="18"/>
                <w:szCs w:val="18"/>
              </w:rPr>
            </w:pPr>
            <w:r w:rsidRPr="00B0451F">
              <w:rPr>
                <w:rStyle w:val="eop"/>
                <w:rFonts w:cs="Arial"/>
                <w:i/>
                <w:color w:val="000000"/>
                <w:sz w:val="18"/>
                <w:szCs w:val="18"/>
                <w:shd w:val="clear" w:color="auto" w:fill="FFFFFF"/>
              </w:rPr>
              <w:t>Cost -</w:t>
            </w:r>
            <w:r w:rsidR="007B4EBB">
              <w:rPr>
                <w:rStyle w:val="eop"/>
                <w:rFonts w:cs="Arial"/>
                <w:i/>
                <w:color w:val="000000"/>
                <w:sz w:val="18"/>
                <w:szCs w:val="18"/>
                <w:shd w:val="clear" w:color="auto" w:fill="FFFFFF"/>
              </w:rPr>
              <w:t>£7750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6F0543" w14:textId="1AA27AD9" w:rsidR="00C33C01" w:rsidRPr="00B93877" w:rsidRDefault="00C33C01" w:rsidP="00C33C01">
            <w:pPr>
              <w:pStyle w:val="TableRowCentered"/>
              <w:jc w:val="left"/>
              <w:rPr>
                <w:sz w:val="18"/>
                <w:szCs w:val="18"/>
              </w:rPr>
            </w:pPr>
            <w:r w:rsidRPr="00B93877">
              <w:rPr>
                <w:sz w:val="18"/>
                <w:szCs w:val="18"/>
              </w:rPr>
              <w:t>Reading Comprehension</w:t>
            </w:r>
            <w:r>
              <w:rPr>
                <w:sz w:val="18"/>
                <w:szCs w:val="18"/>
              </w:rPr>
              <w:t xml:space="preserve"> and fluency</w:t>
            </w:r>
            <w:r w:rsidRPr="00B93877">
              <w:rPr>
                <w:sz w:val="18"/>
                <w:szCs w:val="18"/>
              </w:rPr>
              <w:t xml:space="preserve"> strategies are highlighted by the EEF as having a significant positive impact on pupil attainment (+6 months). </w:t>
            </w:r>
          </w:p>
          <w:p w14:paraId="1E77E208" w14:textId="77777777" w:rsidR="00C33C01" w:rsidRDefault="00C33C01" w:rsidP="00C33C01">
            <w:pPr>
              <w:pStyle w:val="TableRowCentered"/>
              <w:jc w:val="left"/>
              <w:rPr>
                <w:sz w:val="18"/>
                <w:szCs w:val="18"/>
              </w:rPr>
            </w:pPr>
          </w:p>
          <w:p w14:paraId="294F45F4" w14:textId="1D4A0868" w:rsidR="00C33C01" w:rsidRDefault="00C33C01" w:rsidP="00C33C01">
            <w:pPr>
              <w:pStyle w:val="TableRowCentered"/>
              <w:jc w:val="left"/>
              <w:rPr>
                <w:sz w:val="18"/>
                <w:szCs w:val="18"/>
              </w:rPr>
            </w:pPr>
            <w:r w:rsidRPr="00C33C01">
              <w:rPr>
                <w:sz w:val="18"/>
                <w:szCs w:val="18"/>
              </w:rPr>
              <w:t>Accelerate readin</w:t>
            </w:r>
            <w:r>
              <w:rPr>
                <w:sz w:val="18"/>
                <w:szCs w:val="18"/>
              </w:rPr>
              <w:t>g achievement through personalis</w:t>
            </w:r>
            <w:r w:rsidRPr="00C33C01">
              <w:rPr>
                <w:sz w:val="18"/>
                <w:szCs w:val="18"/>
              </w:rPr>
              <w:t>ed instruction and intervention</w:t>
            </w:r>
            <w:r>
              <w:rPr>
                <w:sz w:val="18"/>
                <w:szCs w:val="18"/>
              </w:rPr>
              <w:t xml:space="preserve"> for all children. </w:t>
            </w:r>
          </w:p>
          <w:p w14:paraId="57D6DCE3" w14:textId="77777777" w:rsidR="00C33C01" w:rsidRPr="00B93877" w:rsidRDefault="00C33C01" w:rsidP="00C33C01">
            <w:pPr>
              <w:pStyle w:val="TableRowCentered"/>
              <w:jc w:val="left"/>
              <w:rPr>
                <w:sz w:val="18"/>
                <w:szCs w:val="18"/>
              </w:rPr>
            </w:pPr>
            <w:r w:rsidRPr="00B93877">
              <w:rPr>
                <w:sz w:val="18"/>
                <w:szCs w:val="18"/>
              </w:rPr>
              <w:t xml:space="preserve">Reading Plus also offer case studies to support the efficacy of their intervention </w:t>
            </w:r>
            <w:hyperlink r:id="rId9" w:history="1">
              <w:r w:rsidRPr="00B93877">
                <w:rPr>
                  <w:rStyle w:val="Hyperlink"/>
                  <w:sz w:val="18"/>
                  <w:szCs w:val="18"/>
                </w:rPr>
                <w:t>here.</w:t>
              </w:r>
            </w:hyperlink>
            <w:r w:rsidRPr="00B93877">
              <w:rPr>
                <w:sz w:val="18"/>
                <w:szCs w:val="18"/>
              </w:rPr>
              <w:t xml:space="preserve"> </w:t>
            </w:r>
          </w:p>
          <w:p w14:paraId="2A7D552E" w14:textId="49B47165" w:rsidR="00C33C01" w:rsidRPr="00455CB9" w:rsidRDefault="00C33C01" w:rsidP="00C33C01">
            <w:pPr>
              <w:pStyle w:val="TableRowCentered"/>
              <w:jc w:val="left"/>
              <w:rPr>
                <w:sz w:val="18"/>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2F" w14:textId="68E4CFB3" w:rsidR="00C33C01" w:rsidRDefault="00C33C01" w:rsidP="00C33C01">
            <w:pPr>
              <w:pStyle w:val="TableRowCentered"/>
              <w:jc w:val="left"/>
              <w:rPr>
                <w:sz w:val="22"/>
              </w:rPr>
            </w:pPr>
            <w:r>
              <w:rPr>
                <w:sz w:val="22"/>
              </w:rPr>
              <w:t>2, 3</w:t>
            </w:r>
          </w:p>
        </w:tc>
      </w:tr>
      <w:tr w:rsidR="00C33C01" w14:paraId="5E62A843"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34F215" w14:textId="77777777" w:rsidR="00C33C01" w:rsidRDefault="00C33C01" w:rsidP="00C33C01">
            <w:pPr>
              <w:pStyle w:val="TableRow"/>
              <w:rPr>
                <w:rStyle w:val="normaltextrun"/>
                <w:rFonts w:cs="Arial"/>
                <w:color w:val="000000"/>
                <w:sz w:val="18"/>
                <w:szCs w:val="20"/>
                <w:shd w:val="clear" w:color="auto" w:fill="FFFFFF"/>
              </w:rPr>
            </w:pPr>
            <w:r w:rsidRPr="00044D33">
              <w:rPr>
                <w:sz w:val="18"/>
                <w:szCs w:val="20"/>
              </w:rPr>
              <w:t xml:space="preserve">Purchase additional </w:t>
            </w:r>
            <w:r w:rsidRPr="00044D33">
              <w:rPr>
                <w:b/>
                <w:sz w:val="18"/>
                <w:szCs w:val="20"/>
              </w:rPr>
              <w:t>Educational Phycologist</w:t>
            </w:r>
            <w:r w:rsidRPr="00044D33">
              <w:rPr>
                <w:sz w:val="18"/>
                <w:szCs w:val="20"/>
              </w:rPr>
              <w:t xml:space="preserve"> time (adobe the standard Trust SLA level) </w:t>
            </w:r>
            <w:r w:rsidRPr="00044D33">
              <w:rPr>
                <w:rStyle w:val="normaltextrun"/>
                <w:rFonts w:cs="Arial"/>
                <w:color w:val="000000"/>
                <w:sz w:val="18"/>
                <w:szCs w:val="20"/>
                <w:shd w:val="clear" w:color="auto" w:fill="FFFFFF"/>
              </w:rPr>
              <w:t>to provide teachers of children with additional education needs access to expert guidance to improve their provision for these pupils.</w:t>
            </w:r>
          </w:p>
          <w:p w14:paraId="6437C367" w14:textId="77777777" w:rsidR="00C33C01" w:rsidRPr="00916463" w:rsidRDefault="00C33C01" w:rsidP="00C33C01">
            <w:pPr>
              <w:pStyle w:val="TableRow"/>
              <w:rPr>
                <w:rStyle w:val="normaltextrun"/>
                <w:rFonts w:cs="Arial"/>
                <w:color w:val="000000"/>
                <w:sz w:val="18"/>
                <w:shd w:val="clear" w:color="auto" w:fill="FFFFFF"/>
              </w:rPr>
            </w:pPr>
          </w:p>
          <w:p w14:paraId="74A3A7CC" w14:textId="542C3BD4" w:rsidR="00C33C01" w:rsidRDefault="00C33C01" w:rsidP="00485C22">
            <w:pPr>
              <w:pStyle w:val="TableRow"/>
              <w:ind w:left="0"/>
              <w:rPr>
                <w:sz w:val="18"/>
                <w:szCs w:val="18"/>
              </w:rPr>
            </w:pPr>
            <w:r w:rsidRPr="00511D6F">
              <w:rPr>
                <w:rStyle w:val="normaltextrun"/>
                <w:rFonts w:cs="Arial"/>
                <w:i/>
                <w:color w:val="000000"/>
                <w:sz w:val="18"/>
                <w:highlight w:val="yellow"/>
                <w:shd w:val="clear" w:color="auto" w:fill="FFFFFF"/>
              </w:rPr>
              <w:t xml:space="preserve">Cost - </w:t>
            </w:r>
            <w:r w:rsidR="00F931A1" w:rsidRPr="00511D6F">
              <w:rPr>
                <w:rStyle w:val="normaltextrun"/>
                <w:rFonts w:cs="Arial"/>
                <w:i/>
                <w:color w:val="000000"/>
                <w:sz w:val="18"/>
                <w:highlight w:val="yellow"/>
                <w:shd w:val="clear" w:color="auto" w:fill="FFFFFF"/>
              </w:rPr>
              <w:t>£</w:t>
            </w:r>
            <w:r w:rsidR="00485C22" w:rsidRPr="00511D6F">
              <w:rPr>
                <w:rStyle w:val="normaltextrun"/>
                <w:rFonts w:cs="Arial"/>
                <w:i/>
                <w:color w:val="000000"/>
                <w:sz w:val="18"/>
                <w:highlight w:val="yellow"/>
                <w:shd w:val="clear" w:color="auto" w:fill="FFFFFF"/>
              </w:rPr>
              <w:t>30,000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2363EF" w14:textId="77777777" w:rsidR="00C33C01" w:rsidRDefault="00C33C01" w:rsidP="00C33C01">
            <w:pPr>
              <w:pStyle w:val="TableRowCentered"/>
              <w:jc w:val="left"/>
              <w:rPr>
                <w:sz w:val="18"/>
                <w:szCs w:val="18"/>
              </w:rPr>
            </w:pPr>
            <w:r>
              <w:rPr>
                <w:sz w:val="18"/>
                <w:szCs w:val="18"/>
              </w:rPr>
              <w:t>The EEF SEN in Mainstream School research reports recommends that schools “</w:t>
            </w:r>
            <w:r w:rsidRPr="00A81DE7">
              <w:rPr>
                <w:i/>
                <w:sz w:val="18"/>
                <w:szCs w:val="18"/>
              </w:rPr>
              <w:t>build an ongoing, holistic understanding of your pupils and their needs</w:t>
            </w:r>
            <w:r>
              <w:rPr>
                <w:sz w:val="18"/>
                <w:szCs w:val="18"/>
              </w:rPr>
              <w:t xml:space="preserve">”. </w:t>
            </w:r>
          </w:p>
          <w:p w14:paraId="4569397E" w14:textId="74BDD237" w:rsidR="00C33C01" w:rsidRPr="00455CB9" w:rsidRDefault="00C33C01" w:rsidP="00C33C01">
            <w:pPr>
              <w:pStyle w:val="TableRowCentered"/>
              <w:jc w:val="left"/>
              <w:rPr>
                <w:sz w:val="18"/>
              </w:rPr>
            </w:pPr>
            <w:r>
              <w:rPr>
                <w:sz w:val="18"/>
                <w:szCs w:val="18"/>
              </w:rPr>
              <w:t xml:space="preserve">As we have a large number of children with complex needs, purchasing additional EP time allows to ensure more disadvantaged children with SEND to be seen by an EP. This means teachers can get a better understanding of their children’s needs and can put in places bespoke strategies to raise attainment for individuals.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0CF5E54" w14:textId="31368BA1" w:rsidR="00C33C01" w:rsidRDefault="00C33C01" w:rsidP="00C33C01">
            <w:pPr>
              <w:pStyle w:val="TableRowCentered"/>
              <w:jc w:val="left"/>
              <w:rPr>
                <w:sz w:val="22"/>
              </w:rPr>
            </w:pPr>
            <w:r w:rsidRPr="00F339A7">
              <w:rPr>
                <w:sz w:val="22"/>
              </w:rPr>
              <w:t>4</w:t>
            </w:r>
          </w:p>
        </w:tc>
      </w:tr>
      <w:tr w:rsidR="00C33C01" w14:paraId="648C8324"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DED2AC" w14:textId="62FCB068" w:rsidR="00215D73" w:rsidRDefault="00F03E01" w:rsidP="00215D73">
            <w:pPr>
              <w:pStyle w:val="TableRow"/>
              <w:ind w:left="0"/>
              <w:rPr>
                <w:sz w:val="18"/>
                <w:szCs w:val="18"/>
              </w:rPr>
            </w:pPr>
            <w:r>
              <w:rPr>
                <w:sz w:val="18"/>
                <w:szCs w:val="18"/>
              </w:rPr>
              <w:t xml:space="preserve">Purchase assessment and therapy from </w:t>
            </w:r>
            <w:r w:rsidR="00C33C01" w:rsidRPr="00F03E01">
              <w:rPr>
                <w:b/>
                <w:sz w:val="18"/>
                <w:szCs w:val="18"/>
              </w:rPr>
              <w:t>Future Steps</w:t>
            </w:r>
            <w:r>
              <w:rPr>
                <w:sz w:val="18"/>
                <w:szCs w:val="18"/>
              </w:rPr>
              <w:t xml:space="preserve"> </w:t>
            </w:r>
            <w:r w:rsidR="00EE2CC5">
              <w:rPr>
                <w:sz w:val="18"/>
                <w:szCs w:val="18"/>
              </w:rPr>
              <w:t xml:space="preserve">for individual children with extreme barriers to learning around sensory processing and sensory attachment needs. </w:t>
            </w:r>
            <w:r w:rsidR="00215D73" w:rsidRPr="00215D73">
              <w:rPr>
                <w:sz w:val="18"/>
                <w:szCs w:val="18"/>
              </w:rPr>
              <w:t xml:space="preserve"> </w:t>
            </w:r>
          </w:p>
          <w:p w14:paraId="71A67C1E" w14:textId="77777777" w:rsidR="00215D73" w:rsidRDefault="00215D73" w:rsidP="00215D73">
            <w:pPr>
              <w:pStyle w:val="TableRow"/>
              <w:ind w:left="0"/>
              <w:rPr>
                <w:sz w:val="18"/>
                <w:szCs w:val="18"/>
              </w:rPr>
            </w:pPr>
          </w:p>
          <w:p w14:paraId="698A96B9" w14:textId="18B54AB6" w:rsidR="00F03E01" w:rsidRDefault="00F03E01" w:rsidP="00485C22">
            <w:pPr>
              <w:pStyle w:val="TableRow"/>
              <w:ind w:left="0"/>
              <w:rPr>
                <w:sz w:val="18"/>
                <w:szCs w:val="18"/>
              </w:rPr>
            </w:pPr>
            <w:r w:rsidRPr="00511D6F">
              <w:rPr>
                <w:sz w:val="18"/>
                <w:szCs w:val="18"/>
                <w:highlight w:val="yellow"/>
              </w:rPr>
              <w:t>Cost:</w:t>
            </w:r>
            <w:r w:rsidR="00114136" w:rsidRPr="00511D6F">
              <w:rPr>
                <w:sz w:val="18"/>
                <w:szCs w:val="18"/>
                <w:highlight w:val="yellow"/>
              </w:rPr>
              <w:t xml:space="preserve"> £</w:t>
            </w:r>
            <w:r w:rsidR="00485C22" w:rsidRPr="00511D6F">
              <w:rPr>
                <w:sz w:val="18"/>
                <w:szCs w:val="18"/>
                <w:highlight w:val="yellow"/>
              </w:rPr>
              <w:t>14,300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8ACCA1" w14:textId="741A9F08" w:rsidR="00EE2CC5" w:rsidRDefault="00826065" w:rsidP="00315008">
            <w:pPr>
              <w:pStyle w:val="TableRowCentered"/>
              <w:ind w:left="0"/>
              <w:jc w:val="left"/>
              <w:rPr>
                <w:sz w:val="18"/>
              </w:rPr>
            </w:pPr>
            <w:r>
              <w:rPr>
                <w:sz w:val="18"/>
              </w:rPr>
              <w:t>School refer to</w:t>
            </w:r>
            <w:r w:rsidR="00EE2CC5">
              <w:rPr>
                <w:sz w:val="18"/>
              </w:rPr>
              <w:t xml:space="preserve"> the service on occasions where presenting sensory needs are so extreme that they are </w:t>
            </w:r>
            <w:r>
              <w:rPr>
                <w:sz w:val="18"/>
              </w:rPr>
              <w:t>affecting</w:t>
            </w:r>
            <w:r w:rsidR="00EE2CC5">
              <w:rPr>
                <w:sz w:val="18"/>
              </w:rPr>
              <w:t xml:space="preserve"> the child’s ability </w:t>
            </w:r>
            <w:r>
              <w:rPr>
                <w:sz w:val="18"/>
              </w:rPr>
              <w:t xml:space="preserve">to access all aspects of their life. </w:t>
            </w:r>
          </w:p>
          <w:p w14:paraId="04C513E6" w14:textId="2175E93E" w:rsidR="00F03E01" w:rsidRPr="00455CB9" w:rsidRDefault="00EE2CC5" w:rsidP="00826065">
            <w:pPr>
              <w:pStyle w:val="TableRowCentered"/>
              <w:ind w:left="0"/>
              <w:jc w:val="left"/>
              <w:rPr>
                <w:sz w:val="18"/>
              </w:rPr>
            </w:pPr>
            <w:r w:rsidRPr="00EE2CC5">
              <w:rPr>
                <w:sz w:val="18"/>
              </w:rPr>
              <w:t xml:space="preserve">Occupational Therapy assessments are essential to understanding a person’s sensory processing and motor challenges, how they </w:t>
            </w:r>
            <w:r w:rsidR="00826065" w:rsidRPr="00EE2CC5">
              <w:rPr>
                <w:sz w:val="18"/>
              </w:rPr>
              <w:t>affect</w:t>
            </w:r>
            <w:r w:rsidRPr="00EE2CC5">
              <w:rPr>
                <w:sz w:val="18"/>
              </w:rPr>
              <w:t xml:space="preserve"> life and are vital to forming strategies and treatment plans to support development of these areas</w:t>
            </w:r>
            <w:r w:rsidR="00826065">
              <w:rPr>
                <w:sz w:val="18"/>
              </w:rPr>
              <w:t xml:space="preserve"> and to begin to be able to engage positively in education and the wider world. </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99061F" w14:textId="080F11B7" w:rsidR="00C33C01" w:rsidRDefault="00315008" w:rsidP="00C33C01">
            <w:pPr>
              <w:pStyle w:val="TableRowCentered"/>
              <w:jc w:val="left"/>
              <w:rPr>
                <w:sz w:val="22"/>
              </w:rPr>
            </w:pPr>
            <w:r>
              <w:rPr>
                <w:sz w:val="22"/>
              </w:rPr>
              <w:t xml:space="preserve">4 </w:t>
            </w:r>
            <w:r w:rsidR="00C93126">
              <w:rPr>
                <w:sz w:val="22"/>
              </w:rPr>
              <w:t>5</w:t>
            </w:r>
          </w:p>
        </w:tc>
      </w:tr>
      <w:tr w:rsidR="00C33C01" w14:paraId="301CF09F"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EA59CA1" w14:textId="77777777" w:rsidR="00C33C01" w:rsidRDefault="00C33C01" w:rsidP="00C33C01">
            <w:pPr>
              <w:pStyle w:val="TableRow"/>
              <w:ind w:left="0"/>
              <w:rPr>
                <w:sz w:val="18"/>
                <w:szCs w:val="18"/>
              </w:rPr>
            </w:pPr>
            <w:r>
              <w:rPr>
                <w:sz w:val="18"/>
                <w:szCs w:val="18"/>
              </w:rPr>
              <w:t>Speech and Language Therapy service</w:t>
            </w:r>
            <w:r w:rsidR="0073624A">
              <w:rPr>
                <w:sz w:val="18"/>
                <w:szCs w:val="18"/>
              </w:rPr>
              <w:t xml:space="preserve">. </w:t>
            </w:r>
          </w:p>
          <w:p w14:paraId="31D824BD" w14:textId="77777777" w:rsidR="0073624A" w:rsidRDefault="0073624A" w:rsidP="00C33C01">
            <w:pPr>
              <w:pStyle w:val="TableRow"/>
              <w:ind w:left="0"/>
              <w:rPr>
                <w:sz w:val="18"/>
                <w:szCs w:val="18"/>
              </w:rPr>
            </w:pPr>
            <w:r>
              <w:rPr>
                <w:sz w:val="18"/>
                <w:szCs w:val="18"/>
              </w:rPr>
              <w:t>Specialist assessments and 1:1 support for children in school.</w:t>
            </w:r>
          </w:p>
          <w:p w14:paraId="532E9E09" w14:textId="77777777" w:rsidR="00114136" w:rsidRDefault="00114136" w:rsidP="00C33C01">
            <w:pPr>
              <w:pStyle w:val="TableRow"/>
              <w:ind w:left="0"/>
              <w:rPr>
                <w:sz w:val="18"/>
                <w:szCs w:val="18"/>
              </w:rPr>
            </w:pPr>
          </w:p>
          <w:p w14:paraId="68B91D81" w14:textId="6465485F" w:rsidR="00511D6F" w:rsidRPr="00217811" w:rsidRDefault="00114136" w:rsidP="00485C22">
            <w:pPr>
              <w:pStyle w:val="TableRow"/>
              <w:ind w:left="0"/>
              <w:rPr>
                <w:sz w:val="18"/>
                <w:szCs w:val="18"/>
              </w:rPr>
            </w:pPr>
            <w:r w:rsidRPr="00511D6F">
              <w:rPr>
                <w:sz w:val="18"/>
                <w:szCs w:val="18"/>
                <w:highlight w:val="yellow"/>
              </w:rPr>
              <w:t xml:space="preserve">Cost: </w:t>
            </w:r>
            <w:r w:rsidR="00F931A1" w:rsidRPr="00511D6F">
              <w:rPr>
                <w:sz w:val="18"/>
                <w:szCs w:val="18"/>
                <w:highlight w:val="yellow"/>
              </w:rPr>
              <w:t>£</w:t>
            </w:r>
            <w:r w:rsidR="00485C22" w:rsidRPr="00511D6F">
              <w:rPr>
                <w:sz w:val="18"/>
                <w:szCs w:val="18"/>
                <w:highlight w:val="yellow"/>
              </w:rPr>
              <w:t>10,000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6499F6" w14:textId="77777777" w:rsidR="00C33C01" w:rsidRDefault="0073624A" w:rsidP="0073624A">
            <w:pPr>
              <w:pStyle w:val="TableRowCentered"/>
              <w:jc w:val="left"/>
              <w:rPr>
                <w:sz w:val="18"/>
              </w:rPr>
            </w:pPr>
            <w:r>
              <w:rPr>
                <w:sz w:val="18"/>
              </w:rPr>
              <w:t xml:space="preserve">Children are identified with </w:t>
            </w:r>
            <w:r w:rsidRPr="0073624A">
              <w:rPr>
                <w:sz w:val="18"/>
              </w:rPr>
              <w:t>mild, moderate or severe learning difficulties</w:t>
            </w:r>
            <w:r>
              <w:rPr>
                <w:sz w:val="18"/>
              </w:rPr>
              <w:t xml:space="preserve">, language delay, </w:t>
            </w:r>
            <w:r w:rsidRPr="0073624A">
              <w:rPr>
                <w:sz w:val="18"/>
              </w:rPr>
              <w:t>specific d</w:t>
            </w:r>
            <w:r>
              <w:rPr>
                <w:sz w:val="18"/>
              </w:rPr>
              <w:t xml:space="preserve">ifficulties in producing sounds, stammering and </w:t>
            </w:r>
            <w:r w:rsidRPr="0073624A">
              <w:rPr>
                <w:sz w:val="18"/>
              </w:rPr>
              <w:t>d</w:t>
            </w:r>
            <w:r>
              <w:rPr>
                <w:sz w:val="18"/>
              </w:rPr>
              <w:t xml:space="preserve">evelopmental language disorder. </w:t>
            </w:r>
          </w:p>
          <w:p w14:paraId="20ADCE08" w14:textId="2843CD84" w:rsidR="0073624A" w:rsidRPr="00455CB9" w:rsidRDefault="0073624A" w:rsidP="0073624A">
            <w:pPr>
              <w:pStyle w:val="TableRowCentered"/>
              <w:jc w:val="left"/>
              <w:rPr>
                <w:sz w:val="18"/>
              </w:rPr>
            </w:pPr>
            <w:r>
              <w:rPr>
                <w:sz w:val="18"/>
              </w:rPr>
              <w:t>Specialist intervention and support for teaching staff enable the children to access their learning.</w:t>
            </w: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6C5DF86" w14:textId="22E971DB" w:rsidR="00C33C01" w:rsidRDefault="0073624A" w:rsidP="00C33C01">
            <w:pPr>
              <w:pStyle w:val="TableRowCentered"/>
              <w:jc w:val="left"/>
              <w:rPr>
                <w:sz w:val="22"/>
              </w:rPr>
            </w:pPr>
            <w:r>
              <w:rPr>
                <w:sz w:val="22"/>
              </w:rPr>
              <w:t>1,2,3,4</w:t>
            </w:r>
          </w:p>
        </w:tc>
      </w:tr>
      <w:tr w:rsidR="00C33C01" w14:paraId="09A49469" w14:textId="77777777">
        <w:tc>
          <w:tcPr>
            <w:tcW w:w="26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C0BB98" w14:textId="77777777" w:rsidR="00F71A6D" w:rsidRDefault="00F71A6D" w:rsidP="00F71A6D">
            <w:pPr>
              <w:pStyle w:val="TableRow"/>
              <w:ind w:left="0"/>
              <w:rPr>
                <w:sz w:val="18"/>
                <w:szCs w:val="18"/>
              </w:rPr>
            </w:pPr>
            <w:r>
              <w:rPr>
                <w:sz w:val="18"/>
                <w:szCs w:val="18"/>
              </w:rPr>
              <w:t>Take part in the NELI (Nuffield Early Language Intervention) Reception children.</w:t>
            </w:r>
          </w:p>
          <w:p w14:paraId="1A278C38" w14:textId="77777777" w:rsidR="00F71A6D" w:rsidRDefault="00F71A6D" w:rsidP="00F71A6D">
            <w:pPr>
              <w:pStyle w:val="TableRow"/>
              <w:ind w:left="0"/>
              <w:rPr>
                <w:sz w:val="18"/>
                <w:szCs w:val="18"/>
              </w:rPr>
            </w:pPr>
          </w:p>
          <w:p w14:paraId="5546B22B" w14:textId="77777777" w:rsidR="00F71A6D" w:rsidRDefault="00F71A6D" w:rsidP="00F71A6D">
            <w:pPr>
              <w:pStyle w:val="TableRow"/>
              <w:ind w:left="0"/>
              <w:rPr>
                <w:sz w:val="18"/>
                <w:szCs w:val="18"/>
              </w:rPr>
            </w:pPr>
            <w:r>
              <w:rPr>
                <w:sz w:val="18"/>
                <w:szCs w:val="18"/>
              </w:rPr>
              <w:t>1 TA release time for CPD and then delivery of programme to targeted children.</w:t>
            </w:r>
          </w:p>
          <w:p w14:paraId="0076FC43" w14:textId="77777777" w:rsidR="00F71A6D" w:rsidRDefault="00F71A6D" w:rsidP="00F71A6D">
            <w:pPr>
              <w:pStyle w:val="TableRow"/>
              <w:ind w:left="0"/>
              <w:rPr>
                <w:sz w:val="18"/>
                <w:szCs w:val="18"/>
              </w:rPr>
            </w:pPr>
          </w:p>
          <w:p w14:paraId="6497DB21" w14:textId="50E0E060" w:rsidR="00F71A6D" w:rsidRDefault="00F71A6D" w:rsidP="00F71A6D">
            <w:pPr>
              <w:pStyle w:val="TableRow"/>
              <w:ind w:left="0"/>
              <w:rPr>
                <w:sz w:val="18"/>
                <w:szCs w:val="18"/>
              </w:rPr>
            </w:pPr>
            <w:r>
              <w:rPr>
                <w:sz w:val="18"/>
                <w:szCs w:val="18"/>
              </w:rPr>
              <w:t>Cost:</w:t>
            </w:r>
            <w:r w:rsidR="008A5A90">
              <w:rPr>
                <w:sz w:val="18"/>
                <w:szCs w:val="18"/>
              </w:rPr>
              <w:t xml:space="preserve"> £3000</w:t>
            </w:r>
          </w:p>
        </w:tc>
        <w:tc>
          <w:tcPr>
            <w:tcW w:w="4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2B54319" w14:textId="24E75118" w:rsidR="00C33C01" w:rsidRDefault="00F71A6D" w:rsidP="00C33C01">
            <w:pPr>
              <w:pStyle w:val="TableRowCentered"/>
              <w:jc w:val="left"/>
              <w:rPr>
                <w:sz w:val="18"/>
              </w:rPr>
            </w:pPr>
            <w:r w:rsidRPr="00F71A6D">
              <w:rPr>
                <w:sz w:val="18"/>
              </w:rPr>
              <w:lastRenderedPageBreak/>
              <w:t>NELI is a programme for children in Reception (4-5 years) which has been found to improve children's language and early literacy skills.</w:t>
            </w:r>
          </w:p>
          <w:p w14:paraId="591ED6CA" w14:textId="05483597" w:rsidR="00F71A6D" w:rsidRDefault="00F71A6D" w:rsidP="00C33C01">
            <w:pPr>
              <w:pStyle w:val="TableRowCentered"/>
              <w:jc w:val="left"/>
              <w:rPr>
                <w:sz w:val="18"/>
              </w:rPr>
            </w:pPr>
          </w:p>
          <w:p w14:paraId="55D5E036" w14:textId="77777777" w:rsidR="00F71A6D" w:rsidRDefault="00F71A6D" w:rsidP="00C33C01">
            <w:pPr>
              <w:pStyle w:val="TableRowCentered"/>
              <w:jc w:val="left"/>
              <w:rPr>
                <w:sz w:val="18"/>
              </w:rPr>
            </w:pPr>
            <w:r w:rsidRPr="00F71A6D">
              <w:rPr>
                <w:sz w:val="18"/>
              </w:rPr>
              <w:lastRenderedPageBreak/>
              <w:t xml:space="preserve">The programme involves a member of school staff delivering three small group sessions and two individual sessions each week to a targeted group of around 3-6 pupils for 20 weeks. </w:t>
            </w:r>
          </w:p>
          <w:p w14:paraId="3E3C8E5D" w14:textId="15BB8479" w:rsidR="00F71A6D" w:rsidRDefault="00F71A6D" w:rsidP="00C33C01">
            <w:pPr>
              <w:pStyle w:val="TableRowCentered"/>
              <w:jc w:val="left"/>
              <w:rPr>
                <w:sz w:val="18"/>
              </w:rPr>
            </w:pPr>
            <w:r w:rsidRPr="00F71A6D">
              <w:rPr>
                <w:sz w:val="18"/>
              </w:rPr>
              <w:t>NELI aims to develop children’s vocabulary, listening and narrative skills and in the last 10 weeks also involves activities to develop phonological awareness and early letter-sound knowledge as foundations for learning to read.</w:t>
            </w:r>
          </w:p>
          <w:p w14:paraId="30BE7F18" w14:textId="5EC8A6D6" w:rsidR="00F71A6D" w:rsidRDefault="00F71A6D" w:rsidP="00C33C01">
            <w:pPr>
              <w:pStyle w:val="TableRowCentered"/>
              <w:jc w:val="left"/>
              <w:rPr>
                <w:sz w:val="18"/>
              </w:rPr>
            </w:pPr>
          </w:p>
        </w:tc>
        <w:tc>
          <w:tcPr>
            <w:tcW w:w="2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1E8A19" w14:textId="71C4A80D" w:rsidR="00C33C01" w:rsidRDefault="00C93126" w:rsidP="00C33C01">
            <w:pPr>
              <w:pStyle w:val="TableRowCentered"/>
              <w:jc w:val="left"/>
              <w:rPr>
                <w:sz w:val="22"/>
              </w:rPr>
            </w:pPr>
            <w:r>
              <w:rPr>
                <w:sz w:val="22"/>
              </w:rPr>
              <w:lastRenderedPageBreak/>
              <w:t>1,2,3</w:t>
            </w:r>
          </w:p>
        </w:tc>
      </w:tr>
    </w:tbl>
    <w:p w14:paraId="2A7D5531" w14:textId="209890CE" w:rsidR="00532856" w:rsidRDefault="00532856">
      <w:pPr>
        <w:spacing w:after="0"/>
        <w:rPr>
          <w:b/>
          <w:color w:val="104F75"/>
          <w:sz w:val="28"/>
          <w:szCs w:val="28"/>
        </w:rPr>
      </w:pPr>
    </w:p>
    <w:p w14:paraId="17F803F5" w14:textId="77777777" w:rsidR="00532856" w:rsidRDefault="00532856">
      <w:pPr>
        <w:suppressAutoHyphens w:val="0"/>
        <w:spacing w:after="0" w:line="240" w:lineRule="auto"/>
        <w:rPr>
          <w:b/>
          <w:color w:val="104F75"/>
          <w:sz w:val="28"/>
          <w:szCs w:val="28"/>
        </w:rPr>
      </w:pPr>
      <w:r>
        <w:rPr>
          <w:b/>
          <w:color w:val="104F75"/>
          <w:sz w:val="28"/>
          <w:szCs w:val="28"/>
        </w:rPr>
        <w:br w:type="page"/>
      </w:r>
    </w:p>
    <w:p w14:paraId="2149A055" w14:textId="77777777" w:rsidR="00E66558" w:rsidRDefault="00E66558">
      <w:pPr>
        <w:spacing w:after="0"/>
        <w:rPr>
          <w:b/>
          <w:color w:val="104F75"/>
          <w:sz w:val="28"/>
          <w:szCs w:val="28"/>
        </w:rPr>
      </w:pPr>
    </w:p>
    <w:p w14:paraId="2A7D5532" w14:textId="59A68BC3" w:rsidR="00E66558" w:rsidRDefault="009D71E8">
      <w:pPr>
        <w:rPr>
          <w:b/>
          <w:color w:val="104F75"/>
          <w:sz w:val="28"/>
          <w:szCs w:val="28"/>
        </w:rPr>
      </w:pPr>
      <w:r>
        <w:rPr>
          <w:b/>
          <w:color w:val="104F75"/>
          <w:sz w:val="28"/>
          <w:szCs w:val="28"/>
        </w:rPr>
        <w:t>Wider strategies (for example, related to attendance, behaviour, wellbeing)</w:t>
      </w:r>
    </w:p>
    <w:p w14:paraId="2A7D5533" w14:textId="1B064A78" w:rsidR="00E66558" w:rsidRDefault="008A5A90">
      <w:pPr>
        <w:spacing w:before="240" w:after="120"/>
      </w:pPr>
      <w:r>
        <w:t>Budgeted cost: £108</w:t>
      </w:r>
      <w:r w:rsidR="00485C22">
        <w:t>,</w:t>
      </w:r>
      <w:r>
        <w:t>311</w:t>
      </w:r>
    </w:p>
    <w:tbl>
      <w:tblPr>
        <w:tblW w:w="5000" w:type="pct"/>
        <w:tblCellMar>
          <w:left w:w="10" w:type="dxa"/>
          <w:right w:w="10" w:type="dxa"/>
        </w:tblCellMar>
        <w:tblLook w:val="04A0" w:firstRow="1" w:lastRow="0" w:firstColumn="1" w:lastColumn="0" w:noHBand="0" w:noVBand="1"/>
      </w:tblPr>
      <w:tblGrid>
        <w:gridCol w:w="2738"/>
        <w:gridCol w:w="4219"/>
        <w:gridCol w:w="2529"/>
      </w:tblGrid>
      <w:tr w:rsidR="00E66558" w14:paraId="2A7D5537" w14:textId="77777777" w:rsidTr="00DA5173">
        <w:tc>
          <w:tcPr>
            <w:tcW w:w="2738"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4" w14:textId="77777777" w:rsidR="00E66558" w:rsidRDefault="009D71E8">
            <w:pPr>
              <w:pStyle w:val="TableHeader"/>
              <w:jc w:val="left"/>
            </w:pPr>
            <w:r>
              <w:t>Activity</w:t>
            </w:r>
          </w:p>
        </w:tc>
        <w:tc>
          <w:tcPr>
            <w:tcW w:w="421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5" w14:textId="77777777" w:rsidR="00E66558" w:rsidRDefault="009D71E8">
            <w:pPr>
              <w:pStyle w:val="TableHeader"/>
              <w:jc w:val="left"/>
            </w:pPr>
            <w:r>
              <w:t>Evidence that supports this approach</w:t>
            </w:r>
          </w:p>
        </w:tc>
        <w:tc>
          <w:tcPr>
            <w:tcW w:w="2529"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36" w14:textId="77777777" w:rsidR="00E66558" w:rsidRDefault="009D71E8">
            <w:pPr>
              <w:pStyle w:val="TableHeader"/>
              <w:jc w:val="left"/>
            </w:pPr>
            <w:r>
              <w:t>Challenge number(s) addressed</w:t>
            </w:r>
          </w:p>
        </w:tc>
      </w:tr>
      <w:tr w:rsidR="00E66558" w14:paraId="2A7D553B" w14:textId="77777777" w:rsidTr="00DA5173">
        <w:tc>
          <w:tcPr>
            <w:tcW w:w="2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92CD19" w14:textId="77777777" w:rsidR="00E66558" w:rsidRDefault="00D82B09" w:rsidP="00D82B09">
            <w:pPr>
              <w:pStyle w:val="TableRow"/>
              <w:rPr>
                <w:sz w:val="18"/>
                <w:szCs w:val="18"/>
              </w:rPr>
            </w:pPr>
            <w:r>
              <w:rPr>
                <w:sz w:val="18"/>
                <w:szCs w:val="18"/>
              </w:rPr>
              <w:t xml:space="preserve">Continue to provide a </w:t>
            </w:r>
            <w:r w:rsidR="00EB650C" w:rsidRPr="00D82B09">
              <w:rPr>
                <w:b/>
                <w:sz w:val="18"/>
                <w:szCs w:val="18"/>
              </w:rPr>
              <w:t>Positive Mental Health Officer</w:t>
            </w:r>
            <w:r>
              <w:t xml:space="preserve"> </w:t>
            </w:r>
            <w:r w:rsidRPr="00D82B09">
              <w:rPr>
                <w:sz w:val="18"/>
                <w:szCs w:val="18"/>
              </w:rPr>
              <w:t>to allow chil</w:t>
            </w:r>
            <w:r>
              <w:rPr>
                <w:sz w:val="18"/>
                <w:szCs w:val="18"/>
              </w:rPr>
              <w:t xml:space="preserve">dren with significant barriers related to </w:t>
            </w:r>
            <w:r w:rsidRPr="00D82B09">
              <w:rPr>
                <w:sz w:val="18"/>
                <w:szCs w:val="18"/>
              </w:rPr>
              <w:t>social emotional and mental health</w:t>
            </w:r>
            <w:r>
              <w:rPr>
                <w:sz w:val="18"/>
                <w:szCs w:val="18"/>
              </w:rPr>
              <w:t xml:space="preserve"> </w:t>
            </w:r>
            <w:r w:rsidRPr="00D82B09">
              <w:rPr>
                <w:sz w:val="18"/>
                <w:szCs w:val="18"/>
              </w:rPr>
              <w:t>to access their learning and make progress.</w:t>
            </w:r>
          </w:p>
          <w:p w14:paraId="4430CB55" w14:textId="77777777" w:rsidR="00114136" w:rsidRDefault="00114136" w:rsidP="00D82B09">
            <w:pPr>
              <w:pStyle w:val="TableRow"/>
              <w:rPr>
                <w:sz w:val="18"/>
                <w:szCs w:val="18"/>
              </w:rPr>
            </w:pPr>
          </w:p>
          <w:p w14:paraId="2A7D5538" w14:textId="10DEE778" w:rsidR="00114136" w:rsidRPr="00EB650C" w:rsidRDefault="00114136" w:rsidP="00D82B09">
            <w:pPr>
              <w:pStyle w:val="TableRow"/>
              <w:rPr>
                <w:sz w:val="18"/>
                <w:szCs w:val="18"/>
              </w:rPr>
            </w:pPr>
            <w:r>
              <w:rPr>
                <w:sz w:val="18"/>
                <w:szCs w:val="18"/>
              </w:rPr>
              <w:t>Cost: £22,790</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0915F" w14:textId="77777777" w:rsidR="00D82B09" w:rsidRDefault="00D82B09" w:rsidP="00D82B09">
            <w:pPr>
              <w:pStyle w:val="TableRowCentered"/>
              <w:jc w:val="left"/>
              <w:rPr>
                <w:sz w:val="18"/>
                <w:szCs w:val="18"/>
              </w:rPr>
            </w:pPr>
            <w:r>
              <w:rPr>
                <w:sz w:val="18"/>
                <w:szCs w:val="18"/>
              </w:rPr>
              <w:t xml:space="preserve">Social and emotional learning is </w:t>
            </w:r>
            <w:r w:rsidRPr="001F166B">
              <w:rPr>
                <w:sz w:val="18"/>
                <w:szCs w:val="18"/>
              </w:rPr>
              <w:t xml:space="preserve">highlighted by the EEF as having a positive impact on pupil attainment (+4 months). </w:t>
            </w:r>
          </w:p>
          <w:p w14:paraId="657B7FF5" w14:textId="77777777" w:rsidR="00E66558" w:rsidRDefault="00D82B09" w:rsidP="00D82B09">
            <w:pPr>
              <w:pStyle w:val="TableRowCentered"/>
              <w:jc w:val="left"/>
              <w:rPr>
                <w:sz w:val="18"/>
                <w:szCs w:val="18"/>
              </w:rPr>
            </w:pPr>
            <w:r>
              <w:rPr>
                <w:sz w:val="18"/>
                <w:szCs w:val="18"/>
              </w:rPr>
              <w:t xml:space="preserve">To this end, we employ a highly skilled HLTA who is trained in THRIVE, Attachment and Trauma, </w:t>
            </w:r>
            <w:proofErr w:type="spellStart"/>
            <w:r>
              <w:rPr>
                <w:sz w:val="18"/>
                <w:szCs w:val="18"/>
              </w:rPr>
              <w:t>Theraplay</w:t>
            </w:r>
            <w:proofErr w:type="spellEnd"/>
            <w:r>
              <w:rPr>
                <w:sz w:val="18"/>
                <w:szCs w:val="18"/>
              </w:rPr>
              <w:t xml:space="preserve"> and counselling to both deliver structured intervention programmes and also provide ad hoc support as necessary e.g. moments of crisis.</w:t>
            </w:r>
            <w:r w:rsidR="00511D6F">
              <w:rPr>
                <w:sz w:val="18"/>
                <w:szCs w:val="18"/>
              </w:rPr>
              <w:t xml:space="preserve"> </w:t>
            </w:r>
          </w:p>
          <w:p w14:paraId="2A7D5539" w14:textId="59CDBCA6" w:rsidR="00511D6F" w:rsidRDefault="00511D6F" w:rsidP="00D82B09">
            <w:pPr>
              <w:pStyle w:val="TableRowCentered"/>
              <w:jc w:val="left"/>
              <w:rPr>
                <w:sz w:val="22"/>
              </w:rPr>
            </w:pPr>
            <w:r>
              <w:rPr>
                <w:sz w:val="18"/>
                <w:szCs w:val="18"/>
              </w:rPr>
              <w:t>The HLTA delivers bespoke training to staff to support the SEMH and wellbeing of children within the education setting</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A" w14:textId="0A5BEA81" w:rsidR="00E66558" w:rsidRDefault="00D82B09">
            <w:pPr>
              <w:pStyle w:val="TableRowCentered"/>
              <w:jc w:val="left"/>
              <w:rPr>
                <w:sz w:val="22"/>
              </w:rPr>
            </w:pPr>
            <w:r>
              <w:rPr>
                <w:sz w:val="22"/>
              </w:rPr>
              <w:t>5</w:t>
            </w:r>
            <w:r w:rsidR="00532856">
              <w:rPr>
                <w:sz w:val="22"/>
              </w:rPr>
              <w:t>, 6</w:t>
            </w:r>
          </w:p>
        </w:tc>
      </w:tr>
      <w:tr w:rsidR="00D82B09" w14:paraId="2A7D553F" w14:textId="77777777" w:rsidTr="00DA5173">
        <w:tc>
          <w:tcPr>
            <w:tcW w:w="2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CAD742" w14:textId="7F5D3D50" w:rsidR="00D82B09" w:rsidRDefault="00D82B09" w:rsidP="00D82B09">
            <w:pPr>
              <w:pStyle w:val="NoSpacing"/>
              <w:spacing w:line="276" w:lineRule="auto"/>
              <w:rPr>
                <w:rStyle w:val="eop"/>
                <w:rFonts w:cs="Arial"/>
                <w:color w:val="000000"/>
                <w:sz w:val="18"/>
                <w:szCs w:val="18"/>
                <w:shd w:val="clear" w:color="auto" w:fill="FFFFFF"/>
              </w:rPr>
            </w:pPr>
            <w:r w:rsidRPr="00044D33">
              <w:rPr>
                <w:rStyle w:val="normaltextrun"/>
                <w:rFonts w:cs="Arial"/>
                <w:color w:val="000000"/>
                <w:sz w:val="18"/>
                <w:szCs w:val="18"/>
                <w:shd w:val="clear" w:color="auto" w:fill="FFFFFF"/>
              </w:rPr>
              <w:t>Continue to provide a </w:t>
            </w:r>
            <w:r w:rsidRPr="00044D33">
              <w:rPr>
                <w:rStyle w:val="normaltextrun"/>
                <w:rFonts w:cs="Arial"/>
                <w:b/>
                <w:bCs/>
                <w:color w:val="000000"/>
                <w:sz w:val="18"/>
                <w:szCs w:val="18"/>
                <w:shd w:val="clear" w:color="auto" w:fill="FFFFFF"/>
              </w:rPr>
              <w:t>Specialist Safeguarding Officer</w:t>
            </w:r>
            <w:r w:rsidRPr="00044D33">
              <w:rPr>
                <w:rStyle w:val="normaltextrun"/>
                <w:rFonts w:cs="Arial"/>
                <w:color w:val="000000"/>
                <w:sz w:val="18"/>
                <w:szCs w:val="18"/>
                <w:shd w:val="clear" w:color="auto" w:fill="FFFFFF"/>
              </w:rPr>
              <w:t> </w:t>
            </w:r>
            <w:r w:rsidRPr="00FE781F">
              <w:rPr>
                <w:rStyle w:val="normaltextrun"/>
                <w:rFonts w:cs="Arial"/>
                <w:b/>
                <w:color w:val="000000"/>
                <w:sz w:val="18"/>
                <w:szCs w:val="18"/>
                <w:shd w:val="clear" w:color="auto" w:fill="FFFFFF"/>
              </w:rPr>
              <w:t xml:space="preserve">/ Educational Welfare Officer </w:t>
            </w:r>
            <w:r w:rsidRPr="00FE781F">
              <w:rPr>
                <w:rStyle w:val="normaltextrun"/>
                <w:rFonts w:cs="Arial"/>
                <w:color w:val="000000"/>
                <w:sz w:val="18"/>
                <w:szCs w:val="18"/>
                <w:shd w:val="clear" w:color="auto" w:fill="FFFFFF"/>
              </w:rPr>
              <w:t>t</w:t>
            </w:r>
            <w:r w:rsidRPr="00044D33">
              <w:rPr>
                <w:rStyle w:val="normaltextrun"/>
                <w:rFonts w:cs="Arial"/>
                <w:color w:val="000000"/>
                <w:sz w:val="18"/>
                <w:szCs w:val="18"/>
                <w:shd w:val="clear" w:color="auto" w:fill="FFFFFF"/>
              </w:rPr>
              <w:t>o identify children who may need early help or be at risk of harm, and secure the help these pupils and families need.</w:t>
            </w:r>
            <w:r w:rsidRPr="00044D33">
              <w:rPr>
                <w:rStyle w:val="eop"/>
                <w:rFonts w:cs="Arial"/>
                <w:color w:val="000000"/>
                <w:sz w:val="18"/>
                <w:szCs w:val="18"/>
                <w:shd w:val="clear" w:color="auto" w:fill="FFFFFF"/>
              </w:rPr>
              <w:t> </w:t>
            </w:r>
          </w:p>
          <w:p w14:paraId="49B0DDFC" w14:textId="77777777" w:rsidR="00D82B09" w:rsidRPr="00916463" w:rsidRDefault="00D82B09" w:rsidP="00D82B09">
            <w:pPr>
              <w:pStyle w:val="NoSpacing"/>
              <w:spacing w:line="276" w:lineRule="auto"/>
              <w:rPr>
                <w:rStyle w:val="eop"/>
                <w:i/>
                <w:sz w:val="18"/>
              </w:rPr>
            </w:pPr>
          </w:p>
          <w:p w14:paraId="2140F2AD" w14:textId="534F7C56" w:rsidR="00D82B09" w:rsidRDefault="00D82B09" w:rsidP="00D82B09">
            <w:pPr>
              <w:pStyle w:val="NoSpacing"/>
              <w:spacing w:line="276" w:lineRule="auto"/>
              <w:rPr>
                <w:rStyle w:val="eop"/>
                <w:i/>
                <w:sz w:val="18"/>
              </w:rPr>
            </w:pPr>
            <w:r w:rsidRPr="00916463">
              <w:rPr>
                <w:rStyle w:val="eop"/>
                <w:i/>
                <w:sz w:val="18"/>
              </w:rPr>
              <w:t xml:space="preserve">Cost - </w:t>
            </w:r>
            <w:r w:rsidR="001C61D0">
              <w:rPr>
                <w:rStyle w:val="eop"/>
                <w:i/>
                <w:sz w:val="18"/>
              </w:rPr>
              <w:t>£11,395</w:t>
            </w:r>
          </w:p>
          <w:p w14:paraId="2A7D553C" w14:textId="7F4A5895" w:rsidR="00D82B09" w:rsidRPr="00EB650C" w:rsidRDefault="00D82B09" w:rsidP="00D82B09">
            <w:pPr>
              <w:pStyle w:val="TableRow"/>
              <w:rPr>
                <w:sz w:val="22"/>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C9723D" w14:textId="7B9EAEE5" w:rsidR="00D82B09" w:rsidRDefault="00D82B09" w:rsidP="00D82B09">
            <w:pPr>
              <w:pStyle w:val="TableRowCentered"/>
              <w:jc w:val="left"/>
              <w:rPr>
                <w:sz w:val="18"/>
                <w:szCs w:val="18"/>
              </w:rPr>
            </w:pPr>
            <w:r>
              <w:rPr>
                <w:sz w:val="18"/>
                <w:szCs w:val="18"/>
              </w:rPr>
              <w:t>Keeping</w:t>
            </w:r>
            <w:r w:rsidR="00511D6F">
              <w:rPr>
                <w:sz w:val="18"/>
                <w:szCs w:val="18"/>
              </w:rPr>
              <w:t xml:space="preserve"> Children Safe in Education 2022 (</w:t>
            </w:r>
            <w:proofErr w:type="spellStart"/>
            <w:r w:rsidR="00511D6F">
              <w:rPr>
                <w:sz w:val="18"/>
                <w:szCs w:val="18"/>
              </w:rPr>
              <w:t>DfE</w:t>
            </w:r>
            <w:proofErr w:type="spellEnd"/>
            <w:r w:rsidR="00511D6F">
              <w:rPr>
                <w:sz w:val="18"/>
                <w:szCs w:val="18"/>
              </w:rPr>
              <w:t>, 2022</w:t>
            </w:r>
            <w:r>
              <w:rPr>
                <w:sz w:val="18"/>
                <w:szCs w:val="18"/>
              </w:rPr>
              <w:t xml:space="preserve">), makes a number of recommendations around the leadership of safeguarding. </w:t>
            </w:r>
          </w:p>
          <w:p w14:paraId="2A7D553D" w14:textId="76D4B8FB" w:rsidR="00D82B09" w:rsidRDefault="00D82B09" w:rsidP="00D82B09">
            <w:pPr>
              <w:pStyle w:val="TableRowCentered"/>
              <w:jc w:val="left"/>
              <w:rPr>
                <w:sz w:val="22"/>
              </w:rPr>
            </w:pPr>
            <w:r>
              <w:rPr>
                <w:sz w:val="18"/>
                <w:szCs w:val="18"/>
              </w:rPr>
              <w:t>Due to the very high number of pupils with social care involvement, school has appointed a specialist safeguarding officer to support with work of the designated lead (Principal) to ensure that school can attend all multi-agency meetings and engage with social care as much as possible.</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3E" w14:textId="4095256A" w:rsidR="00D82B09" w:rsidRDefault="00D82B09" w:rsidP="00D82B09">
            <w:pPr>
              <w:pStyle w:val="TableRowCentered"/>
              <w:jc w:val="left"/>
              <w:rPr>
                <w:sz w:val="22"/>
              </w:rPr>
            </w:pPr>
            <w:r>
              <w:rPr>
                <w:sz w:val="22"/>
              </w:rPr>
              <w:t>6, 7</w:t>
            </w:r>
          </w:p>
        </w:tc>
      </w:tr>
      <w:tr w:rsidR="00D82B09" w14:paraId="583D232F" w14:textId="77777777" w:rsidTr="00DA5173">
        <w:tc>
          <w:tcPr>
            <w:tcW w:w="2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F0C682" w14:textId="0A544DEB" w:rsidR="00D82B09" w:rsidRDefault="00D82B09" w:rsidP="00D82B09">
            <w:pPr>
              <w:pStyle w:val="NoSpacing"/>
              <w:spacing w:line="276" w:lineRule="auto"/>
              <w:rPr>
                <w:rStyle w:val="normaltextrun"/>
                <w:rFonts w:cs="Arial"/>
                <w:color w:val="000000"/>
                <w:sz w:val="18"/>
                <w:szCs w:val="18"/>
                <w:shd w:val="clear" w:color="auto" w:fill="FFFFFF"/>
              </w:rPr>
            </w:pPr>
            <w:r w:rsidRPr="00044D33">
              <w:rPr>
                <w:rStyle w:val="normaltextrun"/>
                <w:rFonts w:cs="Arial"/>
                <w:color w:val="000000"/>
                <w:sz w:val="18"/>
                <w:szCs w:val="18"/>
                <w:shd w:val="clear" w:color="auto" w:fill="FFFFFF"/>
              </w:rPr>
              <w:t xml:space="preserve">Continue to provide an </w:t>
            </w:r>
            <w:r w:rsidRPr="00044D33">
              <w:rPr>
                <w:rStyle w:val="normaltextrun"/>
                <w:rFonts w:cs="Arial"/>
                <w:b/>
                <w:bCs/>
                <w:color w:val="000000"/>
                <w:sz w:val="18"/>
                <w:szCs w:val="18"/>
                <w:shd w:val="clear" w:color="auto" w:fill="FFFFFF"/>
              </w:rPr>
              <w:t>Education Welfare Officer </w:t>
            </w:r>
            <w:r w:rsidRPr="00044D33">
              <w:rPr>
                <w:rStyle w:val="normaltextrun"/>
                <w:rFonts w:cs="Arial"/>
                <w:color w:val="000000"/>
                <w:sz w:val="18"/>
                <w:szCs w:val="18"/>
                <w:shd w:val="clear" w:color="auto" w:fill="FFFFFF"/>
              </w:rPr>
              <w:t>to focus on improving attendance and supporting parents with any other issues, including learning at home.</w:t>
            </w:r>
          </w:p>
          <w:p w14:paraId="28FC5234" w14:textId="77777777" w:rsidR="00D82B09" w:rsidRPr="00916463" w:rsidRDefault="00D82B09" w:rsidP="00D82B09">
            <w:pPr>
              <w:pStyle w:val="NoSpacing"/>
              <w:spacing w:line="276" w:lineRule="auto"/>
              <w:rPr>
                <w:rStyle w:val="normaltextrun"/>
                <w:rFonts w:cs="Arial"/>
                <w:i/>
                <w:color w:val="000000"/>
                <w:sz w:val="18"/>
                <w:szCs w:val="18"/>
                <w:shd w:val="clear" w:color="auto" w:fill="FFFFFF"/>
              </w:rPr>
            </w:pPr>
          </w:p>
          <w:p w14:paraId="0763752C" w14:textId="5381A25B" w:rsidR="00D82B09" w:rsidRDefault="00D82B09" w:rsidP="00D82B09">
            <w:pPr>
              <w:pStyle w:val="TableRow"/>
              <w:rPr>
                <w:sz w:val="18"/>
              </w:rPr>
            </w:pPr>
            <w:r w:rsidRPr="00916463">
              <w:rPr>
                <w:rStyle w:val="normaltextrun"/>
                <w:rFonts w:cs="Arial"/>
                <w:i/>
                <w:color w:val="000000"/>
                <w:sz w:val="18"/>
                <w:szCs w:val="18"/>
                <w:shd w:val="clear" w:color="auto" w:fill="FFFFFF"/>
              </w:rPr>
              <w:t xml:space="preserve">Cost – </w:t>
            </w:r>
            <w:r w:rsidR="00114136">
              <w:rPr>
                <w:rStyle w:val="normaltextrun"/>
                <w:rFonts w:cs="Arial"/>
                <w:i/>
                <w:color w:val="000000"/>
                <w:sz w:val="18"/>
                <w:szCs w:val="18"/>
                <w:shd w:val="clear" w:color="auto" w:fill="FFFFFF"/>
              </w:rPr>
              <w:t>£11,395</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A75023" w14:textId="77777777" w:rsidR="00D82B09" w:rsidRDefault="00D82B09" w:rsidP="00D82B09">
            <w:pPr>
              <w:pStyle w:val="TableRowCentered"/>
              <w:jc w:val="left"/>
              <w:rPr>
                <w:sz w:val="18"/>
                <w:szCs w:val="18"/>
              </w:rPr>
            </w:pPr>
            <w:r w:rsidRPr="001F166B">
              <w:rPr>
                <w:sz w:val="18"/>
                <w:szCs w:val="18"/>
              </w:rPr>
              <w:t xml:space="preserve">Parental engagement strategies are highlighted by the EEF as having a positive impact on pupil attainment (+4 months). </w:t>
            </w:r>
          </w:p>
          <w:p w14:paraId="0D92DA66" w14:textId="64BA1BF7" w:rsidR="00D82B09" w:rsidRDefault="00D82B09" w:rsidP="00D82B09">
            <w:pPr>
              <w:pStyle w:val="TableRowCentered"/>
              <w:jc w:val="left"/>
              <w:rPr>
                <w:sz w:val="22"/>
              </w:rPr>
            </w:pPr>
            <w:r w:rsidRPr="001F166B">
              <w:rPr>
                <w:sz w:val="18"/>
              </w:rPr>
              <w:t>To support this, our school employs an education welfare officer to provide more intensive support for families in crisis, or on the edge of social care involvement e.g. at EHA level.</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D1447C" w14:textId="41FB3D44" w:rsidR="00D82B09" w:rsidRDefault="00D82B09" w:rsidP="00D82B09">
            <w:pPr>
              <w:pStyle w:val="TableRowCentered"/>
              <w:jc w:val="left"/>
              <w:rPr>
                <w:sz w:val="22"/>
              </w:rPr>
            </w:pPr>
            <w:r>
              <w:rPr>
                <w:sz w:val="22"/>
              </w:rPr>
              <w:t>6, 7</w:t>
            </w:r>
          </w:p>
        </w:tc>
      </w:tr>
      <w:tr w:rsidR="00532856" w14:paraId="7868A362" w14:textId="77777777" w:rsidTr="00DA5173">
        <w:tc>
          <w:tcPr>
            <w:tcW w:w="2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9FB03B" w14:textId="77777777" w:rsidR="00532856" w:rsidRDefault="00532856" w:rsidP="00532856">
            <w:pPr>
              <w:pStyle w:val="NoSpacing"/>
              <w:spacing w:line="276" w:lineRule="auto"/>
              <w:rPr>
                <w:rStyle w:val="normaltextrun"/>
                <w:rFonts w:cs="Arial"/>
                <w:color w:val="000000"/>
                <w:sz w:val="18"/>
                <w:szCs w:val="18"/>
                <w:shd w:val="clear" w:color="auto" w:fill="FFFFFF"/>
              </w:rPr>
            </w:pPr>
            <w:r w:rsidRPr="00044D33">
              <w:rPr>
                <w:rStyle w:val="normaltextrun"/>
                <w:rFonts w:cs="Arial"/>
                <w:color w:val="000000"/>
                <w:sz w:val="18"/>
                <w:szCs w:val="18"/>
                <w:shd w:val="clear" w:color="auto" w:fill="FFFFFF"/>
              </w:rPr>
              <w:t>Increase disadvantaged children’s </w:t>
            </w:r>
            <w:r w:rsidRPr="00044D33">
              <w:rPr>
                <w:rStyle w:val="normaltextrun"/>
                <w:rFonts w:cs="Arial"/>
                <w:b/>
                <w:bCs/>
                <w:color w:val="000000"/>
                <w:sz w:val="18"/>
                <w:szCs w:val="18"/>
                <w:shd w:val="clear" w:color="auto" w:fill="FFFFFF"/>
              </w:rPr>
              <w:t>arts participation</w:t>
            </w:r>
            <w:r w:rsidRPr="00044D33">
              <w:rPr>
                <w:rStyle w:val="normaltextrun"/>
                <w:rFonts w:cs="Arial"/>
                <w:color w:val="000000"/>
                <w:sz w:val="18"/>
                <w:szCs w:val="18"/>
                <w:shd w:val="clear" w:color="auto" w:fill="FFFFFF"/>
              </w:rPr>
              <w:t xml:space="preserve"> through providing tuition from Tees Valley Music for every class in school, in addition to their standard music curriculum. </w:t>
            </w:r>
          </w:p>
          <w:p w14:paraId="06387E70" w14:textId="77777777" w:rsidR="00532856" w:rsidRPr="00916463" w:rsidRDefault="00532856" w:rsidP="00532856">
            <w:pPr>
              <w:pStyle w:val="NoSpacing"/>
              <w:spacing w:line="276" w:lineRule="auto"/>
              <w:rPr>
                <w:rStyle w:val="normaltextrun"/>
                <w:rFonts w:cs="Arial"/>
                <w:i/>
                <w:color w:val="000000"/>
                <w:sz w:val="18"/>
                <w:szCs w:val="18"/>
                <w:shd w:val="clear" w:color="auto" w:fill="FFFFFF"/>
              </w:rPr>
            </w:pPr>
          </w:p>
          <w:p w14:paraId="405733BD" w14:textId="50AF3C23" w:rsidR="00532856" w:rsidRPr="00916463" w:rsidRDefault="003A2CA9" w:rsidP="00532856">
            <w:pPr>
              <w:pStyle w:val="NoSpacing"/>
              <w:spacing w:line="276" w:lineRule="auto"/>
              <w:rPr>
                <w:rStyle w:val="normaltextrun"/>
                <w:rFonts w:cs="Arial"/>
                <w:i/>
                <w:color w:val="000000"/>
                <w:sz w:val="18"/>
                <w:szCs w:val="18"/>
                <w:shd w:val="clear" w:color="auto" w:fill="FFFFFF"/>
              </w:rPr>
            </w:pPr>
            <w:r>
              <w:rPr>
                <w:rStyle w:val="normaltextrun"/>
                <w:rFonts w:cs="Arial"/>
                <w:i/>
                <w:color w:val="000000"/>
                <w:sz w:val="18"/>
                <w:szCs w:val="18"/>
                <w:highlight w:val="yellow"/>
                <w:shd w:val="clear" w:color="auto" w:fill="FFFFFF"/>
              </w:rPr>
              <w:t xml:space="preserve">Cost </w:t>
            </w:r>
            <w:r w:rsidR="001C61D0" w:rsidRPr="00511D6F">
              <w:rPr>
                <w:rStyle w:val="normaltextrun"/>
                <w:rFonts w:cs="Arial"/>
                <w:i/>
                <w:color w:val="000000"/>
                <w:sz w:val="18"/>
                <w:szCs w:val="18"/>
                <w:highlight w:val="yellow"/>
                <w:shd w:val="clear" w:color="auto" w:fill="FFFFFF"/>
              </w:rPr>
              <w:t>£13,481</w:t>
            </w:r>
            <w:r w:rsidR="00532856" w:rsidRPr="00916463">
              <w:rPr>
                <w:rStyle w:val="normaltextrun"/>
                <w:rFonts w:cs="Arial"/>
                <w:i/>
                <w:color w:val="000000"/>
                <w:sz w:val="18"/>
                <w:szCs w:val="18"/>
                <w:shd w:val="clear" w:color="auto" w:fill="FFFFFF"/>
              </w:rPr>
              <w:t xml:space="preserve"> </w:t>
            </w:r>
          </w:p>
          <w:p w14:paraId="35056732" w14:textId="77777777" w:rsidR="00532856" w:rsidRPr="00044D33" w:rsidRDefault="00532856" w:rsidP="00532856">
            <w:pPr>
              <w:pStyle w:val="NoSpacing"/>
              <w:spacing w:line="276" w:lineRule="auto"/>
              <w:rPr>
                <w:rStyle w:val="normaltextrun"/>
                <w:rFonts w:cs="Arial"/>
                <w:color w:val="000000"/>
                <w:sz w:val="18"/>
                <w:szCs w:val="18"/>
                <w:shd w:val="clear" w:color="auto" w:fill="FFFFFF"/>
              </w:rPr>
            </w:pP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C68BFD3" w14:textId="77777777" w:rsidR="00532856" w:rsidRDefault="00532856" w:rsidP="00532856">
            <w:pPr>
              <w:pStyle w:val="TableRowCentered"/>
              <w:jc w:val="left"/>
              <w:rPr>
                <w:sz w:val="18"/>
                <w:szCs w:val="18"/>
              </w:rPr>
            </w:pPr>
            <w:r w:rsidRPr="00027B8B">
              <w:rPr>
                <w:sz w:val="18"/>
                <w:szCs w:val="18"/>
              </w:rPr>
              <w:t xml:space="preserve">Arts participation is highlighted by the EEF as having a positive impact (+3 months) on other areas of the curriculum, particularly English and maths. </w:t>
            </w:r>
          </w:p>
          <w:p w14:paraId="2B54B2BF" w14:textId="0993E1DD" w:rsidR="00532856" w:rsidRPr="001F166B" w:rsidRDefault="00532856" w:rsidP="00532856">
            <w:pPr>
              <w:pStyle w:val="TableRowCentered"/>
              <w:jc w:val="left"/>
              <w:rPr>
                <w:sz w:val="18"/>
                <w:szCs w:val="18"/>
              </w:rPr>
            </w:pPr>
            <w:r w:rsidRPr="00027B8B">
              <w:rPr>
                <w:sz w:val="18"/>
                <w:szCs w:val="18"/>
              </w:rPr>
              <w:t>It is also a low-cost approach</w:t>
            </w:r>
            <w:r>
              <w:rPr>
                <w:sz w:val="18"/>
                <w:szCs w:val="18"/>
              </w:rPr>
              <w:t xml:space="preserve">, and allows us to provide children with the opportunity to learn an instrument which they may not otherwise be able to afford to do. </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B5A0B19" w14:textId="7190F82E" w:rsidR="00532856" w:rsidRDefault="00532856" w:rsidP="00532856">
            <w:pPr>
              <w:pStyle w:val="TableRowCentered"/>
              <w:jc w:val="left"/>
              <w:rPr>
                <w:sz w:val="22"/>
              </w:rPr>
            </w:pPr>
            <w:r>
              <w:rPr>
                <w:sz w:val="22"/>
              </w:rPr>
              <w:t>7</w:t>
            </w:r>
          </w:p>
        </w:tc>
      </w:tr>
      <w:tr w:rsidR="00532856" w14:paraId="32CCDB1C" w14:textId="77777777" w:rsidTr="00DA5173">
        <w:tc>
          <w:tcPr>
            <w:tcW w:w="2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E044D1" w14:textId="77777777" w:rsidR="00532856" w:rsidRDefault="00532856" w:rsidP="00532856">
            <w:pPr>
              <w:pStyle w:val="TableRow"/>
              <w:rPr>
                <w:sz w:val="18"/>
              </w:rPr>
            </w:pPr>
            <w:r>
              <w:rPr>
                <w:sz w:val="18"/>
              </w:rPr>
              <w:t xml:space="preserve">Enriched curriculum – </w:t>
            </w:r>
          </w:p>
          <w:p w14:paraId="0BF7688B" w14:textId="40939448" w:rsidR="000E06F5" w:rsidRDefault="00532856" w:rsidP="00511D6F">
            <w:pPr>
              <w:pStyle w:val="TableRow"/>
              <w:rPr>
                <w:sz w:val="18"/>
              </w:rPr>
            </w:pPr>
            <w:r>
              <w:rPr>
                <w:sz w:val="18"/>
              </w:rPr>
              <w:t>Continue to subsidised residential / trips / visits and visitors so that the children increase their Cultural Capital and un</w:t>
            </w:r>
            <w:r w:rsidR="00511D6F">
              <w:rPr>
                <w:sz w:val="18"/>
              </w:rPr>
              <w:t>derstanding of the wider world.</w:t>
            </w:r>
          </w:p>
          <w:p w14:paraId="5086A68C" w14:textId="06C758F5" w:rsidR="000E06F5" w:rsidRPr="00EB650C" w:rsidRDefault="000E06F5" w:rsidP="00485C22">
            <w:pPr>
              <w:pStyle w:val="TableRow"/>
              <w:rPr>
                <w:sz w:val="18"/>
              </w:rPr>
            </w:pPr>
            <w:r w:rsidRPr="00511D6F">
              <w:rPr>
                <w:sz w:val="18"/>
                <w:highlight w:val="yellow"/>
              </w:rPr>
              <w:t>Cost:</w:t>
            </w:r>
            <w:r w:rsidR="001C61D0" w:rsidRPr="00511D6F">
              <w:rPr>
                <w:sz w:val="18"/>
                <w:highlight w:val="yellow"/>
              </w:rPr>
              <w:t>£</w:t>
            </w:r>
            <w:r w:rsidR="00485C22" w:rsidRPr="00511D6F">
              <w:rPr>
                <w:sz w:val="18"/>
                <w:highlight w:val="yellow"/>
              </w:rPr>
              <w:t>30,000</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A3A463E" w14:textId="77777777" w:rsidR="00DA5173" w:rsidRDefault="00DA5173" w:rsidP="00DA5173">
            <w:pPr>
              <w:pStyle w:val="TableRowCentered"/>
              <w:ind w:left="0"/>
              <w:jc w:val="left"/>
              <w:rPr>
                <w:sz w:val="18"/>
                <w:szCs w:val="18"/>
              </w:rPr>
            </w:pPr>
            <w:r>
              <w:rPr>
                <w:sz w:val="18"/>
                <w:szCs w:val="18"/>
              </w:rPr>
              <w:t xml:space="preserve">Our aim is to provide </w:t>
            </w:r>
            <w:r w:rsidRPr="00DA5173">
              <w:rPr>
                <w:sz w:val="18"/>
                <w:szCs w:val="18"/>
              </w:rPr>
              <w:t xml:space="preserve">pupils with a substantial, broad curriculum, ensuring that they are fully immersed in knowledge, vocabulary and experiences relevant to the world in which we live. </w:t>
            </w:r>
          </w:p>
          <w:p w14:paraId="58B02D30" w14:textId="5DB6F7FA" w:rsidR="00532856" w:rsidRPr="00CC1ACA" w:rsidRDefault="00DA5173" w:rsidP="00DA5173">
            <w:pPr>
              <w:pStyle w:val="TableRowCentered"/>
              <w:ind w:left="0"/>
              <w:jc w:val="left"/>
              <w:rPr>
                <w:sz w:val="18"/>
                <w:szCs w:val="18"/>
              </w:rPr>
            </w:pPr>
            <w:r>
              <w:rPr>
                <w:sz w:val="18"/>
                <w:szCs w:val="18"/>
              </w:rPr>
              <w:t>We</w:t>
            </w:r>
            <w:r w:rsidRPr="00DA5173">
              <w:rPr>
                <w:sz w:val="18"/>
                <w:szCs w:val="18"/>
              </w:rPr>
              <w:t xml:space="preserve"> fully recognise the benefits of creating direct links to enrich pupils’ subject learning and increased interest in and enjoyment of those subjects.</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C26C97" w14:textId="54C61206" w:rsidR="00532856" w:rsidRDefault="00DA5173" w:rsidP="00532856">
            <w:pPr>
              <w:pStyle w:val="TableRowCentered"/>
              <w:jc w:val="left"/>
              <w:rPr>
                <w:sz w:val="22"/>
              </w:rPr>
            </w:pPr>
            <w:r>
              <w:rPr>
                <w:sz w:val="22"/>
              </w:rPr>
              <w:t>1,3,7</w:t>
            </w:r>
          </w:p>
        </w:tc>
      </w:tr>
      <w:tr w:rsidR="00DA5173" w14:paraId="79F280F4" w14:textId="77777777" w:rsidTr="00DA5173">
        <w:tc>
          <w:tcPr>
            <w:tcW w:w="2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D43BCEC" w14:textId="4BF1CE09" w:rsidR="00DA5173" w:rsidRDefault="00826065" w:rsidP="00DA5173">
            <w:pPr>
              <w:pStyle w:val="TableRow"/>
              <w:rPr>
                <w:sz w:val="18"/>
              </w:rPr>
            </w:pPr>
            <w:r>
              <w:rPr>
                <w:sz w:val="18"/>
              </w:rPr>
              <w:lastRenderedPageBreak/>
              <w:t xml:space="preserve">The PMHO and Vice Principal are both trained </w:t>
            </w:r>
            <w:r w:rsidR="00D03916">
              <w:rPr>
                <w:sz w:val="18"/>
              </w:rPr>
              <w:t>Thrive Practitioners.</w:t>
            </w:r>
          </w:p>
          <w:p w14:paraId="4746C941" w14:textId="46FC838F" w:rsidR="00DA5173" w:rsidRDefault="00297F7A" w:rsidP="00297F7A">
            <w:pPr>
              <w:pStyle w:val="TableRow"/>
              <w:rPr>
                <w:sz w:val="18"/>
              </w:rPr>
            </w:pPr>
            <w:r w:rsidRPr="00297F7A">
              <w:rPr>
                <w:sz w:val="18"/>
              </w:rPr>
              <w:t xml:space="preserve">The </w:t>
            </w:r>
            <w:r w:rsidRPr="00147BA1">
              <w:rPr>
                <w:b/>
                <w:sz w:val="18"/>
              </w:rPr>
              <w:t>Thrive approach</w:t>
            </w:r>
            <w:r w:rsidRPr="00297F7A">
              <w:rPr>
                <w:sz w:val="18"/>
              </w:rPr>
              <w:t xml:space="preserve"> is an assessment and planning based in</w:t>
            </w:r>
            <w:r>
              <w:rPr>
                <w:sz w:val="18"/>
              </w:rPr>
              <w:t xml:space="preserve">tervention that aims to develop </w:t>
            </w:r>
            <w:r w:rsidRPr="00297F7A">
              <w:rPr>
                <w:sz w:val="18"/>
              </w:rPr>
              <w:t>children’s social and emotional wellbeing</w:t>
            </w:r>
            <w:r>
              <w:rPr>
                <w:sz w:val="18"/>
              </w:rPr>
              <w:t xml:space="preserve">: individually, group work and whole class. </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4FDE6DB" w14:textId="77777777" w:rsidR="00147BA1" w:rsidRPr="00147BA1" w:rsidRDefault="00147BA1" w:rsidP="00147BA1">
            <w:pPr>
              <w:pStyle w:val="TableRowCentered"/>
              <w:jc w:val="left"/>
              <w:rPr>
                <w:i/>
                <w:sz w:val="18"/>
              </w:rPr>
            </w:pPr>
            <w:r w:rsidRPr="00147BA1">
              <w:rPr>
                <w:i/>
                <w:sz w:val="18"/>
              </w:rPr>
              <w:t>"It is not too strong to say that the more you embed Thrive in your settings, and the more confident you get about it, you are extending children's lives."</w:t>
            </w:r>
          </w:p>
          <w:p w14:paraId="2AC8E6CA" w14:textId="77777777" w:rsidR="00147BA1" w:rsidRDefault="00147BA1" w:rsidP="00147BA1">
            <w:pPr>
              <w:pStyle w:val="TableRowCentered"/>
              <w:jc w:val="left"/>
              <w:rPr>
                <w:sz w:val="18"/>
              </w:rPr>
            </w:pPr>
            <w:r w:rsidRPr="00147BA1">
              <w:rPr>
                <w:sz w:val="18"/>
              </w:rPr>
              <w:t xml:space="preserve">- Dr Suzanne </w:t>
            </w:r>
            <w:proofErr w:type="spellStart"/>
            <w:r w:rsidRPr="00147BA1">
              <w:rPr>
                <w:sz w:val="18"/>
              </w:rPr>
              <w:t>Zeedyk</w:t>
            </w:r>
            <w:proofErr w:type="spellEnd"/>
            <w:r w:rsidRPr="00147BA1">
              <w:rPr>
                <w:sz w:val="18"/>
              </w:rPr>
              <w:t xml:space="preserve"> on the impact of the Thrive Approach</w:t>
            </w:r>
          </w:p>
          <w:p w14:paraId="6F4ECD29" w14:textId="77777777" w:rsidR="00147BA1" w:rsidRDefault="00147BA1" w:rsidP="00147BA1">
            <w:pPr>
              <w:pStyle w:val="TableRowCentered"/>
              <w:jc w:val="left"/>
              <w:rPr>
                <w:sz w:val="18"/>
              </w:rPr>
            </w:pPr>
          </w:p>
          <w:p w14:paraId="01A3A140" w14:textId="4E41D546" w:rsidR="00147BA1" w:rsidRDefault="00297F7A" w:rsidP="00147BA1">
            <w:pPr>
              <w:pStyle w:val="TableRowCentered"/>
              <w:jc w:val="left"/>
              <w:rPr>
                <w:sz w:val="22"/>
              </w:rPr>
            </w:pPr>
            <w:r w:rsidRPr="00297F7A">
              <w:rPr>
                <w:sz w:val="18"/>
              </w:rPr>
              <w:t>Based on neuroscience and attachment theory, the Thrive Approach offers a dynamic, developmental, trauma sensitive approach that helps teachers and adults interpret the behaviour and meet the emotional and social needs of children and young people</w:t>
            </w:r>
            <w:r w:rsidRPr="00297F7A">
              <w:rPr>
                <w:sz w:val="22"/>
              </w:rPr>
              <w:t>.</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6DD788" w14:textId="7104F699" w:rsidR="00DA5173" w:rsidRDefault="00147BA1" w:rsidP="00DA5173">
            <w:pPr>
              <w:pStyle w:val="TableRowCentered"/>
              <w:jc w:val="left"/>
              <w:rPr>
                <w:sz w:val="22"/>
              </w:rPr>
            </w:pPr>
            <w:r>
              <w:rPr>
                <w:sz w:val="22"/>
              </w:rPr>
              <w:t>5</w:t>
            </w:r>
          </w:p>
        </w:tc>
      </w:tr>
      <w:tr w:rsidR="00DA5173" w14:paraId="5BDBDA3D" w14:textId="77777777" w:rsidTr="00DA5173">
        <w:tc>
          <w:tcPr>
            <w:tcW w:w="2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124B64" w14:textId="77777777" w:rsidR="00DA5173" w:rsidRDefault="00EE2CC5" w:rsidP="00DA5173">
            <w:pPr>
              <w:pStyle w:val="TableRow"/>
              <w:rPr>
                <w:sz w:val="18"/>
              </w:rPr>
            </w:pPr>
            <w:r>
              <w:rPr>
                <w:sz w:val="18"/>
              </w:rPr>
              <w:t xml:space="preserve">SLA for weekly </w:t>
            </w:r>
            <w:r w:rsidR="00DA5173" w:rsidRPr="00EE2CC5">
              <w:rPr>
                <w:b/>
                <w:sz w:val="18"/>
              </w:rPr>
              <w:t>STRIVE</w:t>
            </w:r>
            <w:r w:rsidRPr="00EE2CC5">
              <w:rPr>
                <w:b/>
                <w:sz w:val="18"/>
              </w:rPr>
              <w:t xml:space="preserve"> (specialist OT services) </w:t>
            </w:r>
            <w:r>
              <w:rPr>
                <w:sz w:val="18"/>
              </w:rPr>
              <w:t xml:space="preserve">assessment, programme development and review in school for children with OT needs and sensory difficulties. </w:t>
            </w:r>
          </w:p>
          <w:p w14:paraId="2CFBCAEE" w14:textId="77777777" w:rsidR="001C61D0" w:rsidRDefault="001C61D0" w:rsidP="00DA5173">
            <w:pPr>
              <w:pStyle w:val="TableRow"/>
              <w:rPr>
                <w:sz w:val="18"/>
              </w:rPr>
            </w:pPr>
          </w:p>
          <w:p w14:paraId="6703CE3E" w14:textId="67DF50D7" w:rsidR="001C61D0" w:rsidRDefault="001C61D0" w:rsidP="00DA5173">
            <w:pPr>
              <w:pStyle w:val="TableRow"/>
              <w:rPr>
                <w:sz w:val="18"/>
              </w:rPr>
            </w:pPr>
            <w:r w:rsidRPr="00B50EEF">
              <w:rPr>
                <w:sz w:val="18"/>
                <w:highlight w:val="yellow"/>
              </w:rPr>
              <w:t>Cost £</w:t>
            </w:r>
            <w:r w:rsidR="008A5A90" w:rsidRPr="00B50EEF">
              <w:rPr>
                <w:sz w:val="18"/>
                <w:highlight w:val="yellow"/>
              </w:rPr>
              <w:t>14,250</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138200B" w14:textId="77777777" w:rsidR="00EE2CC5" w:rsidRDefault="00EE2CC5" w:rsidP="00EE2CC5">
            <w:pPr>
              <w:pStyle w:val="TableRowCentered"/>
              <w:jc w:val="left"/>
              <w:rPr>
                <w:sz w:val="18"/>
              </w:rPr>
            </w:pPr>
            <w:r>
              <w:rPr>
                <w:sz w:val="18"/>
              </w:rPr>
              <w:t>School have highlighted that the number of children with motor and sensory difficulties has significantly increased over the past two years. The NHS OT service has an extensive waiting list and there is a lack of therapeutic input and sensory assessment.</w:t>
            </w:r>
          </w:p>
          <w:p w14:paraId="71322501" w14:textId="77777777" w:rsidR="00EE2CC5" w:rsidRDefault="00EE2CC5" w:rsidP="00EE2CC5">
            <w:pPr>
              <w:pStyle w:val="TableRowCentered"/>
              <w:jc w:val="left"/>
              <w:rPr>
                <w:sz w:val="18"/>
              </w:rPr>
            </w:pPr>
          </w:p>
          <w:p w14:paraId="180C1BB5" w14:textId="2BC27D7E" w:rsidR="00DA5173" w:rsidRDefault="00EE2CC5" w:rsidP="00EE2CC5">
            <w:pPr>
              <w:pStyle w:val="TableRowCentered"/>
              <w:jc w:val="left"/>
              <w:rPr>
                <w:sz w:val="22"/>
              </w:rPr>
            </w:pPr>
            <w:r>
              <w:rPr>
                <w:sz w:val="18"/>
              </w:rPr>
              <w:t xml:space="preserve">Through using Strive in school we now have a clearer understanding of needs, set programmes to support development and a process of review with the therapist.  </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8FB9E9" w14:textId="2EDB8225" w:rsidR="00DA5173" w:rsidRDefault="00EE2CC5" w:rsidP="00DA5173">
            <w:pPr>
              <w:pStyle w:val="TableRowCentered"/>
              <w:jc w:val="left"/>
              <w:rPr>
                <w:sz w:val="22"/>
              </w:rPr>
            </w:pPr>
            <w:r>
              <w:rPr>
                <w:sz w:val="22"/>
              </w:rPr>
              <w:t>4, 5</w:t>
            </w:r>
          </w:p>
        </w:tc>
      </w:tr>
      <w:tr w:rsidR="00B50EEF" w14:paraId="5E9A9A54" w14:textId="77777777" w:rsidTr="00DA5173">
        <w:tc>
          <w:tcPr>
            <w:tcW w:w="273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44946D" w14:textId="77777777" w:rsidR="00B50EEF" w:rsidRPr="00B50EEF" w:rsidRDefault="00B50EEF" w:rsidP="00DA5173">
            <w:pPr>
              <w:pStyle w:val="TableRow"/>
              <w:rPr>
                <w:color w:val="00B050"/>
                <w:sz w:val="18"/>
              </w:rPr>
            </w:pPr>
            <w:r w:rsidRPr="00B50EEF">
              <w:rPr>
                <w:color w:val="00B050"/>
                <w:sz w:val="18"/>
              </w:rPr>
              <w:t>OPAL Outdoor play and learn</w:t>
            </w:r>
          </w:p>
          <w:p w14:paraId="4C657390" w14:textId="77777777" w:rsidR="00B50EEF" w:rsidRPr="00B50EEF" w:rsidRDefault="00B50EEF" w:rsidP="00DA5173">
            <w:pPr>
              <w:pStyle w:val="TableRow"/>
              <w:rPr>
                <w:color w:val="00B050"/>
                <w:sz w:val="18"/>
              </w:rPr>
            </w:pPr>
            <w:r w:rsidRPr="00B50EEF">
              <w:rPr>
                <w:color w:val="00B050"/>
                <w:sz w:val="18"/>
              </w:rPr>
              <w:t xml:space="preserve">To support the children, through play, develop their social, emotional and physical skills. </w:t>
            </w:r>
          </w:p>
          <w:p w14:paraId="30F35A56" w14:textId="77777777" w:rsidR="00B50EEF" w:rsidRPr="00B50EEF" w:rsidRDefault="00B50EEF" w:rsidP="00DA5173">
            <w:pPr>
              <w:pStyle w:val="TableRow"/>
              <w:rPr>
                <w:color w:val="00B050"/>
                <w:sz w:val="18"/>
              </w:rPr>
            </w:pPr>
          </w:p>
          <w:p w14:paraId="43D972F0" w14:textId="77777777" w:rsidR="00B50EEF" w:rsidRPr="00B50EEF" w:rsidRDefault="00B50EEF" w:rsidP="00DA5173">
            <w:pPr>
              <w:pStyle w:val="TableRow"/>
              <w:rPr>
                <w:color w:val="00B050"/>
                <w:sz w:val="18"/>
              </w:rPr>
            </w:pPr>
            <w:r w:rsidRPr="00B50EEF">
              <w:rPr>
                <w:color w:val="00B050"/>
                <w:sz w:val="18"/>
              </w:rPr>
              <w:t>2year support programme for development and pedagogy</w:t>
            </w:r>
          </w:p>
          <w:p w14:paraId="0EDF9761" w14:textId="77777777" w:rsidR="00B50EEF" w:rsidRPr="00B50EEF" w:rsidRDefault="00B50EEF" w:rsidP="00DA5173">
            <w:pPr>
              <w:pStyle w:val="TableRow"/>
              <w:rPr>
                <w:color w:val="00B050"/>
                <w:sz w:val="18"/>
              </w:rPr>
            </w:pPr>
          </w:p>
          <w:p w14:paraId="5D9F35FC" w14:textId="74F2EF9B" w:rsidR="00B50EEF" w:rsidRPr="00B50EEF" w:rsidRDefault="00B50EEF" w:rsidP="00DA5173">
            <w:pPr>
              <w:pStyle w:val="TableRow"/>
              <w:rPr>
                <w:color w:val="00B050"/>
                <w:sz w:val="18"/>
              </w:rPr>
            </w:pPr>
            <w:r w:rsidRPr="00B50EEF">
              <w:rPr>
                <w:color w:val="00B050"/>
                <w:sz w:val="18"/>
              </w:rPr>
              <w:t xml:space="preserve">£4740 plus equipment </w:t>
            </w:r>
          </w:p>
        </w:tc>
        <w:tc>
          <w:tcPr>
            <w:tcW w:w="421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D9A61FE" w14:textId="77777777" w:rsidR="00B50EEF" w:rsidRPr="003A2CA9" w:rsidRDefault="00B50EEF" w:rsidP="00EE2CC5">
            <w:pPr>
              <w:pStyle w:val="TableRowCentered"/>
              <w:jc w:val="left"/>
              <w:rPr>
                <w:color w:val="00B050"/>
                <w:sz w:val="18"/>
              </w:rPr>
            </w:pPr>
            <w:r w:rsidRPr="003A2CA9">
              <w:rPr>
                <w:color w:val="00B050"/>
                <w:sz w:val="18"/>
              </w:rPr>
              <w:t xml:space="preserve">It is a mentor-supported school improvement programme addressing all 18 areas a school must plan for if they want to sustainably improve the quality of play. </w:t>
            </w:r>
          </w:p>
          <w:p w14:paraId="2DD41D66" w14:textId="77777777" w:rsidR="00B50EEF" w:rsidRPr="003A2CA9" w:rsidRDefault="00B50EEF" w:rsidP="00EE2CC5">
            <w:pPr>
              <w:pStyle w:val="TableRowCentered"/>
              <w:jc w:val="left"/>
              <w:rPr>
                <w:color w:val="00B050"/>
                <w:sz w:val="18"/>
              </w:rPr>
            </w:pPr>
            <w:r w:rsidRPr="003A2CA9">
              <w:rPr>
                <w:color w:val="00B050"/>
                <w:sz w:val="18"/>
              </w:rPr>
              <w:t>The OPAL Primary Programme is the only one of its kind, blending elements of strategic school improvement practice, action planning, self-evaluation, play work skills and knowledge and twenty years of action-research.</w:t>
            </w:r>
          </w:p>
          <w:p w14:paraId="32CAFB1B" w14:textId="77777777" w:rsidR="00B50EEF" w:rsidRPr="003A2CA9" w:rsidRDefault="00B50EEF" w:rsidP="00EE2CC5">
            <w:pPr>
              <w:pStyle w:val="TableRowCentered"/>
              <w:jc w:val="left"/>
              <w:rPr>
                <w:color w:val="00B050"/>
                <w:sz w:val="18"/>
              </w:rPr>
            </w:pPr>
          </w:p>
          <w:p w14:paraId="3FE6EA3A" w14:textId="6CF45910" w:rsidR="00B50EEF" w:rsidRPr="003A2CA9" w:rsidRDefault="00B50EEF" w:rsidP="00EE2CC5">
            <w:pPr>
              <w:pStyle w:val="TableRowCentered"/>
              <w:jc w:val="left"/>
              <w:rPr>
                <w:color w:val="00B050"/>
                <w:sz w:val="18"/>
              </w:rPr>
            </w:pPr>
            <w:r w:rsidRPr="003A2CA9">
              <w:rPr>
                <w:color w:val="00B050"/>
                <w:sz w:val="18"/>
              </w:rPr>
              <w:t>Identified staff team to ensure the success and impact of OPAL for all children</w:t>
            </w:r>
          </w:p>
        </w:tc>
        <w:tc>
          <w:tcPr>
            <w:tcW w:w="25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47935" w14:textId="56EADBB7" w:rsidR="00B50EEF" w:rsidRPr="003A2CA9" w:rsidRDefault="003A2CA9" w:rsidP="00DA5173">
            <w:pPr>
              <w:pStyle w:val="TableRowCentered"/>
              <w:jc w:val="left"/>
              <w:rPr>
                <w:color w:val="00B050"/>
                <w:sz w:val="22"/>
              </w:rPr>
            </w:pPr>
            <w:r w:rsidRPr="003A2CA9">
              <w:rPr>
                <w:color w:val="00B050"/>
                <w:sz w:val="22"/>
              </w:rPr>
              <w:t>3,5,7</w:t>
            </w:r>
          </w:p>
        </w:tc>
      </w:tr>
    </w:tbl>
    <w:p w14:paraId="2A7D5540" w14:textId="77777777" w:rsidR="00E66558" w:rsidRDefault="00E66558">
      <w:pPr>
        <w:spacing w:before="240" w:after="0"/>
        <w:rPr>
          <w:b/>
          <w:bCs/>
          <w:color w:val="104F75"/>
          <w:sz w:val="28"/>
          <w:szCs w:val="28"/>
        </w:rPr>
      </w:pPr>
    </w:p>
    <w:p w14:paraId="2A7D5541" w14:textId="74EE2B3B" w:rsidR="00E66558" w:rsidRDefault="008A5A90" w:rsidP="00120AB1">
      <w:pPr>
        <w:rPr>
          <w:b/>
          <w:bCs/>
          <w:color w:val="104F75"/>
          <w:sz w:val="28"/>
          <w:szCs w:val="28"/>
        </w:rPr>
      </w:pPr>
      <w:r>
        <w:rPr>
          <w:b/>
          <w:bCs/>
          <w:color w:val="104F75"/>
          <w:sz w:val="28"/>
          <w:szCs w:val="28"/>
        </w:rPr>
        <w:t>Total budgeted cost: £</w:t>
      </w:r>
      <w:r w:rsidR="00001E21">
        <w:rPr>
          <w:b/>
          <w:bCs/>
          <w:color w:val="104F75"/>
          <w:sz w:val="28"/>
          <w:szCs w:val="28"/>
        </w:rPr>
        <w:t>254,813</w:t>
      </w:r>
    </w:p>
    <w:p w14:paraId="6FFD7356" w14:textId="62616145" w:rsidR="00001E21" w:rsidRDefault="00001E21" w:rsidP="00120AB1">
      <w:pPr>
        <w:rPr>
          <w:i/>
          <w:iCs/>
          <w:color w:val="104F75"/>
          <w:sz w:val="28"/>
          <w:szCs w:val="28"/>
        </w:rPr>
      </w:pPr>
      <w:r>
        <w:rPr>
          <w:b/>
          <w:bCs/>
          <w:color w:val="104F75"/>
          <w:sz w:val="28"/>
          <w:szCs w:val="28"/>
        </w:rPr>
        <w:t>Recovery Funding £9900</w:t>
      </w:r>
    </w:p>
    <w:p w14:paraId="5655EFED" w14:textId="45707C3B" w:rsidR="004868CE" w:rsidRDefault="004868CE" w:rsidP="00120AB1">
      <w:pPr>
        <w:rPr>
          <w:i/>
          <w:iCs/>
          <w:color w:val="104F75"/>
          <w:sz w:val="28"/>
          <w:szCs w:val="28"/>
        </w:rPr>
      </w:pPr>
    </w:p>
    <w:p w14:paraId="2A7D5542" w14:textId="77777777" w:rsidR="00E66558" w:rsidRDefault="009D71E8">
      <w:pPr>
        <w:pStyle w:val="Heading1"/>
      </w:pPr>
      <w:r>
        <w:lastRenderedPageBreak/>
        <w:t>Part B: Review of outcomes in the previous academic year</w:t>
      </w:r>
    </w:p>
    <w:p w14:paraId="2A7D5543" w14:textId="77777777" w:rsidR="00E66558" w:rsidRDefault="009D71E8">
      <w:pPr>
        <w:pStyle w:val="Heading2"/>
      </w:pPr>
      <w:r>
        <w:t>Pupil premium strategy outcomes</w:t>
      </w:r>
    </w:p>
    <w:p w14:paraId="2A7D5544" w14:textId="77777777" w:rsidR="00E66558" w:rsidRDefault="009D71E8">
      <w:r>
        <w:t xml:space="preserve">This details the impact that our pupil premium activity had on pupils in the 2020 to 2021 academic year. </w:t>
      </w:r>
    </w:p>
    <w:tbl>
      <w:tblPr>
        <w:tblW w:w="9493" w:type="dxa"/>
        <w:tblCellMar>
          <w:left w:w="10" w:type="dxa"/>
          <w:right w:w="10" w:type="dxa"/>
        </w:tblCellMar>
        <w:tblLook w:val="04A0" w:firstRow="1" w:lastRow="0" w:firstColumn="1" w:lastColumn="0" w:noHBand="0" w:noVBand="1"/>
      </w:tblPr>
      <w:tblGrid>
        <w:gridCol w:w="9493"/>
      </w:tblGrid>
      <w:tr w:rsidR="00E66558" w14:paraId="2A7D5547" w14:textId="77777777">
        <w:trPr>
          <w:trHeight w:val="1102"/>
        </w:trPr>
        <w:tc>
          <w:tcPr>
            <w:tcW w:w="94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1D3A93" w14:textId="2E7A5A71" w:rsidR="0061620C" w:rsidRDefault="0061620C" w:rsidP="0061620C">
            <w:pPr>
              <w:pStyle w:val="NoSpacing"/>
              <w:rPr>
                <w:sz w:val="18"/>
              </w:rPr>
            </w:pPr>
            <w:r w:rsidRPr="00AA01AD">
              <w:rPr>
                <w:sz w:val="18"/>
              </w:rPr>
              <w:t xml:space="preserve">Due to COVID-19, performance measures have not been published for 2019 to 2020 or 2020 to 2021. </w:t>
            </w:r>
            <w:r>
              <w:rPr>
                <w:sz w:val="18"/>
              </w:rPr>
              <w:t xml:space="preserve">This means we have no published data to evaluate our strategy at the interim points. </w:t>
            </w:r>
          </w:p>
          <w:p w14:paraId="26EC71AD" w14:textId="7A8957FB" w:rsidR="0061620C" w:rsidRDefault="0061620C" w:rsidP="0061620C">
            <w:pPr>
              <w:pStyle w:val="NoSpacing"/>
              <w:rPr>
                <w:sz w:val="18"/>
              </w:rPr>
            </w:pPr>
            <w:r>
              <w:rPr>
                <w:sz w:val="18"/>
              </w:rPr>
              <w:t xml:space="preserve">Data </w:t>
            </w:r>
            <w:r w:rsidR="00A15BDA">
              <w:rPr>
                <w:sz w:val="18"/>
              </w:rPr>
              <w:t xml:space="preserve">in 2019 was showing that there was a significant narrowing of the gap in all areas between disadvantaged and non-disadvantaged children. </w:t>
            </w:r>
          </w:p>
          <w:p w14:paraId="02012B5A" w14:textId="1ACBBB13" w:rsidR="00A15BDA" w:rsidRDefault="00A15BDA" w:rsidP="0061620C">
            <w:pPr>
              <w:pStyle w:val="NoSpacing"/>
              <w:rPr>
                <w:sz w:val="18"/>
              </w:rPr>
            </w:pPr>
            <w:r>
              <w:rPr>
                <w:sz w:val="18"/>
              </w:rPr>
              <w:t xml:space="preserve">Through the school closures and disruption to learning we maintained our rigour and focus on the vulnerable groups, however this was significantly hindered through </w:t>
            </w:r>
            <w:proofErr w:type="spellStart"/>
            <w:r>
              <w:rPr>
                <w:sz w:val="18"/>
              </w:rPr>
              <w:t>non attendance</w:t>
            </w:r>
            <w:proofErr w:type="spellEnd"/>
            <w:r>
              <w:rPr>
                <w:sz w:val="18"/>
              </w:rPr>
              <w:t xml:space="preserve"> to school or accessing the remote learning provided.</w:t>
            </w:r>
          </w:p>
          <w:p w14:paraId="14D47D54" w14:textId="16E3E573" w:rsidR="00A15BDA" w:rsidRDefault="00A15BDA" w:rsidP="0061620C">
            <w:pPr>
              <w:pStyle w:val="NoSpacing"/>
              <w:rPr>
                <w:sz w:val="18"/>
              </w:rPr>
            </w:pPr>
            <w:r>
              <w:rPr>
                <w:sz w:val="18"/>
              </w:rPr>
              <w:t>The Pupil premium funding was spent on ensuring all the children had access to technology, learning resources and materials, SEMH support and food. A large proportion of the children who are entitled to pupil premium were not entitled to attend school during closure and this significantly disadvantaged them compared to their peers. The children who could attend were mostly SEND or children of key workers – non pupil premium. If we had invited PP children to school we would have had all of our children in attendance.</w:t>
            </w:r>
          </w:p>
          <w:p w14:paraId="6C5CEBAC" w14:textId="77777777" w:rsidR="0061620C" w:rsidRPr="00AA01AD" w:rsidRDefault="0061620C" w:rsidP="0061620C">
            <w:pPr>
              <w:pStyle w:val="NoSpacing"/>
              <w:rPr>
                <w:sz w:val="18"/>
              </w:rPr>
            </w:pPr>
          </w:p>
          <w:p w14:paraId="43CA1042" w14:textId="77777777" w:rsidR="0061620C" w:rsidRDefault="0061620C" w:rsidP="0061620C">
            <w:pPr>
              <w:pStyle w:val="NoSpacing"/>
              <w:rPr>
                <w:rFonts w:cs="Arial"/>
                <w:b/>
                <w:sz w:val="18"/>
                <w:szCs w:val="18"/>
              </w:rPr>
            </w:pPr>
            <w:r w:rsidRPr="00AA01AD">
              <w:rPr>
                <w:rFonts w:cs="Arial"/>
                <w:b/>
                <w:sz w:val="18"/>
                <w:szCs w:val="18"/>
              </w:rPr>
              <w:t>Increase the proportion of disadvantaged leaners entering KS1 ready to access the full curriculum.</w:t>
            </w:r>
          </w:p>
          <w:p w14:paraId="39DE87AC" w14:textId="77777777" w:rsidR="0061620C" w:rsidRDefault="0061620C" w:rsidP="0061620C">
            <w:pPr>
              <w:pStyle w:val="NoSpacing"/>
              <w:rPr>
                <w:rFonts w:cs="Arial"/>
                <w:b/>
                <w:sz w:val="18"/>
                <w:szCs w:val="18"/>
              </w:rPr>
            </w:pPr>
          </w:p>
          <w:p w14:paraId="2907A734" w14:textId="62E7C9FE" w:rsidR="0061620C" w:rsidRDefault="0061620C" w:rsidP="0061620C">
            <w:pPr>
              <w:pStyle w:val="NoSpacing"/>
              <w:rPr>
                <w:rFonts w:cs="Arial"/>
                <w:sz w:val="18"/>
                <w:szCs w:val="18"/>
              </w:rPr>
            </w:pPr>
            <w:r w:rsidRPr="00A47B30">
              <w:rPr>
                <w:rFonts w:cs="Arial"/>
                <w:sz w:val="18"/>
                <w:szCs w:val="18"/>
              </w:rPr>
              <w:t xml:space="preserve">Based on our estimates </w:t>
            </w:r>
            <w:r>
              <w:rPr>
                <w:rFonts w:cs="Arial"/>
                <w:sz w:val="18"/>
                <w:szCs w:val="18"/>
              </w:rPr>
              <w:t>for the EYFS profile in 2021, 54</w:t>
            </w:r>
            <w:r w:rsidRPr="00A47B30">
              <w:rPr>
                <w:rFonts w:cs="Arial"/>
                <w:sz w:val="18"/>
                <w:szCs w:val="18"/>
              </w:rPr>
              <w:t xml:space="preserve">% of disadvantaged leaners would </w:t>
            </w:r>
            <w:r>
              <w:rPr>
                <w:rFonts w:cs="Arial"/>
                <w:sz w:val="18"/>
                <w:szCs w:val="18"/>
              </w:rPr>
              <w:t>have achieved GLD compared to 67</w:t>
            </w:r>
            <w:r w:rsidRPr="00A47B30">
              <w:rPr>
                <w:rFonts w:cs="Arial"/>
                <w:sz w:val="18"/>
                <w:szCs w:val="18"/>
              </w:rPr>
              <w:t xml:space="preserve">% of their peers. This means the attainment gap is still wide in EYFS. </w:t>
            </w:r>
            <w:r>
              <w:rPr>
                <w:rFonts w:cs="Arial"/>
                <w:sz w:val="18"/>
                <w:szCs w:val="18"/>
              </w:rPr>
              <w:t xml:space="preserve">The strategy has been amended for this academic year to provide more support for EYFS staff through additional release time for the EYFS leader. </w:t>
            </w:r>
          </w:p>
          <w:p w14:paraId="25A647F0" w14:textId="77777777" w:rsidR="0061620C" w:rsidRPr="00A47B30" w:rsidRDefault="0061620C" w:rsidP="0061620C">
            <w:pPr>
              <w:pStyle w:val="NoSpacing"/>
              <w:rPr>
                <w:rFonts w:cs="Arial"/>
                <w:sz w:val="18"/>
                <w:szCs w:val="18"/>
              </w:rPr>
            </w:pPr>
          </w:p>
          <w:p w14:paraId="7722980D" w14:textId="77777777" w:rsidR="0061620C" w:rsidRPr="00AA01AD" w:rsidRDefault="0061620C" w:rsidP="0061620C">
            <w:pPr>
              <w:pStyle w:val="NoSpacing"/>
              <w:rPr>
                <w:rFonts w:cs="Arial"/>
                <w:b/>
                <w:sz w:val="18"/>
                <w:szCs w:val="18"/>
              </w:rPr>
            </w:pPr>
          </w:p>
          <w:p w14:paraId="05303113" w14:textId="77777777" w:rsidR="0061620C" w:rsidRDefault="0061620C" w:rsidP="0061620C">
            <w:pPr>
              <w:pStyle w:val="NoSpacing"/>
              <w:rPr>
                <w:rFonts w:cs="Arial"/>
                <w:b/>
                <w:sz w:val="18"/>
                <w:szCs w:val="18"/>
              </w:rPr>
            </w:pPr>
            <w:r w:rsidRPr="00AA01AD">
              <w:rPr>
                <w:rFonts w:cs="Arial"/>
                <w:b/>
                <w:sz w:val="18"/>
                <w:szCs w:val="18"/>
              </w:rPr>
              <w:t>Improve the proportion of disadvantaged leaners leaving Year 1 who are fluent in decoding.</w:t>
            </w:r>
          </w:p>
          <w:p w14:paraId="24D74D3E" w14:textId="77777777" w:rsidR="0061620C" w:rsidRDefault="0061620C" w:rsidP="0061620C">
            <w:pPr>
              <w:pStyle w:val="NoSpacing"/>
              <w:rPr>
                <w:rFonts w:cs="Arial"/>
                <w:b/>
                <w:sz w:val="18"/>
                <w:szCs w:val="18"/>
              </w:rPr>
            </w:pPr>
          </w:p>
          <w:p w14:paraId="72BB04DC" w14:textId="05B29432" w:rsidR="0061620C" w:rsidRDefault="00E21D68" w:rsidP="0061620C">
            <w:pPr>
              <w:pStyle w:val="NoSpacing"/>
              <w:rPr>
                <w:rFonts w:cs="Arial"/>
                <w:sz w:val="18"/>
                <w:szCs w:val="18"/>
              </w:rPr>
            </w:pPr>
            <w:r>
              <w:rPr>
                <w:rFonts w:cs="Arial"/>
                <w:sz w:val="18"/>
                <w:szCs w:val="18"/>
              </w:rPr>
              <w:t>In Summer 21, 40</w:t>
            </w:r>
            <w:r w:rsidR="0061620C" w:rsidRPr="00A47B30">
              <w:rPr>
                <w:rFonts w:cs="Arial"/>
                <w:sz w:val="18"/>
                <w:szCs w:val="18"/>
              </w:rPr>
              <w:t>% of disadvantaged children passed the phoni</w:t>
            </w:r>
            <w:r>
              <w:rPr>
                <w:rFonts w:cs="Arial"/>
                <w:sz w:val="18"/>
                <w:szCs w:val="18"/>
              </w:rPr>
              <w:t>c screening check compared to 76</w:t>
            </w:r>
            <w:r w:rsidR="0061620C" w:rsidRPr="00A47B30">
              <w:rPr>
                <w:rFonts w:cs="Arial"/>
                <w:sz w:val="18"/>
                <w:szCs w:val="18"/>
              </w:rPr>
              <w:t>% of their peers.</w:t>
            </w:r>
            <w:r w:rsidR="0061620C">
              <w:rPr>
                <w:rFonts w:cs="Arial"/>
                <w:b/>
                <w:sz w:val="18"/>
                <w:szCs w:val="18"/>
              </w:rPr>
              <w:t xml:space="preserve"> </w:t>
            </w:r>
            <w:r w:rsidR="0061620C" w:rsidRPr="00A47B30">
              <w:rPr>
                <w:rFonts w:cs="Arial"/>
                <w:sz w:val="18"/>
                <w:szCs w:val="18"/>
              </w:rPr>
              <w:t xml:space="preserve">The phonic check will take place again late in Autumn 2021, with results submitted to the LA. Disadvantaged children now have one-to-one tutoring in reading over the Autumn term 21, meaning that we are hoping to close this gap by the end of the term. </w:t>
            </w:r>
            <w:r>
              <w:rPr>
                <w:rFonts w:cs="Arial"/>
                <w:sz w:val="18"/>
                <w:szCs w:val="18"/>
              </w:rPr>
              <w:t>There is a rigorous phonic catch up plan that extends to year 3 and Year 4 to ensure no child is left behind.</w:t>
            </w:r>
          </w:p>
          <w:p w14:paraId="0BB654C0" w14:textId="77777777" w:rsidR="0061620C" w:rsidRPr="00A47B30" w:rsidRDefault="0061620C" w:rsidP="0061620C">
            <w:pPr>
              <w:pStyle w:val="NoSpacing"/>
              <w:rPr>
                <w:rFonts w:cs="Arial"/>
                <w:sz w:val="18"/>
                <w:szCs w:val="18"/>
              </w:rPr>
            </w:pPr>
          </w:p>
          <w:p w14:paraId="6CDE01B8" w14:textId="77777777" w:rsidR="0061620C" w:rsidRPr="00AA01AD" w:rsidRDefault="0061620C" w:rsidP="0061620C">
            <w:pPr>
              <w:pStyle w:val="NoSpacing"/>
              <w:rPr>
                <w:rFonts w:cs="Arial"/>
                <w:b/>
                <w:sz w:val="18"/>
                <w:szCs w:val="18"/>
              </w:rPr>
            </w:pPr>
          </w:p>
          <w:p w14:paraId="1BF4E3FC" w14:textId="77777777" w:rsidR="0061620C" w:rsidRDefault="0061620C" w:rsidP="0061620C">
            <w:pPr>
              <w:pStyle w:val="NoSpacing"/>
              <w:rPr>
                <w:rFonts w:cs="Arial"/>
                <w:b/>
                <w:sz w:val="18"/>
                <w:szCs w:val="18"/>
              </w:rPr>
            </w:pPr>
            <w:r w:rsidRPr="00AA01AD">
              <w:rPr>
                <w:rFonts w:cs="Arial"/>
                <w:b/>
                <w:sz w:val="18"/>
                <w:szCs w:val="18"/>
              </w:rPr>
              <w:t>Close the gap between the attainment of disadvantaged pupils and their peers by the end of KS2.</w:t>
            </w:r>
          </w:p>
          <w:p w14:paraId="1CDB0301" w14:textId="77777777" w:rsidR="0061620C" w:rsidRDefault="0061620C" w:rsidP="0061620C">
            <w:pPr>
              <w:pStyle w:val="NoSpacing"/>
              <w:rPr>
                <w:rFonts w:cs="Arial"/>
                <w:b/>
                <w:sz w:val="18"/>
                <w:szCs w:val="18"/>
              </w:rPr>
            </w:pPr>
          </w:p>
          <w:p w14:paraId="190F09A5" w14:textId="23D0165C" w:rsidR="0061620C" w:rsidRDefault="0061620C" w:rsidP="0061620C">
            <w:pPr>
              <w:pStyle w:val="NoSpacing"/>
              <w:rPr>
                <w:rFonts w:cs="Arial"/>
                <w:sz w:val="18"/>
                <w:szCs w:val="18"/>
              </w:rPr>
            </w:pPr>
            <w:r w:rsidRPr="00A47B30">
              <w:rPr>
                <w:rFonts w:cs="Arial"/>
                <w:sz w:val="18"/>
                <w:szCs w:val="18"/>
              </w:rPr>
              <w:t>Our teacher assessment at the end of summer 2021 shows a difference between disadvantaged children and their peers</w:t>
            </w:r>
            <w:r>
              <w:rPr>
                <w:rFonts w:cs="Arial"/>
                <w:sz w:val="18"/>
                <w:szCs w:val="18"/>
              </w:rPr>
              <w:t xml:space="preserve"> </w:t>
            </w:r>
            <w:r w:rsidR="00E21D68">
              <w:rPr>
                <w:rFonts w:cs="Arial"/>
                <w:sz w:val="18"/>
                <w:szCs w:val="18"/>
              </w:rPr>
              <w:t xml:space="preserve">beginning to widen once more. In 2019 the data was showing that </w:t>
            </w:r>
            <w:r w:rsidR="008352AE">
              <w:rPr>
                <w:rFonts w:cs="Arial"/>
                <w:sz w:val="18"/>
                <w:szCs w:val="18"/>
              </w:rPr>
              <w:t>strategies</w:t>
            </w:r>
            <w:r w:rsidR="00E21D68">
              <w:rPr>
                <w:rFonts w:cs="Arial"/>
                <w:sz w:val="18"/>
                <w:szCs w:val="18"/>
              </w:rPr>
              <w:t xml:space="preserve"> and </w:t>
            </w:r>
            <w:r w:rsidR="008352AE">
              <w:rPr>
                <w:rFonts w:cs="Arial"/>
                <w:sz w:val="18"/>
                <w:szCs w:val="18"/>
              </w:rPr>
              <w:t>interventions</w:t>
            </w:r>
            <w:r w:rsidR="00E21D68">
              <w:rPr>
                <w:rFonts w:cs="Arial"/>
                <w:sz w:val="18"/>
                <w:szCs w:val="18"/>
              </w:rPr>
              <w:t xml:space="preserve"> were</w:t>
            </w:r>
            <w:r w:rsidR="008352AE">
              <w:rPr>
                <w:rFonts w:cs="Arial"/>
                <w:sz w:val="18"/>
                <w:szCs w:val="18"/>
              </w:rPr>
              <w:t xml:space="preserve"> beginning to have</w:t>
            </w:r>
            <w:r w:rsidR="00E21D68">
              <w:rPr>
                <w:rFonts w:cs="Arial"/>
                <w:sz w:val="18"/>
                <w:szCs w:val="18"/>
              </w:rPr>
              <w:t xml:space="preserve"> a positive impact on the gap. The PP plan for 2021 is target and focused to ensure that this narrowing happens with urgency once more.</w:t>
            </w:r>
            <w:r w:rsidRPr="00A47B30">
              <w:rPr>
                <w:rFonts w:cs="Arial"/>
                <w:sz w:val="18"/>
                <w:szCs w:val="18"/>
              </w:rPr>
              <w:t xml:space="preserve"> </w:t>
            </w:r>
          </w:p>
          <w:p w14:paraId="70F1AEF8" w14:textId="77777777" w:rsidR="0061620C" w:rsidRDefault="0061620C" w:rsidP="0061620C">
            <w:pPr>
              <w:pStyle w:val="NoSpacing"/>
              <w:rPr>
                <w:rFonts w:cs="Arial"/>
                <w:sz w:val="18"/>
                <w:szCs w:val="18"/>
              </w:rPr>
            </w:pPr>
          </w:p>
          <w:tbl>
            <w:tblPr>
              <w:tblStyle w:val="TableGrid"/>
              <w:tblW w:w="0" w:type="auto"/>
              <w:tblLook w:val="04A0" w:firstRow="1" w:lastRow="0" w:firstColumn="1" w:lastColumn="0" w:noHBand="0" w:noVBand="1"/>
            </w:tblPr>
            <w:tblGrid>
              <w:gridCol w:w="1867"/>
              <w:gridCol w:w="1417"/>
              <w:gridCol w:w="1417"/>
              <w:gridCol w:w="1843"/>
              <w:gridCol w:w="1843"/>
            </w:tblGrid>
            <w:tr w:rsidR="008352AE" w14:paraId="2AB1DA1A" w14:textId="77777777" w:rsidTr="00212916">
              <w:tc>
                <w:tcPr>
                  <w:tcW w:w="1867" w:type="dxa"/>
                </w:tcPr>
                <w:p w14:paraId="02D24A7F" w14:textId="77777777" w:rsidR="008352AE" w:rsidRDefault="008352AE" w:rsidP="0061620C">
                  <w:pPr>
                    <w:pStyle w:val="NoSpacing"/>
                    <w:jc w:val="center"/>
                    <w:rPr>
                      <w:rFonts w:cs="Arial"/>
                      <w:sz w:val="18"/>
                      <w:szCs w:val="18"/>
                    </w:rPr>
                  </w:pPr>
                  <w:r>
                    <w:rPr>
                      <w:rFonts w:cs="Arial"/>
                      <w:sz w:val="18"/>
                      <w:szCs w:val="18"/>
                    </w:rPr>
                    <w:t>Measure</w:t>
                  </w:r>
                </w:p>
              </w:tc>
              <w:tc>
                <w:tcPr>
                  <w:tcW w:w="1417" w:type="dxa"/>
                </w:tcPr>
                <w:p w14:paraId="7B0177F1" w14:textId="77777777" w:rsidR="008352AE" w:rsidRDefault="008352AE" w:rsidP="0061620C">
                  <w:pPr>
                    <w:pStyle w:val="NoSpacing"/>
                    <w:jc w:val="center"/>
                    <w:rPr>
                      <w:rFonts w:cs="Arial"/>
                      <w:sz w:val="18"/>
                      <w:szCs w:val="18"/>
                    </w:rPr>
                  </w:pPr>
                  <w:r>
                    <w:rPr>
                      <w:rFonts w:cs="Arial"/>
                      <w:sz w:val="18"/>
                      <w:szCs w:val="18"/>
                    </w:rPr>
                    <w:t>Data 2019</w:t>
                  </w:r>
                </w:p>
                <w:p w14:paraId="748D60FE" w14:textId="3CA77E18" w:rsidR="008352AE" w:rsidRDefault="008352AE" w:rsidP="0061620C">
                  <w:pPr>
                    <w:pStyle w:val="NoSpacing"/>
                    <w:jc w:val="center"/>
                    <w:rPr>
                      <w:rFonts w:cs="Arial"/>
                      <w:sz w:val="18"/>
                      <w:szCs w:val="18"/>
                    </w:rPr>
                  </w:pPr>
                  <w:r>
                    <w:rPr>
                      <w:rFonts w:cs="Arial"/>
                      <w:sz w:val="18"/>
                      <w:szCs w:val="18"/>
                    </w:rPr>
                    <w:t>Disadvantaged</w:t>
                  </w:r>
                </w:p>
              </w:tc>
              <w:tc>
                <w:tcPr>
                  <w:tcW w:w="1417" w:type="dxa"/>
                </w:tcPr>
                <w:p w14:paraId="58C3E65D" w14:textId="16B244C8" w:rsidR="008352AE" w:rsidRDefault="008352AE" w:rsidP="008352AE">
                  <w:pPr>
                    <w:pStyle w:val="NoSpacing"/>
                    <w:jc w:val="center"/>
                    <w:rPr>
                      <w:rFonts w:cs="Arial"/>
                      <w:sz w:val="18"/>
                      <w:szCs w:val="18"/>
                    </w:rPr>
                  </w:pPr>
                  <w:r>
                    <w:rPr>
                      <w:rFonts w:cs="Arial"/>
                      <w:sz w:val="18"/>
                      <w:szCs w:val="18"/>
                    </w:rPr>
                    <w:t>Data 2019 non- advantaged</w:t>
                  </w:r>
                </w:p>
              </w:tc>
              <w:tc>
                <w:tcPr>
                  <w:tcW w:w="1843" w:type="dxa"/>
                </w:tcPr>
                <w:p w14:paraId="2CB4ACB4" w14:textId="77777777" w:rsidR="008352AE" w:rsidRPr="008352AE" w:rsidRDefault="008352AE" w:rsidP="008352AE">
                  <w:pPr>
                    <w:pStyle w:val="NoSpacing"/>
                    <w:jc w:val="center"/>
                    <w:rPr>
                      <w:rFonts w:cs="Arial"/>
                      <w:sz w:val="18"/>
                      <w:szCs w:val="18"/>
                    </w:rPr>
                  </w:pPr>
                  <w:r w:rsidRPr="008352AE">
                    <w:rPr>
                      <w:rFonts w:cs="Arial"/>
                      <w:sz w:val="18"/>
                      <w:szCs w:val="18"/>
                    </w:rPr>
                    <w:t>School TA 21</w:t>
                  </w:r>
                </w:p>
                <w:p w14:paraId="7C7FFF0C" w14:textId="1769A537" w:rsidR="008352AE" w:rsidRDefault="008352AE" w:rsidP="008352AE">
                  <w:pPr>
                    <w:pStyle w:val="NoSpacing"/>
                    <w:jc w:val="center"/>
                    <w:rPr>
                      <w:rFonts w:cs="Arial"/>
                      <w:sz w:val="18"/>
                      <w:szCs w:val="18"/>
                    </w:rPr>
                  </w:pPr>
                  <w:r>
                    <w:rPr>
                      <w:rFonts w:cs="Arial"/>
                      <w:sz w:val="18"/>
                      <w:szCs w:val="18"/>
                    </w:rPr>
                    <w:t>D</w:t>
                  </w:r>
                  <w:r w:rsidRPr="008352AE">
                    <w:rPr>
                      <w:rFonts w:cs="Arial"/>
                      <w:sz w:val="18"/>
                      <w:szCs w:val="18"/>
                    </w:rPr>
                    <w:t>isadvantaged</w:t>
                  </w:r>
                </w:p>
              </w:tc>
              <w:tc>
                <w:tcPr>
                  <w:tcW w:w="1843" w:type="dxa"/>
                </w:tcPr>
                <w:p w14:paraId="6E696914" w14:textId="06EE3BFD" w:rsidR="008352AE" w:rsidRDefault="008352AE" w:rsidP="0061620C">
                  <w:pPr>
                    <w:pStyle w:val="NoSpacing"/>
                    <w:jc w:val="center"/>
                    <w:rPr>
                      <w:rFonts w:cs="Arial"/>
                      <w:sz w:val="18"/>
                      <w:szCs w:val="18"/>
                    </w:rPr>
                  </w:pPr>
                  <w:r>
                    <w:rPr>
                      <w:rFonts w:cs="Arial"/>
                      <w:sz w:val="18"/>
                      <w:szCs w:val="18"/>
                    </w:rPr>
                    <w:t>School TA 21</w:t>
                  </w:r>
                </w:p>
                <w:p w14:paraId="5CF128AA" w14:textId="77777777" w:rsidR="008352AE" w:rsidRDefault="008352AE" w:rsidP="0061620C">
                  <w:pPr>
                    <w:pStyle w:val="NoSpacing"/>
                    <w:jc w:val="center"/>
                    <w:rPr>
                      <w:rFonts w:cs="Arial"/>
                      <w:sz w:val="18"/>
                      <w:szCs w:val="18"/>
                    </w:rPr>
                  </w:pPr>
                  <w:r>
                    <w:rPr>
                      <w:rFonts w:cs="Arial"/>
                      <w:sz w:val="18"/>
                      <w:szCs w:val="18"/>
                    </w:rPr>
                    <w:t>Non-disadvantaged</w:t>
                  </w:r>
                </w:p>
              </w:tc>
            </w:tr>
            <w:tr w:rsidR="008352AE" w14:paraId="1DF2523B" w14:textId="77777777" w:rsidTr="00212916">
              <w:tc>
                <w:tcPr>
                  <w:tcW w:w="1867" w:type="dxa"/>
                </w:tcPr>
                <w:p w14:paraId="0408D0D8" w14:textId="77777777" w:rsidR="008352AE" w:rsidRDefault="008352AE" w:rsidP="0061620C">
                  <w:pPr>
                    <w:pStyle w:val="NoSpacing"/>
                    <w:jc w:val="center"/>
                    <w:rPr>
                      <w:rFonts w:cs="Arial"/>
                      <w:sz w:val="18"/>
                      <w:szCs w:val="18"/>
                    </w:rPr>
                  </w:pPr>
                  <w:r>
                    <w:rPr>
                      <w:rFonts w:cs="Arial"/>
                      <w:sz w:val="18"/>
                      <w:szCs w:val="18"/>
                    </w:rPr>
                    <w:t>KS2 CRWM EXS+</w:t>
                  </w:r>
                </w:p>
              </w:tc>
              <w:tc>
                <w:tcPr>
                  <w:tcW w:w="1417" w:type="dxa"/>
                </w:tcPr>
                <w:p w14:paraId="1342B1A0" w14:textId="6842D05E" w:rsidR="008352AE" w:rsidRDefault="008352AE" w:rsidP="0061620C">
                  <w:pPr>
                    <w:pStyle w:val="NoSpacing"/>
                    <w:jc w:val="center"/>
                    <w:rPr>
                      <w:rFonts w:cs="Arial"/>
                      <w:sz w:val="18"/>
                      <w:szCs w:val="18"/>
                    </w:rPr>
                  </w:pPr>
                  <w:r>
                    <w:rPr>
                      <w:rFonts w:cs="Arial"/>
                      <w:sz w:val="18"/>
                      <w:szCs w:val="18"/>
                    </w:rPr>
                    <w:t>59%</w:t>
                  </w:r>
                </w:p>
              </w:tc>
              <w:tc>
                <w:tcPr>
                  <w:tcW w:w="1417" w:type="dxa"/>
                </w:tcPr>
                <w:p w14:paraId="6140A730" w14:textId="02256662" w:rsidR="008352AE" w:rsidRDefault="008352AE" w:rsidP="0061620C">
                  <w:pPr>
                    <w:pStyle w:val="NoSpacing"/>
                    <w:jc w:val="center"/>
                    <w:rPr>
                      <w:rFonts w:cs="Arial"/>
                      <w:sz w:val="18"/>
                      <w:szCs w:val="18"/>
                    </w:rPr>
                  </w:pPr>
                  <w:r>
                    <w:rPr>
                      <w:rFonts w:cs="Arial"/>
                      <w:sz w:val="18"/>
                      <w:szCs w:val="18"/>
                    </w:rPr>
                    <w:t>81%</w:t>
                  </w:r>
                </w:p>
              </w:tc>
              <w:tc>
                <w:tcPr>
                  <w:tcW w:w="1843" w:type="dxa"/>
                </w:tcPr>
                <w:p w14:paraId="1F6ABD12" w14:textId="15992934" w:rsidR="008352AE" w:rsidRDefault="0000578A" w:rsidP="0061620C">
                  <w:pPr>
                    <w:pStyle w:val="NoSpacing"/>
                    <w:jc w:val="center"/>
                    <w:rPr>
                      <w:rFonts w:cs="Arial"/>
                      <w:sz w:val="18"/>
                      <w:szCs w:val="18"/>
                    </w:rPr>
                  </w:pPr>
                  <w:r>
                    <w:rPr>
                      <w:rFonts w:cs="Arial"/>
                      <w:sz w:val="18"/>
                      <w:szCs w:val="18"/>
                    </w:rPr>
                    <w:t>59%</w:t>
                  </w:r>
                </w:p>
              </w:tc>
              <w:tc>
                <w:tcPr>
                  <w:tcW w:w="1843" w:type="dxa"/>
                </w:tcPr>
                <w:p w14:paraId="085AC989" w14:textId="7DDFD0A5" w:rsidR="008352AE" w:rsidRDefault="0000578A" w:rsidP="0061620C">
                  <w:pPr>
                    <w:pStyle w:val="NoSpacing"/>
                    <w:jc w:val="center"/>
                    <w:rPr>
                      <w:rFonts w:cs="Arial"/>
                      <w:sz w:val="18"/>
                      <w:szCs w:val="18"/>
                    </w:rPr>
                  </w:pPr>
                  <w:r>
                    <w:rPr>
                      <w:rFonts w:cs="Arial"/>
                      <w:sz w:val="18"/>
                      <w:szCs w:val="18"/>
                    </w:rPr>
                    <w:t>73%</w:t>
                  </w:r>
                </w:p>
              </w:tc>
            </w:tr>
            <w:tr w:rsidR="008352AE" w14:paraId="5120E38F" w14:textId="77777777" w:rsidTr="00212916">
              <w:tc>
                <w:tcPr>
                  <w:tcW w:w="1867" w:type="dxa"/>
                </w:tcPr>
                <w:p w14:paraId="74496384" w14:textId="77777777" w:rsidR="008352AE" w:rsidRDefault="008352AE" w:rsidP="0061620C">
                  <w:pPr>
                    <w:pStyle w:val="NoSpacing"/>
                    <w:jc w:val="center"/>
                    <w:rPr>
                      <w:rFonts w:cs="Arial"/>
                      <w:sz w:val="18"/>
                      <w:szCs w:val="18"/>
                    </w:rPr>
                  </w:pPr>
                  <w:r>
                    <w:rPr>
                      <w:rFonts w:cs="Arial"/>
                      <w:sz w:val="18"/>
                      <w:szCs w:val="18"/>
                    </w:rPr>
                    <w:t>KS2 Reading EXS+</w:t>
                  </w:r>
                </w:p>
              </w:tc>
              <w:tc>
                <w:tcPr>
                  <w:tcW w:w="1417" w:type="dxa"/>
                </w:tcPr>
                <w:p w14:paraId="5611A1E4" w14:textId="0776DE40" w:rsidR="008352AE" w:rsidRDefault="008352AE" w:rsidP="0061620C">
                  <w:pPr>
                    <w:pStyle w:val="NoSpacing"/>
                    <w:jc w:val="center"/>
                    <w:rPr>
                      <w:rFonts w:cs="Arial"/>
                      <w:sz w:val="18"/>
                      <w:szCs w:val="18"/>
                    </w:rPr>
                  </w:pPr>
                  <w:r>
                    <w:rPr>
                      <w:rFonts w:cs="Arial"/>
                      <w:sz w:val="18"/>
                      <w:szCs w:val="18"/>
                    </w:rPr>
                    <w:t>72%</w:t>
                  </w:r>
                </w:p>
              </w:tc>
              <w:tc>
                <w:tcPr>
                  <w:tcW w:w="1417" w:type="dxa"/>
                </w:tcPr>
                <w:p w14:paraId="3E7BC719" w14:textId="7A15CD93" w:rsidR="008352AE" w:rsidRDefault="008352AE" w:rsidP="0061620C">
                  <w:pPr>
                    <w:pStyle w:val="NoSpacing"/>
                    <w:jc w:val="center"/>
                    <w:rPr>
                      <w:rFonts w:cs="Arial"/>
                      <w:sz w:val="18"/>
                      <w:szCs w:val="18"/>
                    </w:rPr>
                  </w:pPr>
                  <w:r>
                    <w:rPr>
                      <w:rFonts w:cs="Arial"/>
                      <w:sz w:val="18"/>
                      <w:szCs w:val="18"/>
                    </w:rPr>
                    <w:t>85%</w:t>
                  </w:r>
                </w:p>
              </w:tc>
              <w:tc>
                <w:tcPr>
                  <w:tcW w:w="1843" w:type="dxa"/>
                </w:tcPr>
                <w:p w14:paraId="33E480D8" w14:textId="480D4C9D" w:rsidR="008352AE" w:rsidRDefault="0000578A" w:rsidP="0061620C">
                  <w:pPr>
                    <w:pStyle w:val="NoSpacing"/>
                    <w:jc w:val="center"/>
                    <w:rPr>
                      <w:rFonts w:cs="Arial"/>
                      <w:sz w:val="18"/>
                      <w:szCs w:val="18"/>
                    </w:rPr>
                  </w:pPr>
                  <w:r>
                    <w:rPr>
                      <w:rFonts w:cs="Arial"/>
                      <w:sz w:val="18"/>
                      <w:szCs w:val="18"/>
                    </w:rPr>
                    <w:t>76%</w:t>
                  </w:r>
                </w:p>
              </w:tc>
              <w:tc>
                <w:tcPr>
                  <w:tcW w:w="1843" w:type="dxa"/>
                </w:tcPr>
                <w:p w14:paraId="2D91E592" w14:textId="50EA486D" w:rsidR="008352AE" w:rsidRDefault="0000578A" w:rsidP="0061620C">
                  <w:pPr>
                    <w:pStyle w:val="NoSpacing"/>
                    <w:jc w:val="center"/>
                    <w:rPr>
                      <w:rFonts w:cs="Arial"/>
                      <w:sz w:val="18"/>
                      <w:szCs w:val="18"/>
                    </w:rPr>
                  </w:pPr>
                  <w:r>
                    <w:rPr>
                      <w:rFonts w:cs="Arial"/>
                      <w:sz w:val="18"/>
                      <w:szCs w:val="18"/>
                    </w:rPr>
                    <w:t>91%</w:t>
                  </w:r>
                </w:p>
              </w:tc>
            </w:tr>
            <w:tr w:rsidR="008352AE" w14:paraId="4004C62C" w14:textId="77777777" w:rsidTr="00212916">
              <w:tc>
                <w:tcPr>
                  <w:tcW w:w="1867" w:type="dxa"/>
                </w:tcPr>
                <w:p w14:paraId="75C6D6C3" w14:textId="77777777" w:rsidR="008352AE" w:rsidRDefault="008352AE" w:rsidP="0061620C">
                  <w:pPr>
                    <w:pStyle w:val="NoSpacing"/>
                    <w:jc w:val="center"/>
                    <w:rPr>
                      <w:rFonts w:cs="Arial"/>
                      <w:sz w:val="18"/>
                      <w:szCs w:val="18"/>
                    </w:rPr>
                  </w:pPr>
                  <w:r>
                    <w:rPr>
                      <w:rFonts w:cs="Arial"/>
                      <w:sz w:val="18"/>
                      <w:szCs w:val="18"/>
                    </w:rPr>
                    <w:t>KS2 Writing EXS+</w:t>
                  </w:r>
                </w:p>
              </w:tc>
              <w:tc>
                <w:tcPr>
                  <w:tcW w:w="1417" w:type="dxa"/>
                </w:tcPr>
                <w:p w14:paraId="2C311E23" w14:textId="3A17A1D7" w:rsidR="008352AE" w:rsidRDefault="008352AE" w:rsidP="0061620C">
                  <w:pPr>
                    <w:pStyle w:val="NoSpacing"/>
                    <w:jc w:val="center"/>
                    <w:rPr>
                      <w:rFonts w:cs="Arial"/>
                      <w:sz w:val="18"/>
                      <w:szCs w:val="18"/>
                    </w:rPr>
                  </w:pPr>
                  <w:r>
                    <w:rPr>
                      <w:rFonts w:cs="Arial"/>
                      <w:sz w:val="18"/>
                      <w:szCs w:val="18"/>
                    </w:rPr>
                    <w:t>75%</w:t>
                  </w:r>
                </w:p>
              </w:tc>
              <w:tc>
                <w:tcPr>
                  <w:tcW w:w="1417" w:type="dxa"/>
                </w:tcPr>
                <w:p w14:paraId="6829F3AB" w14:textId="775137EA" w:rsidR="008352AE" w:rsidRDefault="008352AE" w:rsidP="0061620C">
                  <w:pPr>
                    <w:pStyle w:val="NoSpacing"/>
                    <w:jc w:val="center"/>
                    <w:rPr>
                      <w:rFonts w:cs="Arial"/>
                      <w:sz w:val="18"/>
                      <w:szCs w:val="18"/>
                    </w:rPr>
                  </w:pPr>
                  <w:r>
                    <w:rPr>
                      <w:rFonts w:cs="Arial"/>
                      <w:sz w:val="18"/>
                      <w:szCs w:val="18"/>
                    </w:rPr>
                    <w:t>96%</w:t>
                  </w:r>
                </w:p>
              </w:tc>
              <w:tc>
                <w:tcPr>
                  <w:tcW w:w="1843" w:type="dxa"/>
                </w:tcPr>
                <w:p w14:paraId="1D66126C" w14:textId="45BA88AC" w:rsidR="008352AE" w:rsidRDefault="0000578A" w:rsidP="0061620C">
                  <w:pPr>
                    <w:pStyle w:val="NoSpacing"/>
                    <w:jc w:val="center"/>
                    <w:rPr>
                      <w:rFonts w:cs="Arial"/>
                      <w:sz w:val="18"/>
                      <w:szCs w:val="18"/>
                    </w:rPr>
                  </w:pPr>
                  <w:r>
                    <w:rPr>
                      <w:rFonts w:cs="Arial"/>
                      <w:sz w:val="18"/>
                      <w:szCs w:val="18"/>
                    </w:rPr>
                    <w:t>68%</w:t>
                  </w:r>
                </w:p>
              </w:tc>
              <w:tc>
                <w:tcPr>
                  <w:tcW w:w="1843" w:type="dxa"/>
                </w:tcPr>
                <w:p w14:paraId="2C75D8A4" w14:textId="06F201AB" w:rsidR="008352AE" w:rsidRDefault="0000578A" w:rsidP="0061620C">
                  <w:pPr>
                    <w:pStyle w:val="NoSpacing"/>
                    <w:jc w:val="center"/>
                    <w:rPr>
                      <w:rFonts w:cs="Arial"/>
                      <w:sz w:val="18"/>
                      <w:szCs w:val="18"/>
                    </w:rPr>
                  </w:pPr>
                  <w:r>
                    <w:rPr>
                      <w:rFonts w:cs="Arial"/>
                      <w:sz w:val="18"/>
                      <w:szCs w:val="18"/>
                    </w:rPr>
                    <w:t>82%</w:t>
                  </w:r>
                </w:p>
              </w:tc>
            </w:tr>
            <w:tr w:rsidR="008352AE" w14:paraId="7B82D72E" w14:textId="77777777" w:rsidTr="00212916">
              <w:tc>
                <w:tcPr>
                  <w:tcW w:w="1867" w:type="dxa"/>
                </w:tcPr>
                <w:p w14:paraId="1233617A" w14:textId="77777777" w:rsidR="008352AE" w:rsidRDefault="008352AE" w:rsidP="0061620C">
                  <w:pPr>
                    <w:pStyle w:val="NoSpacing"/>
                    <w:jc w:val="center"/>
                    <w:rPr>
                      <w:rFonts w:cs="Arial"/>
                      <w:sz w:val="18"/>
                      <w:szCs w:val="18"/>
                    </w:rPr>
                  </w:pPr>
                  <w:r>
                    <w:rPr>
                      <w:rFonts w:cs="Arial"/>
                      <w:sz w:val="18"/>
                      <w:szCs w:val="18"/>
                    </w:rPr>
                    <w:t>KS2 Maths EXS+</w:t>
                  </w:r>
                </w:p>
              </w:tc>
              <w:tc>
                <w:tcPr>
                  <w:tcW w:w="1417" w:type="dxa"/>
                </w:tcPr>
                <w:p w14:paraId="78011EFF" w14:textId="269A0661" w:rsidR="008352AE" w:rsidRDefault="008352AE" w:rsidP="0061620C">
                  <w:pPr>
                    <w:pStyle w:val="NoSpacing"/>
                    <w:jc w:val="center"/>
                    <w:rPr>
                      <w:rFonts w:cs="Arial"/>
                      <w:sz w:val="18"/>
                      <w:szCs w:val="18"/>
                    </w:rPr>
                  </w:pPr>
                  <w:r>
                    <w:rPr>
                      <w:rFonts w:cs="Arial"/>
                      <w:sz w:val="18"/>
                      <w:szCs w:val="18"/>
                    </w:rPr>
                    <w:t>81%</w:t>
                  </w:r>
                </w:p>
              </w:tc>
              <w:tc>
                <w:tcPr>
                  <w:tcW w:w="1417" w:type="dxa"/>
                </w:tcPr>
                <w:p w14:paraId="582F307A" w14:textId="253F2B99" w:rsidR="008352AE" w:rsidRDefault="008352AE" w:rsidP="0061620C">
                  <w:pPr>
                    <w:pStyle w:val="NoSpacing"/>
                    <w:jc w:val="center"/>
                    <w:rPr>
                      <w:rFonts w:cs="Arial"/>
                      <w:sz w:val="18"/>
                      <w:szCs w:val="18"/>
                    </w:rPr>
                  </w:pPr>
                  <w:r>
                    <w:rPr>
                      <w:rFonts w:cs="Arial"/>
                      <w:sz w:val="18"/>
                      <w:szCs w:val="18"/>
                    </w:rPr>
                    <w:t>81%</w:t>
                  </w:r>
                </w:p>
              </w:tc>
              <w:tc>
                <w:tcPr>
                  <w:tcW w:w="1843" w:type="dxa"/>
                </w:tcPr>
                <w:p w14:paraId="1FD94EAD" w14:textId="5A244142" w:rsidR="008352AE" w:rsidRDefault="0000578A" w:rsidP="0061620C">
                  <w:pPr>
                    <w:pStyle w:val="NoSpacing"/>
                    <w:jc w:val="center"/>
                    <w:rPr>
                      <w:rFonts w:cs="Arial"/>
                      <w:sz w:val="18"/>
                      <w:szCs w:val="18"/>
                    </w:rPr>
                  </w:pPr>
                  <w:r>
                    <w:rPr>
                      <w:rFonts w:cs="Arial"/>
                      <w:sz w:val="18"/>
                      <w:szCs w:val="18"/>
                    </w:rPr>
                    <w:t>84%</w:t>
                  </w:r>
                </w:p>
              </w:tc>
              <w:tc>
                <w:tcPr>
                  <w:tcW w:w="1843" w:type="dxa"/>
                </w:tcPr>
                <w:p w14:paraId="2563AA23" w14:textId="49507BB7" w:rsidR="008352AE" w:rsidRDefault="0000578A" w:rsidP="0061620C">
                  <w:pPr>
                    <w:pStyle w:val="NoSpacing"/>
                    <w:jc w:val="center"/>
                    <w:rPr>
                      <w:rFonts w:cs="Arial"/>
                      <w:sz w:val="18"/>
                      <w:szCs w:val="18"/>
                    </w:rPr>
                  </w:pPr>
                  <w:r>
                    <w:rPr>
                      <w:rFonts w:cs="Arial"/>
                      <w:sz w:val="18"/>
                      <w:szCs w:val="18"/>
                    </w:rPr>
                    <w:t>77%</w:t>
                  </w:r>
                </w:p>
              </w:tc>
            </w:tr>
          </w:tbl>
          <w:p w14:paraId="6585F113" w14:textId="77777777" w:rsidR="0061620C" w:rsidRDefault="0061620C" w:rsidP="0061620C">
            <w:pPr>
              <w:pStyle w:val="NoSpacing"/>
              <w:rPr>
                <w:rFonts w:cs="Arial"/>
                <w:sz w:val="18"/>
                <w:szCs w:val="18"/>
              </w:rPr>
            </w:pPr>
          </w:p>
          <w:p w14:paraId="5E7E5F5C" w14:textId="77777777" w:rsidR="0061620C" w:rsidRPr="00AA01AD" w:rsidRDefault="0061620C" w:rsidP="0061620C">
            <w:pPr>
              <w:pStyle w:val="NoSpacing"/>
              <w:rPr>
                <w:rFonts w:cs="Arial"/>
                <w:b/>
                <w:sz w:val="18"/>
                <w:szCs w:val="18"/>
              </w:rPr>
            </w:pPr>
          </w:p>
          <w:p w14:paraId="311D371F" w14:textId="77777777" w:rsidR="0061620C" w:rsidRDefault="0061620C" w:rsidP="0061620C">
            <w:pPr>
              <w:pStyle w:val="NoSpacing"/>
              <w:rPr>
                <w:rFonts w:cs="Arial"/>
                <w:b/>
                <w:sz w:val="18"/>
                <w:szCs w:val="18"/>
              </w:rPr>
            </w:pPr>
            <w:r w:rsidRPr="00AA01AD">
              <w:rPr>
                <w:rFonts w:cs="Arial"/>
                <w:b/>
                <w:sz w:val="18"/>
                <w:szCs w:val="18"/>
              </w:rPr>
              <w:t>Develop the vocabulary of disadvantaged leaners, in general and across the wider curriculum.</w:t>
            </w:r>
          </w:p>
          <w:p w14:paraId="48D86CEA" w14:textId="77777777" w:rsidR="0061620C" w:rsidRDefault="0061620C" w:rsidP="0061620C">
            <w:pPr>
              <w:pStyle w:val="NoSpacing"/>
              <w:rPr>
                <w:rFonts w:cs="Arial"/>
                <w:b/>
                <w:sz w:val="18"/>
                <w:szCs w:val="18"/>
              </w:rPr>
            </w:pPr>
          </w:p>
          <w:p w14:paraId="31D71FE1" w14:textId="2E84AAB1" w:rsidR="0061620C" w:rsidRDefault="0061620C" w:rsidP="0061620C">
            <w:pPr>
              <w:pStyle w:val="NoSpacing"/>
              <w:rPr>
                <w:rFonts w:cs="Arial"/>
                <w:sz w:val="18"/>
                <w:szCs w:val="18"/>
              </w:rPr>
            </w:pPr>
            <w:r>
              <w:rPr>
                <w:rFonts w:cs="Arial"/>
                <w:sz w:val="18"/>
                <w:szCs w:val="18"/>
              </w:rPr>
              <w:t>Through monitoring across school, it is clear that vocabulary has been a priority for development and that this work is starting to bear fruit. Childre</w:t>
            </w:r>
            <w:r w:rsidR="0000578A">
              <w:rPr>
                <w:rFonts w:cs="Arial"/>
                <w:sz w:val="18"/>
                <w:szCs w:val="18"/>
              </w:rPr>
              <w:t>n’s work shows more advanced use</w:t>
            </w:r>
            <w:r>
              <w:rPr>
                <w:rFonts w:cs="Arial"/>
                <w:sz w:val="18"/>
                <w:szCs w:val="18"/>
              </w:rPr>
              <w:t xml:space="preserve"> of vocabulary. </w:t>
            </w:r>
            <w:r w:rsidR="0000578A">
              <w:rPr>
                <w:rFonts w:cs="Arial"/>
                <w:sz w:val="18"/>
                <w:szCs w:val="18"/>
              </w:rPr>
              <w:t xml:space="preserve">Through a rigorous ‘text based’ curriculum and a drive for vocabulary and understanding children are accessing their learning with greater independence. </w:t>
            </w:r>
          </w:p>
          <w:p w14:paraId="2BDFBEF7" w14:textId="19AF2AA8" w:rsidR="0061620C" w:rsidRPr="0000578A" w:rsidRDefault="0000578A" w:rsidP="0061620C">
            <w:pPr>
              <w:pStyle w:val="NoSpacing"/>
              <w:rPr>
                <w:rFonts w:cs="Arial"/>
                <w:sz w:val="18"/>
                <w:szCs w:val="18"/>
              </w:rPr>
            </w:pPr>
            <w:r>
              <w:rPr>
                <w:rFonts w:cs="Arial"/>
                <w:sz w:val="18"/>
                <w:szCs w:val="18"/>
              </w:rPr>
              <w:t>Children in EYFS and KS1 are showing gaps in their understanding and vocabulary once more since school closure.</w:t>
            </w:r>
          </w:p>
          <w:p w14:paraId="41ADD290" w14:textId="77777777" w:rsidR="0061620C" w:rsidRPr="00AA01AD" w:rsidRDefault="0061620C" w:rsidP="0061620C">
            <w:pPr>
              <w:pStyle w:val="NoSpacing"/>
              <w:rPr>
                <w:rFonts w:cs="Arial"/>
                <w:b/>
                <w:sz w:val="18"/>
                <w:szCs w:val="18"/>
              </w:rPr>
            </w:pPr>
          </w:p>
          <w:p w14:paraId="668D0003" w14:textId="77777777" w:rsidR="0000578A" w:rsidRDefault="0000578A" w:rsidP="0061620C">
            <w:pPr>
              <w:pStyle w:val="NoSpacing"/>
              <w:rPr>
                <w:rFonts w:cs="Arial"/>
                <w:b/>
                <w:sz w:val="18"/>
                <w:szCs w:val="18"/>
              </w:rPr>
            </w:pPr>
          </w:p>
          <w:p w14:paraId="290CFACA" w14:textId="77777777" w:rsidR="0000578A" w:rsidRDefault="0000578A" w:rsidP="0061620C">
            <w:pPr>
              <w:pStyle w:val="NoSpacing"/>
              <w:rPr>
                <w:rFonts w:cs="Arial"/>
                <w:b/>
                <w:sz w:val="18"/>
                <w:szCs w:val="18"/>
              </w:rPr>
            </w:pPr>
          </w:p>
          <w:p w14:paraId="63F66977" w14:textId="77777777" w:rsidR="0000578A" w:rsidRDefault="0000578A" w:rsidP="0061620C">
            <w:pPr>
              <w:pStyle w:val="NoSpacing"/>
              <w:rPr>
                <w:rFonts w:cs="Arial"/>
                <w:b/>
                <w:sz w:val="18"/>
                <w:szCs w:val="18"/>
              </w:rPr>
            </w:pPr>
          </w:p>
          <w:p w14:paraId="4473A711" w14:textId="5C452702" w:rsidR="0061620C" w:rsidRDefault="0061620C" w:rsidP="0061620C">
            <w:pPr>
              <w:pStyle w:val="NoSpacing"/>
              <w:rPr>
                <w:rFonts w:cs="Arial"/>
                <w:b/>
                <w:sz w:val="18"/>
                <w:szCs w:val="18"/>
              </w:rPr>
            </w:pPr>
            <w:r w:rsidRPr="00AA01AD">
              <w:rPr>
                <w:rFonts w:cs="Arial"/>
                <w:b/>
                <w:sz w:val="18"/>
                <w:szCs w:val="18"/>
              </w:rPr>
              <w:lastRenderedPageBreak/>
              <w:t>Improve the attendance and punctuality of disadvantaged learners.</w:t>
            </w:r>
          </w:p>
          <w:p w14:paraId="23DD1F54" w14:textId="77777777" w:rsidR="0061620C" w:rsidRDefault="0061620C" w:rsidP="0061620C">
            <w:pPr>
              <w:pStyle w:val="NoSpacing"/>
              <w:rPr>
                <w:rFonts w:cs="Arial"/>
                <w:b/>
                <w:sz w:val="18"/>
                <w:szCs w:val="18"/>
              </w:rPr>
            </w:pPr>
          </w:p>
          <w:p w14:paraId="2A7D5546" w14:textId="4D112822" w:rsidR="0061620C" w:rsidRDefault="0061620C" w:rsidP="0061620C">
            <w:r>
              <w:rPr>
                <w:rFonts w:cs="Arial"/>
                <w:sz w:val="18"/>
                <w:szCs w:val="18"/>
              </w:rPr>
              <w:t xml:space="preserve">The pandemic has had a huge impact on this aim. </w:t>
            </w:r>
            <w:r w:rsidRPr="00141E66">
              <w:rPr>
                <w:rFonts w:cs="Arial"/>
                <w:sz w:val="18"/>
                <w:szCs w:val="18"/>
              </w:rPr>
              <w:t xml:space="preserve">Disadvantaged attendance at the end of July 2021 was </w:t>
            </w:r>
            <w:r w:rsidR="0000578A">
              <w:rPr>
                <w:rFonts w:cs="Arial"/>
                <w:sz w:val="18"/>
                <w:szCs w:val="18"/>
              </w:rPr>
              <w:t>91%, compared to 97</w:t>
            </w:r>
            <w:r w:rsidRPr="00141E66">
              <w:rPr>
                <w:rFonts w:cs="Arial"/>
                <w:sz w:val="18"/>
                <w:szCs w:val="18"/>
              </w:rPr>
              <w:t>% for non-disadvantaged children.</w:t>
            </w:r>
            <w:r>
              <w:rPr>
                <w:rFonts w:cs="Arial"/>
                <w:sz w:val="18"/>
                <w:szCs w:val="18"/>
              </w:rPr>
              <w:t xml:space="preserve"> The team responsible for attendance are continually revising the attendance procedures with support from the Trust central team. There is clear system in place to not only reward good attendance, but moni</w:t>
            </w:r>
            <w:r w:rsidR="00F0372C">
              <w:rPr>
                <w:rFonts w:cs="Arial"/>
                <w:sz w:val="18"/>
                <w:szCs w:val="18"/>
              </w:rPr>
              <w:t xml:space="preserve">tor children whose attendance is </w:t>
            </w:r>
            <w:r>
              <w:rPr>
                <w:rFonts w:cs="Arial"/>
                <w:sz w:val="18"/>
                <w:szCs w:val="18"/>
              </w:rPr>
              <w:t>not high enough and then provide support where necessary. We need a full year without a national lockdown to truly see the impact of our work in this area.</w:t>
            </w:r>
          </w:p>
        </w:tc>
      </w:tr>
    </w:tbl>
    <w:p w14:paraId="2A7D5548" w14:textId="0B9DFFAE" w:rsidR="00E66558" w:rsidRDefault="009D71E8">
      <w:pPr>
        <w:pStyle w:val="Heading2"/>
        <w:spacing w:before="600"/>
      </w:pPr>
      <w:bookmarkStart w:id="17" w:name="_GoBack"/>
      <w:bookmarkEnd w:id="17"/>
      <w:r>
        <w:lastRenderedPageBreak/>
        <w:t>Externally provided programmes</w:t>
      </w:r>
    </w:p>
    <w:p w14:paraId="2A7D5549" w14:textId="77777777" w:rsidR="00E66558" w:rsidRDefault="009D71E8">
      <w:pPr>
        <w:rPr>
          <w:i/>
          <w:iCs/>
        </w:rPr>
      </w:pPr>
      <w:r>
        <w:rPr>
          <w:i/>
          <w:iCs/>
        </w:rPr>
        <w:t>Please include the names of any non-</w:t>
      </w:r>
      <w:proofErr w:type="spellStart"/>
      <w:r>
        <w:rPr>
          <w:i/>
          <w:iCs/>
        </w:rPr>
        <w:t>DfE</w:t>
      </w:r>
      <w:proofErr w:type="spellEnd"/>
      <w:r>
        <w:rPr>
          <w:i/>
          <w:iCs/>
        </w:rPr>
        <w:t xml:space="preserve"> programmes that you purchased in the previous academic year. This will help the Department for Education identify which ones are popular in England</w:t>
      </w:r>
    </w:p>
    <w:tbl>
      <w:tblPr>
        <w:tblW w:w="5000" w:type="pct"/>
        <w:tblCellMar>
          <w:left w:w="10" w:type="dxa"/>
          <w:right w:w="10" w:type="dxa"/>
        </w:tblCellMar>
        <w:tblLook w:val="04A0" w:firstRow="1" w:lastRow="0" w:firstColumn="1" w:lastColumn="0" w:noHBand="0" w:noVBand="1"/>
      </w:tblPr>
      <w:tblGrid>
        <w:gridCol w:w="4815"/>
        <w:gridCol w:w="4671"/>
      </w:tblGrid>
      <w:tr w:rsidR="00E66558" w14:paraId="2A7D554C" w14:textId="77777777">
        <w:tc>
          <w:tcPr>
            <w:tcW w:w="4815"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A" w14:textId="77777777" w:rsidR="00E66558" w:rsidRDefault="009D71E8">
            <w:pPr>
              <w:pStyle w:val="TableHeader"/>
              <w:jc w:val="left"/>
            </w:pPr>
            <w:r>
              <w:t>Programme</w:t>
            </w:r>
          </w:p>
        </w:tc>
        <w:tc>
          <w:tcPr>
            <w:tcW w:w="4671" w:type="dxa"/>
            <w:tcBorders>
              <w:top w:val="single" w:sz="4" w:space="0" w:color="000000"/>
              <w:left w:val="single" w:sz="4" w:space="0" w:color="000000"/>
              <w:bottom w:val="single" w:sz="4" w:space="0" w:color="000000"/>
              <w:right w:val="single" w:sz="4" w:space="0" w:color="000000"/>
            </w:tcBorders>
            <w:shd w:val="clear" w:color="auto" w:fill="D8E2E9"/>
            <w:tcMar>
              <w:top w:w="0" w:type="dxa"/>
              <w:left w:w="108" w:type="dxa"/>
              <w:bottom w:w="0" w:type="dxa"/>
              <w:right w:w="108" w:type="dxa"/>
            </w:tcMar>
          </w:tcPr>
          <w:p w14:paraId="2A7D554B" w14:textId="77777777" w:rsidR="00E66558" w:rsidRDefault="009D71E8">
            <w:pPr>
              <w:pStyle w:val="TableHeader"/>
              <w:jc w:val="left"/>
            </w:pPr>
            <w:r>
              <w:t>Provider</w:t>
            </w:r>
          </w:p>
        </w:tc>
      </w:tr>
      <w:tr w:rsidR="00E66558" w14:paraId="2A7D554F"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D" w14:textId="352C6B4E" w:rsidR="00E66558" w:rsidRDefault="009C6009">
            <w:pPr>
              <w:pStyle w:val="TableRow"/>
            </w:pPr>
            <w:r>
              <w:t>Times Table Rock Stars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4E" w14:textId="2C64179B" w:rsidR="00E66558" w:rsidRDefault="009C6009">
            <w:pPr>
              <w:pStyle w:val="TableRowCentered"/>
              <w:jc w:val="left"/>
            </w:pPr>
            <w:r>
              <w:t>Maths Circle</w:t>
            </w:r>
          </w:p>
        </w:tc>
      </w:tr>
      <w:tr w:rsidR="00E66558" w14:paraId="2A7D5552"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0" w14:textId="57045F79" w:rsidR="00E66558" w:rsidRDefault="009C6009">
            <w:pPr>
              <w:pStyle w:val="TableRow"/>
            </w:pPr>
            <w:r>
              <w:t>Reading Plus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7D5551" w14:textId="6DFF3208" w:rsidR="00E66558" w:rsidRDefault="009C6009">
            <w:pPr>
              <w:pStyle w:val="TableRowCentered"/>
              <w:jc w:val="left"/>
            </w:pPr>
            <w:r>
              <w:t>Dream Box Learning</w:t>
            </w:r>
          </w:p>
        </w:tc>
      </w:tr>
      <w:tr w:rsidR="009C6009" w14:paraId="07081C14"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7362C8" w14:textId="7D944910" w:rsidR="009C6009" w:rsidRDefault="009C6009">
            <w:pPr>
              <w:pStyle w:val="TableRow"/>
            </w:pPr>
            <w:r>
              <w:t xml:space="preserve">Little </w:t>
            </w:r>
            <w:proofErr w:type="spellStart"/>
            <w:r>
              <w:t>Wandle</w:t>
            </w:r>
            <w:proofErr w:type="spellEnd"/>
            <w:r>
              <w:t xml:space="preserve"> letters and sounds</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A17B69" w14:textId="55C993D8" w:rsidR="009C6009" w:rsidRDefault="009C6009">
            <w:pPr>
              <w:pStyle w:val="TableRowCentered"/>
              <w:jc w:val="left"/>
            </w:pPr>
            <w:r>
              <w:t xml:space="preserve">Little </w:t>
            </w:r>
            <w:proofErr w:type="spellStart"/>
            <w:r>
              <w:t>Wandle</w:t>
            </w:r>
            <w:proofErr w:type="spellEnd"/>
            <w:r>
              <w:t xml:space="preserve"> letters and sounds</w:t>
            </w:r>
          </w:p>
        </w:tc>
      </w:tr>
      <w:tr w:rsidR="009C6009" w14:paraId="1AE19FFC" w14:textId="77777777">
        <w:tc>
          <w:tcPr>
            <w:tcW w:w="48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CFA00A" w14:textId="1B24F172" w:rsidR="009C6009" w:rsidRDefault="009C6009">
            <w:pPr>
              <w:pStyle w:val="TableRow"/>
            </w:pPr>
            <w:r>
              <w:t>Power of Reading</w:t>
            </w:r>
          </w:p>
        </w:tc>
        <w:tc>
          <w:tcPr>
            <w:tcW w:w="467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73B5967" w14:textId="67A6A443" w:rsidR="009C6009" w:rsidRDefault="009C6009">
            <w:pPr>
              <w:pStyle w:val="TableRowCentered"/>
              <w:jc w:val="left"/>
            </w:pPr>
            <w:r>
              <w:t>Centre for Literacy in Primary Education</w:t>
            </w:r>
          </w:p>
        </w:tc>
      </w:tr>
      <w:bookmarkEnd w:id="14"/>
      <w:bookmarkEnd w:id="15"/>
      <w:bookmarkEnd w:id="16"/>
    </w:tbl>
    <w:p w14:paraId="2A7D5564" w14:textId="77777777" w:rsidR="00E66558" w:rsidRDefault="00E66558"/>
    <w:sectPr w:rsidR="00E66558" w:rsidSect="0000578A">
      <w:headerReference w:type="default" r:id="rId10"/>
      <w:footerReference w:type="default" r:id="rId11"/>
      <w:pgSz w:w="11906" w:h="16838"/>
      <w:pgMar w:top="284" w:right="1276" w:bottom="851" w:left="1134"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80CFB2" w14:textId="77777777" w:rsidR="00913F23" w:rsidRDefault="00913F23">
      <w:pPr>
        <w:spacing w:after="0" w:line="240" w:lineRule="auto"/>
      </w:pPr>
      <w:r>
        <w:separator/>
      </w:r>
    </w:p>
  </w:endnote>
  <w:endnote w:type="continuationSeparator" w:id="0">
    <w:p w14:paraId="60D55D6F" w14:textId="77777777" w:rsidR="00913F23" w:rsidRDefault="00913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E" w14:textId="1CCFF337" w:rsidR="00913F23" w:rsidRDefault="00913F23">
    <w:pPr>
      <w:pStyle w:val="Footer"/>
      <w:ind w:firstLine="4513"/>
    </w:pPr>
    <w:r>
      <w:fldChar w:fldCharType="begin"/>
    </w:r>
    <w:r>
      <w:instrText xml:space="preserve"> PAGE </w:instrText>
    </w:r>
    <w:r>
      <w:fldChar w:fldCharType="separate"/>
    </w:r>
    <w:r w:rsidR="00F35C89">
      <w:rPr>
        <w:noProof/>
      </w:rPr>
      <w:t>13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30AB1A" w14:textId="77777777" w:rsidR="00913F23" w:rsidRDefault="00913F23">
      <w:pPr>
        <w:spacing w:after="0" w:line="240" w:lineRule="auto"/>
      </w:pPr>
      <w:r>
        <w:separator/>
      </w:r>
    </w:p>
  </w:footnote>
  <w:footnote w:type="continuationSeparator" w:id="0">
    <w:p w14:paraId="0A3E8538" w14:textId="77777777" w:rsidR="00913F23" w:rsidRDefault="00913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7D54BC" w14:textId="77777777" w:rsidR="00913F23" w:rsidRDefault="00913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9761E"/>
    <w:multiLevelType w:val="multilevel"/>
    <w:tmpl w:val="6C86EF6A"/>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1FCE693E"/>
    <w:multiLevelType w:val="multilevel"/>
    <w:tmpl w:val="55DC33D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212E2A8F"/>
    <w:multiLevelType w:val="multilevel"/>
    <w:tmpl w:val="D2FCC3E6"/>
    <w:styleLink w:val="LFO34"/>
    <w:lvl w:ilvl="0">
      <w:start w:val="1"/>
      <w:numFmt w:val="decimal"/>
      <w:pStyle w:val="Dept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rPr>
        <w:rFonts w:ascii="Arial" w:hAnsi="Arial"/>
        <w:color w:val="auto"/>
        <w:sz w:val="22"/>
        <w:szCs w:val="22"/>
      </w:r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3" w15:restartNumberingAfterBreak="0">
    <w:nsid w:val="25265E8B"/>
    <w:multiLevelType w:val="multilevel"/>
    <w:tmpl w:val="B024EA62"/>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252B10D0"/>
    <w:multiLevelType w:val="hybridMultilevel"/>
    <w:tmpl w:val="61EC3498"/>
    <w:lvl w:ilvl="0" w:tplc="AF4EAFA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6D7422D"/>
    <w:multiLevelType w:val="multilevel"/>
    <w:tmpl w:val="D14605B6"/>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6" w15:restartNumberingAfterBreak="0">
    <w:nsid w:val="271745AA"/>
    <w:multiLevelType w:val="hybridMultilevel"/>
    <w:tmpl w:val="286637D2"/>
    <w:lvl w:ilvl="0" w:tplc="AF4EAFAE">
      <w:start w:val="1"/>
      <w:numFmt w:val="bullet"/>
      <w:lvlText w:val=""/>
      <w:lvlJc w:val="left"/>
      <w:pPr>
        <w:ind w:left="417" w:hanging="360"/>
      </w:pPr>
      <w:rPr>
        <w:rFonts w:ascii="Wingdings" w:hAnsi="Wingdings"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7" w15:restartNumberingAfterBreak="0">
    <w:nsid w:val="2F3F4978"/>
    <w:multiLevelType w:val="multilevel"/>
    <w:tmpl w:val="A296BC9C"/>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3529232E"/>
    <w:multiLevelType w:val="hybridMultilevel"/>
    <w:tmpl w:val="BA3C0A1E"/>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9" w15:restartNumberingAfterBreak="0">
    <w:nsid w:val="3FE9198B"/>
    <w:multiLevelType w:val="multilevel"/>
    <w:tmpl w:val="2A508BBA"/>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5FDF3112"/>
    <w:multiLevelType w:val="multilevel"/>
    <w:tmpl w:val="6ED6AAE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68F37F9D"/>
    <w:multiLevelType w:val="multilevel"/>
    <w:tmpl w:val="DE90E1B2"/>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6BE87082"/>
    <w:multiLevelType w:val="multilevel"/>
    <w:tmpl w:val="14C2AA72"/>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719A5F31"/>
    <w:multiLevelType w:val="multilevel"/>
    <w:tmpl w:val="3B86DE2C"/>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14" w15:restartNumberingAfterBreak="0">
    <w:nsid w:val="71A22097"/>
    <w:multiLevelType w:val="multilevel"/>
    <w:tmpl w:val="009E2204"/>
    <w:styleLink w:val="LFO36"/>
    <w:lvl w:ilvl="0">
      <w:numFmt w:val="bullet"/>
      <w:pStyle w:val="DfESBullets"/>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5" w15:restartNumberingAfterBreak="0">
    <w:nsid w:val="75CE2048"/>
    <w:multiLevelType w:val="multilevel"/>
    <w:tmpl w:val="2E54C3FA"/>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3"/>
  </w:num>
  <w:num w:numId="2">
    <w:abstractNumId w:val="1"/>
  </w:num>
  <w:num w:numId="3">
    <w:abstractNumId w:val="5"/>
  </w:num>
  <w:num w:numId="4">
    <w:abstractNumId w:val="7"/>
  </w:num>
  <w:num w:numId="5">
    <w:abstractNumId w:val="0"/>
  </w:num>
  <w:num w:numId="6">
    <w:abstractNumId w:val="9"/>
  </w:num>
  <w:num w:numId="7">
    <w:abstractNumId w:val="11"/>
  </w:num>
  <w:num w:numId="8">
    <w:abstractNumId w:val="15"/>
  </w:num>
  <w:num w:numId="9">
    <w:abstractNumId w:val="13"/>
  </w:num>
  <w:num w:numId="10">
    <w:abstractNumId w:val="12"/>
  </w:num>
  <w:num w:numId="11">
    <w:abstractNumId w:val="2"/>
  </w:num>
  <w:num w:numId="12">
    <w:abstractNumId w:val="14"/>
  </w:num>
  <w:num w:numId="13">
    <w:abstractNumId w:val="10"/>
  </w:num>
  <w:num w:numId="14">
    <w:abstractNumId w:val="4"/>
  </w:num>
  <w:num w:numId="15">
    <w:abstractNumId w:val="8"/>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558"/>
    <w:rsid w:val="00001E21"/>
    <w:rsid w:val="0000578A"/>
    <w:rsid w:val="00066B73"/>
    <w:rsid w:val="000E06F5"/>
    <w:rsid w:val="00114136"/>
    <w:rsid w:val="00120AB1"/>
    <w:rsid w:val="00147BA1"/>
    <w:rsid w:val="001C61D0"/>
    <w:rsid w:val="001E7F52"/>
    <w:rsid w:val="00202CDE"/>
    <w:rsid w:val="00212916"/>
    <w:rsid w:val="00213624"/>
    <w:rsid w:val="002138BD"/>
    <w:rsid w:val="00215D73"/>
    <w:rsid w:val="00217811"/>
    <w:rsid w:val="00231AC0"/>
    <w:rsid w:val="00233FD0"/>
    <w:rsid w:val="002847E9"/>
    <w:rsid w:val="00297F7A"/>
    <w:rsid w:val="00305205"/>
    <w:rsid w:val="00315008"/>
    <w:rsid w:val="003A2CA9"/>
    <w:rsid w:val="003C6B9D"/>
    <w:rsid w:val="003D02DE"/>
    <w:rsid w:val="004044AA"/>
    <w:rsid w:val="00455CB9"/>
    <w:rsid w:val="004563B0"/>
    <w:rsid w:val="00485C22"/>
    <w:rsid w:val="004868CE"/>
    <w:rsid w:val="004B125A"/>
    <w:rsid w:val="004C7194"/>
    <w:rsid w:val="004D1D7F"/>
    <w:rsid w:val="00504600"/>
    <w:rsid w:val="00511D6F"/>
    <w:rsid w:val="00532856"/>
    <w:rsid w:val="00544548"/>
    <w:rsid w:val="005762F8"/>
    <w:rsid w:val="005B044B"/>
    <w:rsid w:val="0061620C"/>
    <w:rsid w:val="00641EBE"/>
    <w:rsid w:val="0065026B"/>
    <w:rsid w:val="00655F74"/>
    <w:rsid w:val="00675A51"/>
    <w:rsid w:val="006766EB"/>
    <w:rsid w:val="00695FC0"/>
    <w:rsid w:val="006C08C0"/>
    <w:rsid w:val="006E0E04"/>
    <w:rsid w:val="006E144E"/>
    <w:rsid w:val="006E7FB1"/>
    <w:rsid w:val="0073624A"/>
    <w:rsid w:val="00741B9E"/>
    <w:rsid w:val="00767080"/>
    <w:rsid w:val="0078759F"/>
    <w:rsid w:val="007B4EBB"/>
    <w:rsid w:val="007B726C"/>
    <w:rsid w:val="007C2F04"/>
    <w:rsid w:val="007E3FB2"/>
    <w:rsid w:val="007E6EC0"/>
    <w:rsid w:val="00811143"/>
    <w:rsid w:val="00826065"/>
    <w:rsid w:val="008352AE"/>
    <w:rsid w:val="00890E65"/>
    <w:rsid w:val="008A5A90"/>
    <w:rsid w:val="008C2834"/>
    <w:rsid w:val="008D1F3F"/>
    <w:rsid w:val="008E7FA6"/>
    <w:rsid w:val="00913F23"/>
    <w:rsid w:val="00936F34"/>
    <w:rsid w:val="00945C76"/>
    <w:rsid w:val="00993300"/>
    <w:rsid w:val="009C0D4A"/>
    <w:rsid w:val="009C4D71"/>
    <w:rsid w:val="009C6009"/>
    <w:rsid w:val="009D71E8"/>
    <w:rsid w:val="00A150BC"/>
    <w:rsid w:val="00A15BDA"/>
    <w:rsid w:val="00A35D5A"/>
    <w:rsid w:val="00A37442"/>
    <w:rsid w:val="00A66E9B"/>
    <w:rsid w:val="00A733A5"/>
    <w:rsid w:val="00AD375C"/>
    <w:rsid w:val="00AF1528"/>
    <w:rsid w:val="00AF23B7"/>
    <w:rsid w:val="00B11C17"/>
    <w:rsid w:val="00B32EC0"/>
    <w:rsid w:val="00B50EEF"/>
    <w:rsid w:val="00B953F8"/>
    <w:rsid w:val="00BB20ED"/>
    <w:rsid w:val="00BD6262"/>
    <w:rsid w:val="00C03980"/>
    <w:rsid w:val="00C158D4"/>
    <w:rsid w:val="00C31928"/>
    <w:rsid w:val="00C33C01"/>
    <w:rsid w:val="00C41E50"/>
    <w:rsid w:val="00C93126"/>
    <w:rsid w:val="00CC1ACA"/>
    <w:rsid w:val="00CC2E0A"/>
    <w:rsid w:val="00CF2774"/>
    <w:rsid w:val="00D02CAA"/>
    <w:rsid w:val="00D03916"/>
    <w:rsid w:val="00D06853"/>
    <w:rsid w:val="00D15940"/>
    <w:rsid w:val="00D2686E"/>
    <w:rsid w:val="00D33FE5"/>
    <w:rsid w:val="00D4588C"/>
    <w:rsid w:val="00D82B09"/>
    <w:rsid w:val="00D856E3"/>
    <w:rsid w:val="00DA5173"/>
    <w:rsid w:val="00E21D68"/>
    <w:rsid w:val="00E4334A"/>
    <w:rsid w:val="00E66558"/>
    <w:rsid w:val="00E67E8D"/>
    <w:rsid w:val="00E76BB1"/>
    <w:rsid w:val="00E93926"/>
    <w:rsid w:val="00E94331"/>
    <w:rsid w:val="00EB650C"/>
    <w:rsid w:val="00EE2CC5"/>
    <w:rsid w:val="00F0372C"/>
    <w:rsid w:val="00F03E01"/>
    <w:rsid w:val="00F35C89"/>
    <w:rsid w:val="00F36A35"/>
    <w:rsid w:val="00F4663D"/>
    <w:rsid w:val="00F71A6D"/>
    <w:rsid w:val="00F931A1"/>
    <w:rsid w:val="00FC273A"/>
    <w:rsid w:val="00FE78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D54B1"/>
  <w15:docId w15:val="{62148E6B-690E-419F-B9E3-93CF2A6DF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1D7F"/>
    <w:pPr>
      <w:suppressAutoHyphens/>
      <w:spacing w:after="240" w:line="288" w:lineRule="auto"/>
    </w:pPr>
    <w:rPr>
      <w:color w:val="0D0D0D"/>
      <w:sz w:val="24"/>
      <w:szCs w:val="24"/>
    </w:rPr>
  </w:style>
  <w:style w:type="paragraph" w:styleId="Heading1">
    <w:name w:val="heading 1"/>
    <w:basedOn w:val="Normal"/>
    <w:next w:val="Normal"/>
    <w:uiPriority w:val="9"/>
    <w:qFormat/>
    <w:pPr>
      <w:pageBreakBefore/>
      <w:spacing w:line="240" w:lineRule="auto"/>
      <w:outlineLvl w:val="0"/>
    </w:pPr>
    <w:rPr>
      <w:b/>
      <w:color w:val="104F75"/>
      <w:sz w:val="36"/>
    </w:rPr>
  </w:style>
  <w:style w:type="paragraph" w:styleId="Heading2">
    <w:name w:val="heading 2"/>
    <w:basedOn w:val="Normal"/>
    <w:next w:val="Normal"/>
    <w:uiPriority w:val="9"/>
    <w:unhideWhenUsed/>
    <w:qFormat/>
    <w:pPr>
      <w:keepNext/>
      <w:spacing w:before="480" w:line="240" w:lineRule="auto"/>
      <w:outlineLvl w:val="1"/>
    </w:pPr>
    <w:rPr>
      <w:b/>
      <w:color w:val="104F75"/>
      <w:sz w:val="32"/>
      <w:szCs w:val="32"/>
    </w:rPr>
  </w:style>
  <w:style w:type="paragraph" w:styleId="Heading3">
    <w:name w:val="heading 3"/>
    <w:basedOn w:val="Heading2"/>
    <w:next w:val="Normal"/>
    <w:uiPriority w:val="9"/>
    <w:unhideWhenUsed/>
    <w:qFormat/>
    <w:pPr>
      <w:spacing w:before="360"/>
      <w:outlineLvl w:val="2"/>
    </w:pPr>
    <w:rPr>
      <w:bCs/>
      <w:sz w:val="28"/>
      <w:szCs w:val="28"/>
    </w:rPr>
  </w:style>
  <w:style w:type="paragraph" w:styleId="Heading4">
    <w:name w:val="heading 4"/>
    <w:basedOn w:val="Heading2"/>
    <w:next w:val="Normal"/>
    <w:uiPriority w:val="9"/>
    <w:semiHidden/>
    <w:unhideWhenUsed/>
    <w:qFormat/>
    <w:pPr>
      <w:spacing w:before="240"/>
      <w:outlineLvl w:val="3"/>
    </w:pPr>
    <w:rPr>
      <w:bCs/>
      <w:sz w:val="24"/>
      <w:szCs w:val="28"/>
    </w:rPr>
  </w:style>
  <w:style w:type="paragraph" w:styleId="Heading5">
    <w:name w:val="heading 5"/>
    <w:basedOn w:val="Normal"/>
    <w:next w:val="Normal"/>
    <w:uiPriority w:val="9"/>
    <w:semiHidden/>
    <w:unhideWhenUsed/>
    <w:qFormat/>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uiPriority w:val="9"/>
    <w:semiHidden/>
    <w:unhideWhenUsed/>
    <w:qFormat/>
    <w:pPr>
      <w:numPr>
        <w:ilvl w:val="5"/>
        <w:numId w:val="1"/>
      </w:numPr>
      <w:spacing w:before="240" w:after="60"/>
      <w:outlineLvl w:val="5"/>
    </w:pPr>
    <w:rPr>
      <w:rFonts w:ascii="Calibri" w:hAnsi="Calibri"/>
      <w:b/>
      <w:bCs/>
      <w:szCs w:val="22"/>
    </w:rPr>
  </w:style>
  <w:style w:type="paragraph" w:styleId="Heading7">
    <w:name w:val="heading 7"/>
    <w:basedOn w:val="Normal"/>
    <w:next w:val="Normal"/>
    <w:pPr>
      <w:numPr>
        <w:ilvl w:val="6"/>
        <w:numId w:val="1"/>
      </w:numPr>
      <w:spacing w:before="240" w:after="60"/>
      <w:outlineLvl w:val="6"/>
    </w:pPr>
    <w:rPr>
      <w:rFonts w:ascii="Calibri" w:hAnsi="Calibri"/>
    </w:rPr>
  </w:style>
  <w:style w:type="paragraph" w:styleId="Heading8">
    <w:name w:val="heading 8"/>
    <w:basedOn w:val="Normal"/>
    <w:next w:val="Normal"/>
    <w:pPr>
      <w:numPr>
        <w:ilvl w:val="7"/>
        <w:numId w:val="1"/>
      </w:numPr>
      <w:spacing w:before="240" w:after="60"/>
      <w:outlineLvl w:val="7"/>
    </w:pPr>
    <w:rPr>
      <w:rFonts w:ascii="Calibri" w:hAnsi="Calibri"/>
      <w:i/>
      <w:iCs/>
    </w:rPr>
  </w:style>
  <w:style w:type="paragraph" w:styleId="Heading9">
    <w:name w:val="heading 9"/>
    <w:basedOn w:val="Normal"/>
    <w:next w:val="Normal"/>
    <w:pPr>
      <w:numPr>
        <w:ilvl w:val="8"/>
        <w:numId w:val="1"/>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1">
    <w:name w:val="WW_OutlineListStyle_1"/>
    <w:basedOn w:val="NoList"/>
    <w:pPr>
      <w:numPr>
        <w:numId w:val="1"/>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5"/>
      </w:numPr>
      <w:contextualSpacing/>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uiPriority w:val="10"/>
    <w:qFormat/>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4"/>
      </w:numPr>
      <w:contextualSpacing/>
    </w:pPr>
  </w:style>
  <w:style w:type="paragraph" w:styleId="ListParagraph">
    <w:name w:val="List Paragraph"/>
    <w:basedOn w:val="Normal"/>
    <w:pPr>
      <w:numPr>
        <w:numId w:val="8"/>
      </w:numPr>
      <w:contextualSpacing/>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color w:val="0D0D0D"/>
      <w:sz w:val="26"/>
      <w:szCs w:val="26"/>
    </w:rPr>
  </w:style>
  <w:style w:type="character" w:customStyle="1" w:styleId="Heading6Char">
    <w:name w:val="Heading 6 Char"/>
    <w:rPr>
      <w:rFonts w:ascii="Calibri" w:hAnsi="Calibri"/>
      <w:b/>
      <w:bCs/>
      <w:color w:val="0D0D0D"/>
      <w:sz w:val="24"/>
      <w:szCs w:val="22"/>
    </w:rPr>
  </w:style>
  <w:style w:type="character" w:customStyle="1" w:styleId="Heading7Char">
    <w:name w:val="Heading 7 Char"/>
    <w:rPr>
      <w:rFonts w:ascii="Calibri" w:hAnsi="Calibri"/>
      <w:color w:val="0D0D0D"/>
      <w:sz w:val="24"/>
      <w:szCs w:val="24"/>
    </w:rPr>
  </w:style>
  <w:style w:type="character" w:customStyle="1" w:styleId="Heading8Char">
    <w:name w:val="Heading 8 Char"/>
    <w:rPr>
      <w:rFonts w:ascii="Calibri" w:hAnsi="Calibri"/>
      <w:i/>
      <w:iCs/>
      <w:color w:val="0D0D0D"/>
      <w:sz w:val="24"/>
      <w:szCs w:val="24"/>
    </w:rPr>
  </w:style>
  <w:style w:type="character" w:customStyle="1" w:styleId="Heading9Char">
    <w:name w:val="Heading 9 Char"/>
    <w:rPr>
      <w:rFonts w:ascii="Cambria" w:hAnsi="Cambria"/>
      <w:color w:val="0D0D0D"/>
      <w:sz w:val="24"/>
      <w:szCs w:val="22"/>
    </w:rPr>
  </w:style>
  <w:style w:type="paragraph" w:styleId="BodyText">
    <w:name w:val="Body Text"/>
    <w:basedOn w:val="Normal"/>
    <w:pPr>
      <w:spacing w:after="120"/>
    </w:pPr>
  </w:style>
  <w:style w:type="character" w:customStyle="1" w:styleId="BodyTextChar">
    <w:name w:val="Body Text Char"/>
    <w:basedOn w:val="DefaultParagraphFont"/>
    <w:rPr>
      <w:color w:val="0D0D0D"/>
      <w:sz w:val="24"/>
      <w:szCs w:val="24"/>
    </w:rPr>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color w:val="0D0D0D"/>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color w:val="0D0D0D"/>
      <w:sz w:val="24"/>
      <w:szCs w:val="24"/>
    </w:rPr>
  </w:style>
  <w:style w:type="character" w:styleId="FollowedHyperlink">
    <w:name w:val="FollowedHyperlink"/>
    <w:basedOn w:val="DefaultParagraphFont"/>
    <w:rPr>
      <w:color w:val="0000FF"/>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3"/>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contextualSpacing/>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6"/>
      </w:numPr>
      <w:tabs>
        <w:tab w:val="left" w:pos="491"/>
      </w:tabs>
      <w:contextualSpacing/>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7"/>
      </w:numPr>
      <w:contextualSpacing/>
    </w:pPr>
  </w:style>
  <w:style w:type="paragraph" w:customStyle="1" w:styleId="DfESOutNumbered">
    <w:name w:val="DfESOutNumbered"/>
    <w:basedOn w:val="Normal"/>
    <w:pPr>
      <w:widowControl w:val="0"/>
      <w:numPr>
        <w:numId w:val="9"/>
      </w:numPr>
      <w:overflowPunct w:val="0"/>
      <w:autoSpaceDE w:val="0"/>
      <w:spacing w:line="240" w:lineRule="auto"/>
      <w:textAlignment w:val="baseline"/>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10"/>
      </w:numPr>
      <w:overflowPunct w:val="0"/>
      <w:autoSpaceDE w:val="0"/>
      <w:spacing w:line="240" w:lineRule="auto"/>
      <w:textAlignment w:val="baseline"/>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BodyTextIndent">
    <w:name w:val="Body Text Indent"/>
    <w:basedOn w:val="Normal"/>
    <w:pPr>
      <w:widowControl w:val="0"/>
      <w:overflowPunct w:val="0"/>
      <w:autoSpaceDE w:val="0"/>
      <w:spacing w:after="0" w:line="240" w:lineRule="auto"/>
      <w:ind w:left="288"/>
      <w:textAlignment w:val="baseline"/>
    </w:pPr>
    <w:rPr>
      <w:color w:val="auto"/>
      <w:szCs w:val="20"/>
      <w:lang w:eastAsia="en-US"/>
    </w:rPr>
  </w:style>
  <w:style w:type="character" w:customStyle="1" w:styleId="BodyTextIndentChar">
    <w:name w:val="Body Text Indent Char"/>
    <w:basedOn w:val="DefaultParagraphFont"/>
    <w:rPr>
      <w:sz w:val="24"/>
      <w:lang w:eastAsia="en-US"/>
    </w:rPr>
  </w:style>
  <w:style w:type="paragraph" w:customStyle="1" w:styleId="DeptOutNumbered">
    <w:name w:val="DeptOutNumbered"/>
    <w:basedOn w:val="Normal"/>
    <w:pPr>
      <w:widowControl w:val="0"/>
      <w:numPr>
        <w:numId w:val="11"/>
      </w:numPr>
      <w:overflowPunct w:val="0"/>
      <w:autoSpaceDE w:val="0"/>
      <w:spacing w:line="240" w:lineRule="auto"/>
      <w:textAlignment w:val="baseline"/>
    </w:pPr>
    <w:rPr>
      <w:color w:val="auto"/>
      <w:szCs w:val="20"/>
      <w:lang w:eastAsia="en-US"/>
    </w:rPr>
  </w:style>
  <w:style w:type="paragraph" w:customStyle="1" w:styleId="Heading">
    <w:name w:val="Heading"/>
    <w:basedOn w:val="Normal"/>
    <w:next w:val="Normal"/>
    <w:pPr>
      <w:keepNext/>
      <w:keepLines/>
      <w:widowControl w:val="0"/>
      <w:overflowPunct w:val="0"/>
      <w:autoSpaceDE w:val="0"/>
      <w:spacing w:before="240" w:line="240" w:lineRule="auto"/>
      <w:ind w:left="-720"/>
      <w:textAlignment w:val="baseline"/>
    </w:pPr>
    <w:rPr>
      <w:b/>
      <w:color w:val="auto"/>
      <w:szCs w:val="20"/>
      <w:lang w:eastAsia="en-US"/>
    </w:rPr>
  </w:style>
  <w:style w:type="paragraph" w:customStyle="1" w:styleId="MinuteTop">
    <w:name w:val="Minute Top"/>
    <w:basedOn w:val="Normal"/>
    <w:pPr>
      <w:widowControl w:val="0"/>
      <w:tabs>
        <w:tab w:val="left" w:pos="4680"/>
        <w:tab w:val="left" w:pos="5587"/>
      </w:tabs>
      <w:overflowPunct w:val="0"/>
      <w:autoSpaceDE w:val="0"/>
      <w:spacing w:after="0" w:line="240" w:lineRule="auto"/>
      <w:textAlignment w:val="baseline"/>
    </w:pPr>
    <w:rPr>
      <w:color w:val="auto"/>
      <w:szCs w:val="20"/>
      <w:lang w:eastAsia="en-US"/>
    </w:rPr>
  </w:style>
  <w:style w:type="paragraph" w:customStyle="1" w:styleId="Numbered">
    <w:name w:val="Numbered"/>
    <w:basedOn w:val="Normal"/>
    <w:pPr>
      <w:widowControl w:val="0"/>
      <w:overflowPunct w:val="0"/>
      <w:autoSpaceDE w:val="0"/>
      <w:spacing w:line="240" w:lineRule="auto"/>
      <w:textAlignment w:val="baseline"/>
    </w:pPr>
    <w:rPr>
      <w:color w:val="auto"/>
      <w:szCs w:val="20"/>
      <w:lang w:eastAsia="en-US"/>
    </w:rPr>
  </w:style>
  <w:style w:type="character" w:styleId="PageNumber">
    <w:name w:val="page number"/>
    <w:basedOn w:val="DefaultParagraphFont"/>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customStyle="1" w:styleId="Sub-Heading">
    <w:name w:val="Sub-Heading"/>
    <w:basedOn w:val="Heading"/>
    <w:next w:val="Numbered"/>
    <w:pPr>
      <w:spacing w:before="0"/>
    </w:pPr>
  </w:style>
  <w:style w:type="paragraph" w:styleId="Subtitle">
    <w:name w:val="Subtitle"/>
    <w:basedOn w:val="Normal"/>
    <w:uiPriority w:val="11"/>
    <w:qFormat/>
    <w:pPr>
      <w:widowControl w:val="0"/>
      <w:overflowPunct w:val="0"/>
      <w:autoSpaceDE w:val="0"/>
      <w:spacing w:after="60" w:line="240" w:lineRule="auto"/>
      <w:jc w:val="center"/>
      <w:textAlignment w:val="baseline"/>
    </w:pPr>
    <w:rPr>
      <w:i/>
      <w:color w:val="auto"/>
      <w:szCs w:val="20"/>
      <w:lang w:eastAsia="en-US"/>
    </w:rPr>
  </w:style>
  <w:style w:type="character" w:customStyle="1" w:styleId="SubtitleChar">
    <w:name w:val="Subtitle Char"/>
    <w:basedOn w:val="DefaultParagraphFont"/>
    <w:rPr>
      <w:i/>
      <w:sz w:val="24"/>
      <w:lang w:eastAsia="en-US"/>
    </w:rPr>
  </w:style>
  <w:style w:type="paragraph" w:customStyle="1" w:styleId="DfESBullets">
    <w:name w:val="DfESBullets"/>
    <w:basedOn w:val="Normal"/>
    <w:pPr>
      <w:widowControl w:val="0"/>
      <w:numPr>
        <w:numId w:val="12"/>
      </w:numPr>
      <w:overflowPunct w:val="0"/>
      <w:autoSpaceDE w:val="0"/>
      <w:spacing w:line="240" w:lineRule="auto"/>
      <w:textAlignment w:val="baseline"/>
    </w:pPr>
    <w:rPr>
      <w:rFonts w:cs="Arial"/>
      <w:color w:val="auto"/>
      <w:sz w:val="22"/>
      <w:szCs w:val="20"/>
      <w:lang w:eastAsia="en-US"/>
    </w:rPr>
  </w:style>
  <w:style w:type="character" w:customStyle="1" w:styleId="UnresolvedMention">
    <w:name w:val="Unresolved Mention"/>
    <w:basedOn w:val="DefaultParagraphFont"/>
    <w:rPr>
      <w:color w:val="605E5C"/>
      <w:shd w:val="clear" w:color="auto" w:fill="E1DFDD"/>
    </w:rPr>
  </w:style>
  <w:style w:type="numbering" w:customStyle="1" w:styleId="WWOutlineListStyle">
    <w:name w:val="WW_OutlineListStyle"/>
    <w:basedOn w:val="NoList"/>
    <w:pPr>
      <w:numPr>
        <w:numId w:val="2"/>
      </w:numPr>
    </w:pPr>
  </w:style>
  <w:style w:type="numbering" w:customStyle="1" w:styleId="LFO3">
    <w:name w:val="LFO3"/>
    <w:basedOn w:val="NoList"/>
    <w:pPr>
      <w:numPr>
        <w:numId w:val="3"/>
      </w:numPr>
    </w:pPr>
  </w:style>
  <w:style w:type="numbering" w:customStyle="1" w:styleId="LFO4">
    <w:name w:val="LFO4"/>
    <w:basedOn w:val="NoList"/>
    <w:pPr>
      <w:numPr>
        <w:numId w:val="4"/>
      </w:numPr>
    </w:pPr>
  </w:style>
  <w:style w:type="numbering" w:customStyle="1" w:styleId="LFO6">
    <w:name w:val="LFO6"/>
    <w:basedOn w:val="NoList"/>
    <w:pPr>
      <w:numPr>
        <w:numId w:val="5"/>
      </w:numPr>
    </w:pPr>
  </w:style>
  <w:style w:type="numbering" w:customStyle="1" w:styleId="LFO9">
    <w:name w:val="LFO9"/>
    <w:basedOn w:val="NoList"/>
    <w:pPr>
      <w:numPr>
        <w:numId w:val="6"/>
      </w:numPr>
    </w:pPr>
  </w:style>
  <w:style w:type="numbering" w:customStyle="1" w:styleId="LFO10">
    <w:name w:val="LFO10"/>
    <w:basedOn w:val="NoList"/>
    <w:pPr>
      <w:numPr>
        <w:numId w:val="7"/>
      </w:numPr>
    </w:pPr>
  </w:style>
  <w:style w:type="numbering" w:customStyle="1" w:styleId="LFO25">
    <w:name w:val="LFO25"/>
    <w:basedOn w:val="NoList"/>
    <w:pPr>
      <w:numPr>
        <w:numId w:val="8"/>
      </w:numPr>
    </w:pPr>
  </w:style>
  <w:style w:type="numbering" w:customStyle="1" w:styleId="LFO28">
    <w:name w:val="LFO28"/>
    <w:basedOn w:val="NoList"/>
    <w:pPr>
      <w:numPr>
        <w:numId w:val="9"/>
      </w:numPr>
    </w:pPr>
  </w:style>
  <w:style w:type="numbering" w:customStyle="1" w:styleId="LFO30">
    <w:name w:val="LFO30"/>
    <w:basedOn w:val="NoList"/>
    <w:pPr>
      <w:numPr>
        <w:numId w:val="10"/>
      </w:numPr>
    </w:pPr>
  </w:style>
  <w:style w:type="numbering" w:customStyle="1" w:styleId="LFO34">
    <w:name w:val="LFO34"/>
    <w:basedOn w:val="NoList"/>
    <w:pPr>
      <w:numPr>
        <w:numId w:val="11"/>
      </w:numPr>
    </w:pPr>
  </w:style>
  <w:style w:type="numbering" w:customStyle="1" w:styleId="LFO36">
    <w:name w:val="LFO36"/>
    <w:basedOn w:val="NoList"/>
    <w:pPr>
      <w:numPr>
        <w:numId w:val="12"/>
      </w:numPr>
    </w:pPr>
  </w:style>
  <w:style w:type="table" w:styleId="TableGrid">
    <w:name w:val="Table Grid"/>
    <w:basedOn w:val="TableNormal"/>
    <w:uiPriority w:val="39"/>
    <w:rsid w:val="00AF1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35D5A"/>
  </w:style>
  <w:style w:type="character" w:customStyle="1" w:styleId="eop">
    <w:name w:val="eop"/>
    <w:basedOn w:val="DefaultParagraphFont"/>
    <w:rsid w:val="00A35D5A"/>
  </w:style>
  <w:style w:type="paragraph" w:styleId="NoSpacing">
    <w:name w:val="No Spacing"/>
    <w:uiPriority w:val="1"/>
    <w:qFormat/>
    <w:rsid w:val="00B11C17"/>
    <w:pPr>
      <w:suppressAutoHyphens/>
    </w:pPr>
    <w:rPr>
      <w:color w:val="0D0D0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readingsolutionsuk.co.uk/case-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13</Pages>
  <Words>4381</Words>
  <Characters>24978</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
  <LinksUpToDate>false</LinksUpToDate>
  <CharactersWithSpaces>29301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subject/>
  <dc:creator>Publishing.TEAM@education.gsi.gov.uk</dc:creator>
  <dc:description>Master-ET-v3.8</dc:description>
  <cp:lastModifiedBy>Galt, V</cp:lastModifiedBy>
  <cp:revision>9</cp:revision>
  <cp:lastPrinted>2014-09-17T13:26:00Z</cp:lastPrinted>
  <dcterms:created xsi:type="dcterms:W3CDTF">2022-09-28T14:31:00Z</dcterms:created>
  <dcterms:modified xsi:type="dcterms:W3CDTF">2022-12-12T11:48:00Z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0x0101006FBD534E0B2648409800B3ECF3893BDA</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y fmtid="{D5CDD505-2E9C-101B-9397-08002B2CF9AE}" pid="12" name="Site">
    <vt:lpwstr>22;#Communic​ati​ons|60b3cc5e-d979-4a7a-b73d-c058e341a548</vt:lpwstr>
  </property>
</Properties>
</file>