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349477B8" w:rsidR="003C3910" w:rsidRPr="001E4996" w:rsidRDefault="003C3910" w:rsidP="00191B92">
      <w:pPr>
        <w:jc w:val="center"/>
        <w:rPr>
          <w:rFonts w:eastAsiaTheme="minorEastAsia"/>
          <w:b/>
          <w:sz w:val="72"/>
          <w:szCs w:val="72"/>
          <w:u w:val="single"/>
        </w:rPr>
      </w:pPr>
      <w:r w:rsidRPr="080DC102">
        <w:rPr>
          <w:rFonts w:eastAsiaTheme="minorEastAsia"/>
          <w:b/>
          <w:bCs/>
          <w:sz w:val="72"/>
          <w:szCs w:val="72"/>
          <w:u w:val="single"/>
        </w:rPr>
        <w:t>Curriculum Intent</w:t>
      </w:r>
      <w:r w:rsidR="000355E9" w:rsidRPr="080DC102">
        <w:rPr>
          <w:rFonts w:eastAsiaTheme="minorEastAsia"/>
          <w:b/>
          <w:bCs/>
          <w:sz w:val="72"/>
          <w:szCs w:val="72"/>
          <w:u w:val="single"/>
        </w:rPr>
        <w:t>, Impact &amp; Implementation</w:t>
      </w:r>
      <w:r w:rsidR="009B6216" w:rsidRPr="080DC102">
        <w:rPr>
          <w:rFonts w:eastAsiaTheme="minorEastAsia"/>
          <w:b/>
          <w:bCs/>
          <w:sz w:val="72"/>
          <w:szCs w:val="72"/>
          <w:u w:val="single"/>
        </w:rPr>
        <w:t xml:space="preserve"> – </w:t>
      </w:r>
      <w:r w:rsidR="00425D46">
        <w:rPr>
          <w:rFonts w:eastAsiaTheme="minorEastAsia"/>
          <w:b/>
          <w:bCs/>
          <w:sz w:val="72"/>
          <w:szCs w:val="72"/>
          <w:u w:val="single"/>
        </w:rPr>
        <w:t>Computing</w:t>
      </w:r>
    </w:p>
    <w:p w14:paraId="37F5E6F5" w14:textId="5B1E4ACE" w:rsidR="00594320" w:rsidRDefault="3697B355" w:rsidP="080DC102">
      <w:pPr>
        <w:jc w:val="center"/>
        <w:rPr>
          <w:rFonts w:ascii="Twinkl" w:hAnsi="Twinkl"/>
          <w:b/>
          <w:bCs/>
          <w:sz w:val="72"/>
          <w:szCs w:val="72"/>
          <w:u w:val="single"/>
        </w:rPr>
      </w:pPr>
      <w:r>
        <w:rPr>
          <w:noProof/>
        </w:rPr>
        <w:drawing>
          <wp:inline distT="0" distB="0" distL="0" distR="0" wp14:anchorId="5017B154" wp14:editId="793F80E7">
            <wp:extent cx="2459355" cy="2396490"/>
            <wp:effectExtent l="0" t="0" r="0" b="3810"/>
            <wp:docPr id="117868784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27095"/>
                    <pic:cNvPicPr/>
                  </pic:nvPicPr>
                  <pic:blipFill>
                    <a:blip r:embed="rId8">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inline>
        </w:drawing>
      </w:r>
    </w:p>
    <w:p w14:paraId="255D24D9" w14:textId="1760A028" w:rsidR="00191B92" w:rsidRDefault="00191B92" w:rsidP="00191B92">
      <w:pPr>
        <w:jc w:val="center"/>
        <w:rPr>
          <w:rFonts w:ascii="Twinkl" w:hAnsi="Twinkl"/>
          <w:b/>
          <w:bCs/>
          <w:sz w:val="72"/>
          <w:szCs w:val="72"/>
          <w:u w:val="single"/>
        </w:rPr>
      </w:pPr>
    </w:p>
    <w:p w14:paraId="2848D054" w14:textId="77777777" w:rsidR="00191B92" w:rsidRDefault="00191B92" w:rsidP="00191B92">
      <w:pPr>
        <w:jc w:val="center"/>
        <w:rPr>
          <w:rFonts w:ascii="Twinkl" w:hAnsi="Twinkl"/>
          <w:b/>
          <w:bCs/>
          <w:sz w:val="72"/>
          <w:szCs w:val="72"/>
          <w:u w:val="single"/>
        </w:rPr>
      </w:pPr>
    </w:p>
    <w:p w14:paraId="48E50C13" w14:textId="77777777" w:rsidR="00191B92" w:rsidRDefault="00191B92" w:rsidP="00191B92">
      <w:pPr>
        <w:jc w:val="center"/>
        <w:rPr>
          <w:rFonts w:ascii="Twinkl" w:hAnsi="Twinkl"/>
          <w:b/>
          <w:bCs/>
          <w:sz w:val="52"/>
          <w:szCs w:val="52"/>
          <w:u w:val="single"/>
        </w:rPr>
      </w:pPr>
    </w:p>
    <w:p w14:paraId="40D4190C" w14:textId="77777777" w:rsidR="00594320" w:rsidRPr="00191B92" w:rsidRDefault="00594320" w:rsidP="00191B92">
      <w:pPr>
        <w:jc w:val="center"/>
        <w:rPr>
          <w:rFonts w:ascii="Twinkl" w:hAnsi="Twinkl"/>
          <w:b/>
          <w:bCs/>
          <w:sz w:val="52"/>
          <w:szCs w:val="52"/>
          <w:u w:val="single"/>
        </w:rPr>
      </w:pPr>
    </w:p>
    <w:p w14:paraId="0B3E0B73" w14:textId="5BEAC41F" w:rsidR="009C64BD" w:rsidRPr="001B592F" w:rsidRDefault="003C3910" w:rsidP="00191B92">
      <w:pPr>
        <w:jc w:val="center"/>
        <w:rPr>
          <w:rFonts w:ascii="Twinkl" w:hAnsi="Twinkl"/>
          <w:b/>
          <w:bCs/>
          <w:sz w:val="36"/>
          <w:szCs w:val="36"/>
        </w:rPr>
      </w:pPr>
      <w:r w:rsidRPr="001B592F">
        <w:rPr>
          <w:rFonts w:ascii="Twinkl" w:hAnsi="Twinkl"/>
          <w:b/>
          <w:bCs/>
          <w:sz w:val="36"/>
          <w:szCs w:val="36"/>
        </w:rPr>
        <w:t>Our curriculum has four golden threads which are woven through all we do.</w:t>
      </w:r>
    </w:p>
    <w:p w14:paraId="24ED232B" w14:textId="77777777" w:rsidR="00594320" w:rsidRPr="001B592F" w:rsidRDefault="00594320" w:rsidP="00191B92">
      <w:pPr>
        <w:jc w:val="center"/>
        <w:rPr>
          <w:noProof/>
          <w:sz w:val="36"/>
          <w:szCs w:val="36"/>
        </w:rPr>
      </w:pPr>
    </w:p>
    <w:p w14:paraId="0E110837" w14:textId="6C3BE7AB" w:rsidR="00A9680F" w:rsidRPr="001B592F" w:rsidRDefault="00A9680F" w:rsidP="00191B92">
      <w:pPr>
        <w:jc w:val="center"/>
        <w:rPr>
          <w:rFonts w:ascii="Comic Sans MS" w:hAnsi="Comic Sans MS"/>
          <w:b/>
          <w:bCs/>
          <w:sz w:val="36"/>
          <w:szCs w:val="36"/>
        </w:rPr>
      </w:pPr>
      <w:r w:rsidRPr="001B592F">
        <w:rPr>
          <w:rFonts w:ascii="Comic Sans MS" w:hAnsi="Comic Sans MS"/>
          <w:b/>
          <w:bCs/>
          <w:noProof/>
          <w:sz w:val="36"/>
          <w:szCs w:val="36"/>
        </w:rPr>
        <w:t>3R’s – Respect, Resilience and Responsilbity</w:t>
      </w:r>
    </w:p>
    <w:p w14:paraId="1E5268CA" w14:textId="7103BAB3" w:rsidR="00191B92" w:rsidRPr="00425D46" w:rsidRDefault="009C64BD" w:rsidP="00425D46">
      <w:pPr>
        <w:jc w:val="center"/>
        <w:rPr>
          <w:rFonts w:ascii="Twinkl" w:hAnsi="Twinkl"/>
          <w:sz w:val="36"/>
          <w:szCs w:val="36"/>
        </w:rPr>
      </w:pPr>
      <w:r w:rsidRPr="001B592F">
        <w:rPr>
          <w:rFonts w:ascii="Twinkl" w:hAnsi="Twinkl"/>
          <w:sz w:val="36"/>
          <w:szCs w:val="36"/>
        </w:rPr>
        <w:t xml:space="preserve">Within these threads we have our </w:t>
      </w:r>
      <w:r w:rsidRPr="001B592F">
        <w:rPr>
          <w:rFonts w:ascii="Twinkl" w:hAnsi="Twinkl"/>
          <w:b/>
          <w:bCs/>
          <w:sz w:val="36"/>
          <w:szCs w:val="36"/>
        </w:rPr>
        <w:t>22 core values</w:t>
      </w:r>
      <w:r w:rsidRPr="001B592F">
        <w:rPr>
          <w:rFonts w:ascii="Twinkl" w:hAnsi="Twinkl"/>
          <w:sz w:val="36"/>
          <w:szCs w:val="36"/>
        </w:rPr>
        <w:t xml:space="preserve"> – </w:t>
      </w:r>
      <w:r w:rsidRPr="001B592F">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0DA404AA">
        <w:tc>
          <w:tcPr>
            <w:tcW w:w="4673" w:type="dxa"/>
          </w:tcPr>
          <w:p w14:paraId="301E659B" w14:textId="4BC20B39" w:rsidR="003C3910" w:rsidRPr="00226BC4" w:rsidRDefault="003C3910" w:rsidP="0DA404AA">
            <w:pPr>
              <w:spacing w:after="240" w:line="312" w:lineRule="atLeast"/>
              <w:outlineLvl w:val="2"/>
              <w:rPr>
                <w:rFonts w:ascii="Arial" w:eastAsia="Times New Roman" w:hAnsi="Arial" w:cs="Arial"/>
                <w:b/>
                <w:bCs/>
                <w:color w:val="000000"/>
                <w:spacing w:val="-5"/>
                <w:kern w:val="0"/>
                <w:u w:val="single"/>
                <w:lang w:eastAsia="en-GB"/>
                <w14:ligatures w14:val="none"/>
              </w:rPr>
            </w:pPr>
            <w:r w:rsidRPr="00226BC4">
              <w:rPr>
                <w:rFonts w:ascii="Arial" w:eastAsia="Times New Roman" w:hAnsi="Arial" w:cs="Arial"/>
                <w:b/>
                <w:bCs/>
                <w:color w:val="000000"/>
                <w:spacing w:val="-5"/>
                <w:kern w:val="0"/>
                <w:u w:val="single"/>
                <w:lang w:eastAsia="en-GB"/>
                <w14:ligatures w14:val="none"/>
              </w:rPr>
              <w:lastRenderedPageBreak/>
              <w:t xml:space="preserve">Knowledge and Skills Intent </w:t>
            </w:r>
            <w:r w:rsidR="6896F529" w:rsidRPr="0DA404AA">
              <w:rPr>
                <w:rFonts w:ascii="Arial" w:eastAsia="Arial" w:hAnsi="Arial" w:cs="Arial"/>
                <w:b/>
                <w:bCs/>
                <w:color w:val="000000" w:themeColor="text1"/>
                <w:u w:val="single"/>
              </w:rPr>
              <w:t>&amp; Implementation</w:t>
            </w:r>
            <w:r w:rsidR="6896F529" w:rsidRPr="0DA404AA">
              <w:rPr>
                <w:rFonts w:ascii="Arial" w:eastAsia="Arial" w:hAnsi="Arial" w:cs="Arial"/>
              </w:rPr>
              <w:t xml:space="preserve"> </w:t>
            </w:r>
            <w:r w:rsidRPr="00226BC4">
              <w:rPr>
                <w:rFonts w:ascii="Arial" w:eastAsia="Times New Roman" w:hAnsi="Arial" w:cs="Arial"/>
                <w:b/>
                <w:bCs/>
                <w:color w:val="000000"/>
                <w:spacing w:val="-5"/>
                <w:kern w:val="0"/>
                <w:u w:val="single"/>
                <w:lang w:eastAsia="en-GB"/>
                <w14:ligatures w14:val="none"/>
              </w:rPr>
              <w:t xml:space="preserve">– </w:t>
            </w:r>
          </w:p>
          <w:p w14:paraId="1E9D8A35" w14:textId="62715031" w:rsidR="003C3910" w:rsidRPr="00226BC4"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402F1A5E" w14:textId="77777777" w:rsidR="004B3923" w:rsidRPr="00226BC4" w:rsidRDefault="005C0DD1" w:rsidP="0044729C">
            <w:pPr>
              <w:pStyle w:val="ListParagraph"/>
              <w:numPr>
                <w:ilvl w:val="0"/>
                <w:numId w:val="6"/>
              </w:numPr>
              <w:shd w:val="clear" w:color="auto" w:fill="FFFFFF"/>
              <w:rPr>
                <w:rFonts w:ascii="Arial" w:hAnsi="Arial" w:cs="Arial"/>
              </w:rPr>
            </w:pPr>
            <w:r w:rsidRPr="00226BC4">
              <w:rPr>
                <w:rFonts w:ascii="Arial" w:hAnsi="Arial" w:cs="Arial"/>
              </w:rPr>
              <w:t xml:space="preserve">Online Safety should form a part of every Computing lesson, and should be referenced in other relevant learning opportunities. </w:t>
            </w:r>
          </w:p>
          <w:p w14:paraId="118A8AF2" w14:textId="77777777" w:rsidR="009A65CF" w:rsidRPr="00226BC4" w:rsidRDefault="009A65CF" w:rsidP="0044729C">
            <w:pPr>
              <w:pStyle w:val="ListParagraph"/>
              <w:numPr>
                <w:ilvl w:val="0"/>
                <w:numId w:val="6"/>
              </w:numPr>
              <w:shd w:val="clear" w:color="auto" w:fill="FFFFFF"/>
              <w:rPr>
                <w:rFonts w:ascii="Arial" w:hAnsi="Arial" w:cs="Arial"/>
              </w:rPr>
            </w:pPr>
            <w:r w:rsidRPr="00226BC4">
              <w:rPr>
                <w:rFonts w:ascii="Arial" w:hAnsi="Arial" w:cs="Arial"/>
              </w:rPr>
              <w:t>Opportunities for technology as a tool to support learning and teaching in all areas are identified in curriculum planning.</w:t>
            </w:r>
          </w:p>
          <w:p w14:paraId="6B2D5F33" w14:textId="77777777" w:rsidR="00844F75" w:rsidRPr="00226BC4" w:rsidRDefault="00844F75" w:rsidP="0044729C">
            <w:pPr>
              <w:pStyle w:val="ListParagraph"/>
              <w:numPr>
                <w:ilvl w:val="0"/>
                <w:numId w:val="6"/>
              </w:numPr>
              <w:shd w:val="clear" w:color="auto" w:fill="FFFFFF"/>
              <w:rPr>
                <w:rFonts w:ascii="Arial" w:hAnsi="Arial" w:cs="Arial"/>
              </w:rPr>
            </w:pPr>
            <w:r w:rsidRPr="00226BC4">
              <w:rPr>
                <w:rFonts w:ascii="Arial" w:hAnsi="Arial" w:cs="Arial"/>
              </w:rPr>
              <w:t>Planning for Computing is implemented which meets the requirements of the National Curriculum Programme of Study for Computing and the Early Years Foundation Stage</w:t>
            </w:r>
          </w:p>
          <w:p w14:paraId="767C957E" w14:textId="0C80231F" w:rsidR="0044729C" w:rsidRPr="00226BC4" w:rsidRDefault="0044729C" w:rsidP="00226BC4">
            <w:pPr>
              <w:pStyle w:val="ListParagraph"/>
              <w:numPr>
                <w:ilvl w:val="0"/>
                <w:numId w:val="6"/>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Use computational thinking and creativity, so that they leave primary school as knowledgeable and flexible learners.</w:t>
            </w:r>
          </w:p>
          <w:p w14:paraId="072D885C" w14:textId="06AE638A" w:rsidR="00844F75" w:rsidRPr="00226BC4" w:rsidRDefault="00844F75" w:rsidP="005C0DD1">
            <w:pPr>
              <w:shd w:val="clear" w:color="auto" w:fill="FFFFFF"/>
              <w:rPr>
                <w:rFonts w:ascii="Arial" w:eastAsia="Times New Roman" w:hAnsi="Arial" w:cs="Arial"/>
                <w:color w:val="000000"/>
                <w:spacing w:val="-5"/>
                <w:kern w:val="0"/>
                <w:lang w:eastAsia="en-GB"/>
                <w14:ligatures w14:val="none"/>
              </w:rPr>
            </w:pPr>
          </w:p>
        </w:tc>
      </w:tr>
      <w:tr w:rsidR="00370EBC" w14:paraId="7FD5C97E" w14:textId="77777777" w:rsidTr="0DA404AA">
        <w:tc>
          <w:tcPr>
            <w:tcW w:w="11058" w:type="dxa"/>
            <w:gridSpan w:val="2"/>
          </w:tcPr>
          <w:p w14:paraId="198E36B7" w14:textId="3288DF23" w:rsidR="00370EBC" w:rsidRPr="00226BC4" w:rsidRDefault="00370EBC"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226BC4">
              <w:rPr>
                <w:rFonts w:ascii="Arial" w:eastAsia="Times New Roman" w:hAnsi="Arial" w:cs="Arial"/>
                <w:b/>
                <w:bCs/>
                <w:color w:val="000000"/>
                <w:spacing w:val="-5"/>
                <w:kern w:val="0"/>
                <w:lang w:eastAsia="en-GB"/>
                <w14:ligatures w14:val="none"/>
              </w:rPr>
              <w:t>Impact</w:t>
            </w:r>
            <w:r w:rsidR="005458B5" w:rsidRPr="00226BC4">
              <w:rPr>
                <w:rFonts w:ascii="Arial" w:eastAsia="Times New Roman" w:hAnsi="Arial" w:cs="Arial"/>
                <w:b/>
                <w:bCs/>
                <w:color w:val="000000"/>
                <w:spacing w:val="-5"/>
                <w:kern w:val="0"/>
                <w:lang w:eastAsia="en-GB"/>
                <w14:ligatures w14:val="none"/>
              </w:rPr>
              <w:t xml:space="preserve"> – </w:t>
            </w:r>
            <w:r w:rsidR="00497AD5" w:rsidRPr="00226BC4">
              <w:rPr>
                <w:rFonts w:ascii="Arial" w:eastAsia="Times New Roman" w:hAnsi="Arial" w:cs="Arial"/>
                <w:b/>
                <w:bCs/>
                <w:color w:val="000000"/>
                <w:spacing w:val="-5"/>
                <w:kern w:val="0"/>
                <w:lang w:eastAsia="en-GB"/>
                <w14:ligatures w14:val="none"/>
              </w:rPr>
              <w:t>All</w:t>
            </w:r>
            <w:r w:rsidR="005458B5" w:rsidRPr="00226BC4">
              <w:rPr>
                <w:rFonts w:ascii="Arial" w:eastAsia="Times New Roman" w:hAnsi="Arial" w:cs="Arial"/>
                <w:b/>
                <w:bCs/>
                <w:color w:val="000000"/>
                <w:spacing w:val="-5"/>
                <w:kern w:val="0"/>
                <w:lang w:eastAsia="en-GB"/>
                <w14:ligatures w14:val="none"/>
              </w:rPr>
              <w:t xml:space="preserve"> children are ready for the next part of their life whether that be the next year at primary or ready for their move to secondary and beyond. They understand the importance of </w:t>
            </w:r>
            <w:r w:rsidR="7C8BE86F" w:rsidRPr="00226BC4">
              <w:rPr>
                <w:rFonts w:ascii="Arial" w:eastAsia="Times New Roman" w:hAnsi="Arial" w:cs="Arial"/>
                <w:b/>
                <w:bCs/>
                <w:color w:val="000000"/>
                <w:spacing w:val="-5"/>
                <w:kern w:val="0"/>
                <w:lang w:eastAsia="en-GB"/>
                <w14:ligatures w14:val="none"/>
              </w:rPr>
              <w:t>learning</w:t>
            </w:r>
            <w:r w:rsidR="005458B5" w:rsidRPr="00226BC4">
              <w:rPr>
                <w:rFonts w:ascii="Arial" w:eastAsia="Times New Roman" w:hAnsi="Arial" w:cs="Arial"/>
                <w:b/>
                <w:bCs/>
                <w:color w:val="000000"/>
                <w:spacing w:val="-5"/>
                <w:kern w:val="0"/>
                <w:lang w:eastAsia="en-GB"/>
                <w14:ligatures w14:val="none"/>
              </w:rPr>
              <w:t xml:space="preserve"> and value all opportunities. </w:t>
            </w:r>
          </w:p>
        </w:tc>
      </w:tr>
      <w:tr w:rsidR="003C3910" w14:paraId="5DBE3877" w14:textId="78D4E678" w:rsidTr="0DA404AA">
        <w:tc>
          <w:tcPr>
            <w:tcW w:w="4673" w:type="dxa"/>
          </w:tcPr>
          <w:p w14:paraId="634F0521" w14:textId="6B8995F3" w:rsidR="003C3910" w:rsidRPr="00226BC4" w:rsidRDefault="003C3910" w:rsidP="0DA404AA">
            <w:pPr>
              <w:spacing w:after="240" w:line="312" w:lineRule="atLeast"/>
              <w:outlineLvl w:val="2"/>
              <w:rPr>
                <w:rFonts w:ascii="Arial" w:eastAsia="Times New Roman" w:hAnsi="Arial" w:cs="Arial"/>
                <w:b/>
                <w:bCs/>
                <w:color w:val="000000"/>
                <w:spacing w:val="-5"/>
                <w:kern w:val="0"/>
                <w:u w:val="single"/>
                <w:lang w:eastAsia="en-GB"/>
                <w14:ligatures w14:val="none"/>
              </w:rPr>
            </w:pPr>
            <w:r w:rsidRPr="00226BC4">
              <w:rPr>
                <w:rFonts w:ascii="Arial" w:eastAsia="Times New Roman" w:hAnsi="Arial" w:cs="Arial"/>
                <w:b/>
                <w:bCs/>
                <w:color w:val="000000"/>
                <w:spacing w:val="-5"/>
                <w:kern w:val="0"/>
                <w:u w:val="single"/>
                <w:lang w:eastAsia="en-GB"/>
                <w14:ligatures w14:val="none"/>
              </w:rPr>
              <w:t xml:space="preserve">Values Intent </w:t>
            </w:r>
            <w:r w:rsidR="50EBD6A9" w:rsidRPr="0DA404AA">
              <w:rPr>
                <w:rFonts w:ascii="Arial" w:eastAsia="Arial" w:hAnsi="Arial" w:cs="Arial"/>
                <w:b/>
                <w:bCs/>
                <w:color w:val="000000" w:themeColor="text1"/>
                <w:u w:val="single"/>
              </w:rPr>
              <w:t>&amp; Implementation</w:t>
            </w:r>
            <w:r w:rsidR="50EBD6A9" w:rsidRPr="0DA404AA">
              <w:rPr>
                <w:rFonts w:ascii="Arial" w:eastAsia="Arial" w:hAnsi="Arial" w:cs="Arial"/>
              </w:rPr>
              <w:t xml:space="preserve"> </w:t>
            </w:r>
            <w:r w:rsidRPr="00226BC4">
              <w:rPr>
                <w:rFonts w:ascii="Arial" w:eastAsia="Times New Roman" w:hAnsi="Arial" w:cs="Arial"/>
                <w:b/>
                <w:bCs/>
                <w:color w:val="000000"/>
                <w:spacing w:val="-5"/>
                <w:kern w:val="0"/>
                <w:u w:val="single"/>
                <w:lang w:eastAsia="en-GB"/>
                <w14:ligatures w14:val="none"/>
              </w:rPr>
              <w:t xml:space="preserve">– </w:t>
            </w:r>
          </w:p>
          <w:p w14:paraId="51379E3C" w14:textId="4EB18716" w:rsidR="003C3910" w:rsidRPr="00226BC4"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eastAsia="Times New Roman" w:hAnsi="Arial" w:cs="Arial"/>
                <w:color w:val="000000"/>
                <w:spacing w:val="-5"/>
                <w:kern w:val="0"/>
                <w:lang w:eastAsia="en-GB"/>
                <w14:ligatures w14:val="none"/>
              </w:rPr>
              <w:t xml:space="preserve">Our intention is </w:t>
            </w:r>
            <w:r w:rsidR="00E92355" w:rsidRPr="00226BC4">
              <w:rPr>
                <w:rFonts w:ascii="Arial" w:eastAsia="Times New Roman"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353D4214" w14:textId="77777777" w:rsidR="001D774C" w:rsidRPr="00226BC4" w:rsidRDefault="00DB52F2" w:rsidP="0044729C">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Opportunities are taken whenever possible to reinforce messages of a healthy life style.</w:t>
            </w:r>
          </w:p>
          <w:p w14:paraId="1A9A7A83" w14:textId="4B022241" w:rsidR="00DB52F2" w:rsidRPr="00226BC4" w:rsidRDefault="007D79C5" w:rsidP="0044729C">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Clear rules for Online Safety reviewed with each class at the beginning of every year. Parents and pupils should sign an acceptable user policy together when a pupil first starts at the school.</w:t>
            </w:r>
          </w:p>
        </w:tc>
      </w:tr>
      <w:tr w:rsidR="008B7485" w14:paraId="41684F6F" w14:textId="77777777" w:rsidTr="0DA404AA">
        <w:tc>
          <w:tcPr>
            <w:tcW w:w="11058" w:type="dxa"/>
            <w:gridSpan w:val="2"/>
          </w:tcPr>
          <w:p w14:paraId="6452392D" w14:textId="5AB498A7" w:rsidR="008B7485" w:rsidRPr="00226BC4" w:rsidRDefault="005458B5"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226BC4">
              <w:rPr>
                <w:rFonts w:ascii="Arial" w:eastAsia="Times New Roman" w:hAnsi="Arial" w:cs="Arial"/>
                <w:b/>
                <w:bCs/>
                <w:color w:val="000000"/>
                <w:spacing w:val="-5"/>
                <w:kern w:val="0"/>
                <w:lang w:eastAsia="en-GB"/>
                <w14:ligatures w14:val="none"/>
              </w:rPr>
              <w:t>Impact</w:t>
            </w:r>
            <w:r w:rsidR="00202ABD" w:rsidRPr="00226BC4">
              <w:rPr>
                <w:rFonts w:ascii="Arial" w:eastAsia="Times New Roman" w:hAnsi="Arial" w:cs="Arial"/>
                <w:b/>
                <w:bCs/>
                <w:color w:val="000000"/>
                <w:spacing w:val="-5"/>
                <w:kern w:val="0"/>
                <w:lang w:eastAsia="en-GB"/>
                <w14:ligatures w14:val="none"/>
              </w:rPr>
              <w:t xml:space="preserve"> -</w:t>
            </w:r>
            <w:r w:rsidRPr="00226BC4">
              <w:rPr>
                <w:rFonts w:ascii="Arial" w:eastAsia="Times New Roman" w:hAnsi="Arial" w:cs="Arial"/>
                <w:b/>
                <w:bCs/>
                <w:color w:val="000000"/>
                <w:spacing w:val="-5"/>
                <w:kern w:val="0"/>
                <w:lang w:eastAsia="en-GB"/>
                <w14:ligatures w14:val="none"/>
              </w:rPr>
              <w:t xml:space="preserve"> All children have a core set of values which underpin every decision they make.  They </w:t>
            </w:r>
            <w:r w:rsidR="009D4371" w:rsidRPr="00226BC4">
              <w:rPr>
                <w:rFonts w:ascii="Arial" w:eastAsia="Times New Roman" w:hAnsi="Arial" w:cs="Arial"/>
                <w:b/>
                <w:bCs/>
                <w:color w:val="000000"/>
                <w:spacing w:val="-5"/>
                <w:kern w:val="0"/>
                <w:lang w:eastAsia="en-GB"/>
                <w14:ligatures w14:val="none"/>
              </w:rPr>
              <w:t xml:space="preserve">understand the importance of values and how these make us feel personally and how showing values allows </w:t>
            </w:r>
            <w:r w:rsidR="00BB4474" w:rsidRPr="00226BC4">
              <w:rPr>
                <w:rFonts w:ascii="Arial" w:eastAsia="Times New Roman" w:hAnsi="Arial" w:cs="Arial"/>
                <w:b/>
                <w:bCs/>
                <w:color w:val="000000"/>
                <w:spacing w:val="-5"/>
                <w:kern w:val="0"/>
                <w:lang w:eastAsia="en-GB"/>
                <w14:ligatures w14:val="none"/>
              </w:rPr>
              <w:t xml:space="preserve">children and young people to live </w:t>
            </w:r>
            <w:r w:rsidR="004E3740" w:rsidRPr="00226BC4">
              <w:rPr>
                <w:rFonts w:ascii="Arial" w:eastAsia="Times New Roman" w:hAnsi="Arial" w:cs="Arial"/>
                <w:b/>
                <w:bCs/>
                <w:color w:val="000000"/>
                <w:spacing w:val="-5"/>
                <w:kern w:val="0"/>
                <w:lang w:eastAsia="en-GB"/>
                <w14:ligatures w14:val="none"/>
              </w:rPr>
              <w:t>positively</w:t>
            </w:r>
            <w:r w:rsidR="00BB4474" w:rsidRPr="00226BC4">
              <w:rPr>
                <w:rFonts w:ascii="Arial" w:eastAsia="Times New Roman" w:hAnsi="Arial" w:cs="Arial"/>
                <w:b/>
                <w:bCs/>
                <w:color w:val="000000"/>
                <w:spacing w:val="-5"/>
                <w:kern w:val="0"/>
                <w:lang w:eastAsia="en-GB"/>
                <w14:ligatures w14:val="none"/>
              </w:rPr>
              <w:t xml:space="preserve"> in moder</w:t>
            </w:r>
            <w:r w:rsidR="004E3740" w:rsidRPr="00226BC4">
              <w:rPr>
                <w:rFonts w:ascii="Arial" w:eastAsia="Times New Roman" w:hAnsi="Arial" w:cs="Arial"/>
                <w:b/>
                <w:bCs/>
                <w:color w:val="000000"/>
                <w:spacing w:val="-5"/>
                <w:kern w:val="0"/>
                <w:lang w:eastAsia="en-GB"/>
                <w14:ligatures w14:val="none"/>
              </w:rPr>
              <w:t>n</w:t>
            </w:r>
            <w:r w:rsidR="00BB4474" w:rsidRPr="00226BC4">
              <w:rPr>
                <w:rFonts w:ascii="Arial" w:eastAsia="Times New Roman" w:hAnsi="Arial" w:cs="Arial"/>
                <w:b/>
                <w:bCs/>
                <w:color w:val="000000"/>
                <w:spacing w:val="-5"/>
                <w:kern w:val="0"/>
                <w:lang w:eastAsia="en-GB"/>
                <w14:ligatures w14:val="none"/>
              </w:rPr>
              <w:t xml:space="preserve"> Britian. </w:t>
            </w:r>
          </w:p>
        </w:tc>
      </w:tr>
      <w:tr w:rsidR="003C3910" w14:paraId="5656BE66" w14:textId="335AC33D" w:rsidTr="0DA404AA">
        <w:tc>
          <w:tcPr>
            <w:tcW w:w="4673" w:type="dxa"/>
          </w:tcPr>
          <w:p w14:paraId="0B9832EF" w14:textId="17FB9671" w:rsidR="00E92355" w:rsidRPr="00226BC4" w:rsidRDefault="00E92355" w:rsidP="0DA404AA">
            <w:pPr>
              <w:spacing w:after="240" w:line="312" w:lineRule="atLeast"/>
              <w:outlineLvl w:val="2"/>
              <w:rPr>
                <w:rFonts w:ascii="Arial" w:eastAsia="Times New Roman" w:hAnsi="Arial" w:cs="Arial"/>
                <w:b/>
                <w:bCs/>
                <w:color w:val="000000"/>
                <w:spacing w:val="-5"/>
                <w:kern w:val="0"/>
                <w:u w:val="single"/>
                <w:lang w:eastAsia="en-GB"/>
                <w14:ligatures w14:val="none"/>
              </w:rPr>
            </w:pPr>
            <w:r w:rsidRPr="00226BC4">
              <w:rPr>
                <w:rFonts w:ascii="Arial" w:eastAsia="Times New Roman" w:hAnsi="Arial" w:cs="Arial"/>
                <w:b/>
                <w:bCs/>
                <w:color w:val="000000"/>
                <w:spacing w:val="-5"/>
                <w:kern w:val="0"/>
                <w:u w:val="single"/>
                <w:lang w:eastAsia="en-GB"/>
                <w14:ligatures w14:val="none"/>
              </w:rPr>
              <w:t xml:space="preserve">Language Intent </w:t>
            </w:r>
            <w:r w:rsidR="5CB3D1EF" w:rsidRPr="0DA404AA">
              <w:rPr>
                <w:rFonts w:ascii="Arial" w:eastAsia="Arial" w:hAnsi="Arial" w:cs="Arial"/>
                <w:b/>
                <w:bCs/>
                <w:color w:val="000000" w:themeColor="text1"/>
                <w:u w:val="single"/>
              </w:rPr>
              <w:t>&amp; Implementation</w:t>
            </w:r>
            <w:r w:rsidR="5CB3D1EF" w:rsidRPr="0DA404AA">
              <w:rPr>
                <w:rFonts w:ascii="Arial" w:eastAsia="Arial" w:hAnsi="Arial" w:cs="Arial"/>
              </w:rPr>
              <w:t xml:space="preserve"> </w:t>
            </w:r>
            <w:r w:rsidRPr="00226BC4">
              <w:rPr>
                <w:rFonts w:ascii="Arial" w:eastAsia="Times New Roman" w:hAnsi="Arial" w:cs="Arial"/>
                <w:b/>
                <w:bCs/>
                <w:color w:val="000000"/>
                <w:spacing w:val="-5"/>
                <w:kern w:val="0"/>
                <w:u w:val="single"/>
                <w:lang w:eastAsia="en-GB"/>
                <w14:ligatures w14:val="none"/>
              </w:rPr>
              <w:t xml:space="preserve">– </w:t>
            </w:r>
          </w:p>
          <w:p w14:paraId="658910CF" w14:textId="36D81D46" w:rsidR="003C3910" w:rsidRPr="00226BC4"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071FE80E" w14:textId="77777777" w:rsidR="00D05FB5" w:rsidRPr="00226BC4" w:rsidRDefault="003D71AA" w:rsidP="0044729C">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Opportunities for communication and collaboration develop understanding of the purposes for using technology and these are used to bring together home and school learning experiences.</w:t>
            </w:r>
          </w:p>
          <w:p w14:paraId="3C00D839" w14:textId="3758D9DC" w:rsidR="0044729C" w:rsidRPr="00226BC4" w:rsidRDefault="0044729C" w:rsidP="00226BC4">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Become digitally literate – able to use, express themselves and develop ideas through information and communication technology.</w:t>
            </w:r>
          </w:p>
        </w:tc>
      </w:tr>
      <w:tr w:rsidR="00C64FB5" w14:paraId="0AE84DD1" w14:textId="77777777" w:rsidTr="0DA404AA">
        <w:tc>
          <w:tcPr>
            <w:tcW w:w="11058" w:type="dxa"/>
            <w:gridSpan w:val="2"/>
          </w:tcPr>
          <w:p w14:paraId="6ACB0E16" w14:textId="09BB41EC" w:rsidR="00C64FB5" w:rsidRPr="00226BC4" w:rsidRDefault="00BB4474"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226BC4">
              <w:rPr>
                <w:rFonts w:ascii="Arial" w:eastAsia="Times New Roman" w:hAnsi="Arial" w:cs="Arial"/>
                <w:b/>
                <w:bCs/>
                <w:color w:val="000000"/>
                <w:spacing w:val="-5"/>
                <w:kern w:val="0"/>
                <w:lang w:eastAsia="en-GB"/>
                <w14:ligatures w14:val="none"/>
              </w:rPr>
              <w:t xml:space="preserve">Impact – All children have a language rich curriculum where they are encouraged to communicate </w:t>
            </w:r>
            <w:r w:rsidR="004E3740" w:rsidRPr="00226BC4">
              <w:rPr>
                <w:rFonts w:ascii="Arial" w:eastAsia="Times New Roman" w:hAnsi="Arial" w:cs="Arial"/>
                <w:b/>
                <w:bCs/>
                <w:color w:val="000000"/>
                <w:spacing w:val="-5"/>
                <w:kern w:val="0"/>
                <w:lang w:eastAsia="en-GB"/>
                <w14:ligatures w14:val="none"/>
              </w:rPr>
              <w:t>effectively</w:t>
            </w:r>
            <w:r w:rsidRPr="00226BC4">
              <w:rPr>
                <w:rFonts w:ascii="Arial" w:eastAsia="Times New Roman" w:hAnsi="Arial" w:cs="Arial"/>
                <w:b/>
                <w:bCs/>
                <w:color w:val="000000"/>
                <w:spacing w:val="-5"/>
                <w:kern w:val="0"/>
                <w:lang w:eastAsia="en-GB"/>
                <w14:ligatures w14:val="none"/>
              </w:rPr>
              <w:t xml:space="preserve"> in full </w:t>
            </w:r>
            <w:r w:rsidR="004E3740" w:rsidRPr="00226BC4">
              <w:rPr>
                <w:rFonts w:ascii="Arial" w:eastAsia="Times New Roman" w:hAnsi="Arial" w:cs="Arial"/>
                <w:b/>
                <w:bCs/>
                <w:color w:val="000000"/>
                <w:spacing w:val="-5"/>
                <w:kern w:val="0"/>
                <w:lang w:eastAsia="en-GB"/>
                <w14:ligatures w14:val="none"/>
              </w:rPr>
              <w:t>sentences</w:t>
            </w:r>
            <w:r w:rsidRPr="00226BC4">
              <w:rPr>
                <w:rFonts w:ascii="Arial" w:eastAsia="Times New Roman" w:hAnsi="Arial" w:cs="Arial"/>
                <w:b/>
                <w:bCs/>
                <w:color w:val="000000"/>
                <w:spacing w:val="-5"/>
                <w:kern w:val="0"/>
                <w:lang w:eastAsia="en-GB"/>
                <w14:ligatures w14:val="none"/>
              </w:rPr>
              <w:t xml:space="preserve">. They are taught the skills to </w:t>
            </w:r>
            <w:r w:rsidR="004E3740" w:rsidRPr="00226BC4">
              <w:rPr>
                <w:rFonts w:ascii="Arial" w:eastAsia="Times New Roman" w:hAnsi="Arial" w:cs="Arial"/>
                <w:b/>
                <w:bCs/>
                <w:color w:val="000000"/>
                <w:spacing w:val="-5"/>
                <w:kern w:val="0"/>
                <w:lang w:eastAsia="en-GB"/>
                <w14:ligatures w14:val="none"/>
              </w:rPr>
              <w:t>communicate</w:t>
            </w:r>
            <w:r w:rsidRPr="00226BC4">
              <w:rPr>
                <w:rFonts w:ascii="Arial" w:eastAsia="Times New Roman" w:hAnsi="Arial" w:cs="Arial"/>
                <w:b/>
                <w:bCs/>
                <w:color w:val="000000"/>
                <w:spacing w:val="-5"/>
                <w:kern w:val="0"/>
                <w:lang w:eastAsia="en-GB"/>
                <w14:ligatures w14:val="none"/>
              </w:rPr>
              <w:t xml:space="preserve"> </w:t>
            </w:r>
            <w:r w:rsidR="007D4803" w:rsidRPr="00226BC4">
              <w:rPr>
                <w:rFonts w:ascii="Arial" w:eastAsia="Times New Roman" w:hAnsi="Arial" w:cs="Arial"/>
                <w:b/>
                <w:bCs/>
                <w:color w:val="000000"/>
                <w:spacing w:val="-5"/>
                <w:kern w:val="0"/>
                <w:lang w:eastAsia="en-GB"/>
                <w14:ligatures w14:val="none"/>
              </w:rPr>
              <w:t>efficiently</w:t>
            </w:r>
            <w:r w:rsidRPr="00226BC4">
              <w:rPr>
                <w:rFonts w:ascii="Arial" w:eastAsia="Times New Roman" w:hAnsi="Arial" w:cs="Arial"/>
                <w:b/>
                <w:bCs/>
                <w:color w:val="000000"/>
                <w:spacing w:val="-5"/>
                <w:kern w:val="0"/>
                <w:lang w:eastAsia="en-GB"/>
                <w14:ligatures w14:val="none"/>
              </w:rPr>
              <w:t xml:space="preserve"> within a vast range of situations and </w:t>
            </w:r>
            <w:r w:rsidR="004E3740" w:rsidRPr="00226BC4">
              <w:rPr>
                <w:rFonts w:ascii="Arial" w:eastAsia="Times New Roman" w:hAnsi="Arial" w:cs="Arial"/>
                <w:b/>
                <w:bCs/>
                <w:color w:val="000000"/>
                <w:spacing w:val="-5"/>
                <w:kern w:val="0"/>
                <w:lang w:eastAsia="en-GB"/>
                <w14:ligatures w14:val="none"/>
              </w:rPr>
              <w:t>understand</w:t>
            </w:r>
            <w:r w:rsidRPr="00226BC4">
              <w:rPr>
                <w:rFonts w:ascii="Arial" w:eastAsia="Times New Roman" w:hAnsi="Arial" w:cs="Arial"/>
                <w:b/>
                <w:bCs/>
                <w:color w:val="000000"/>
                <w:spacing w:val="-5"/>
                <w:kern w:val="0"/>
                <w:lang w:eastAsia="en-GB"/>
                <w14:ligatures w14:val="none"/>
              </w:rPr>
              <w:t xml:space="preserve"> the need </w:t>
            </w:r>
            <w:r w:rsidR="004E3740" w:rsidRPr="00226BC4">
              <w:rPr>
                <w:rFonts w:ascii="Arial" w:eastAsia="Times New Roman" w:hAnsi="Arial" w:cs="Arial"/>
                <w:b/>
                <w:bCs/>
                <w:color w:val="000000"/>
                <w:spacing w:val="-5"/>
                <w:kern w:val="0"/>
                <w:lang w:eastAsia="en-GB"/>
                <w14:ligatures w14:val="none"/>
              </w:rPr>
              <w:t>of listening</w:t>
            </w:r>
            <w:r w:rsidR="007D4803" w:rsidRPr="00226BC4">
              <w:rPr>
                <w:rFonts w:ascii="Arial" w:eastAsia="Times New Roman" w:hAnsi="Arial" w:cs="Arial"/>
                <w:b/>
                <w:bCs/>
                <w:color w:val="000000"/>
                <w:spacing w:val="-5"/>
                <w:kern w:val="0"/>
                <w:lang w:eastAsia="en-GB"/>
                <w14:ligatures w14:val="none"/>
              </w:rPr>
              <w:t xml:space="preserve"> attentively and responding appropriately</w:t>
            </w:r>
            <w:r w:rsidR="004E3740" w:rsidRPr="00226BC4">
              <w:rPr>
                <w:rFonts w:ascii="Arial" w:eastAsia="Times New Roman" w:hAnsi="Arial" w:cs="Arial"/>
                <w:b/>
                <w:bCs/>
                <w:color w:val="000000"/>
                <w:spacing w:val="-5"/>
                <w:kern w:val="0"/>
                <w:lang w:eastAsia="en-GB"/>
                <w14:ligatures w14:val="none"/>
              </w:rPr>
              <w:t xml:space="preserve"> to be a successful communicator</w:t>
            </w:r>
            <w:r w:rsidR="7C5536DC" w:rsidRPr="00226BC4">
              <w:rPr>
                <w:rFonts w:ascii="Arial" w:eastAsia="Times New Roman" w:hAnsi="Arial" w:cs="Arial"/>
                <w:b/>
                <w:bCs/>
                <w:color w:val="000000"/>
                <w:spacing w:val="-5"/>
                <w:kern w:val="0"/>
                <w:lang w:eastAsia="en-GB"/>
                <w14:ligatures w14:val="none"/>
              </w:rPr>
              <w:t>.</w:t>
            </w:r>
          </w:p>
        </w:tc>
      </w:tr>
      <w:tr w:rsidR="003C3910" w14:paraId="37F72950" w14:textId="0773CD1D" w:rsidTr="0DA404AA">
        <w:tc>
          <w:tcPr>
            <w:tcW w:w="4673" w:type="dxa"/>
          </w:tcPr>
          <w:p w14:paraId="6D5349A9" w14:textId="3F328458" w:rsidR="00E92355" w:rsidRPr="00226BC4" w:rsidRDefault="00E92355" w:rsidP="0DA404AA">
            <w:pPr>
              <w:spacing w:after="240" w:line="312" w:lineRule="atLeast"/>
              <w:outlineLvl w:val="2"/>
              <w:rPr>
                <w:rFonts w:ascii="Arial" w:eastAsia="Times New Roman" w:hAnsi="Arial" w:cs="Arial"/>
                <w:b/>
                <w:bCs/>
                <w:color w:val="000000"/>
                <w:spacing w:val="-5"/>
                <w:kern w:val="0"/>
                <w:u w:val="single"/>
                <w:lang w:eastAsia="en-GB"/>
                <w14:ligatures w14:val="none"/>
              </w:rPr>
            </w:pPr>
            <w:r w:rsidRPr="00226BC4">
              <w:rPr>
                <w:rFonts w:ascii="Arial" w:eastAsia="Times New Roman" w:hAnsi="Arial" w:cs="Arial"/>
                <w:b/>
                <w:bCs/>
                <w:color w:val="000000"/>
                <w:spacing w:val="-5"/>
                <w:kern w:val="0"/>
                <w:u w:val="single"/>
                <w:lang w:eastAsia="en-GB"/>
                <w14:ligatures w14:val="none"/>
              </w:rPr>
              <w:t>Inclusivity Intent</w:t>
            </w:r>
            <w:r w:rsidR="6603A915" w:rsidRPr="0DA404AA">
              <w:rPr>
                <w:rFonts w:ascii="Arial" w:eastAsia="Arial" w:hAnsi="Arial" w:cs="Arial"/>
                <w:b/>
                <w:bCs/>
                <w:color w:val="000000" w:themeColor="text1"/>
                <w:u w:val="single"/>
              </w:rPr>
              <w:t xml:space="preserve"> &amp; Implementation</w:t>
            </w:r>
            <w:r w:rsidRPr="00226BC4">
              <w:rPr>
                <w:rFonts w:ascii="Arial" w:eastAsia="Times New Roman" w:hAnsi="Arial" w:cs="Arial"/>
                <w:b/>
                <w:bCs/>
                <w:color w:val="000000"/>
                <w:spacing w:val="-5"/>
                <w:kern w:val="0"/>
                <w:u w:val="single"/>
                <w:lang w:eastAsia="en-GB"/>
                <w14:ligatures w14:val="none"/>
              </w:rPr>
              <w:t xml:space="preserve"> – </w:t>
            </w:r>
          </w:p>
          <w:p w14:paraId="58D329CB" w14:textId="6D22D24A" w:rsidR="003C3910" w:rsidRPr="00226BC4"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191FD478" w14:textId="77777777" w:rsidR="000C228E" w:rsidRPr="00226BC4" w:rsidRDefault="00892CBD"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 xml:space="preserve">The school maintains its policy of equal opportunities as appropriate for Computing. </w:t>
            </w:r>
            <w:r w:rsidRPr="00226BC4">
              <w:rPr>
                <w:rFonts w:ascii="Symbol" w:eastAsia="Symbol" w:hAnsi="Symbol" w:cs="Symbol"/>
              </w:rPr>
              <w:t>l</w:t>
            </w:r>
            <w:r w:rsidRPr="00226BC4">
              <w:rPr>
                <w:rFonts w:ascii="Arial" w:hAnsi="Arial" w:cs="Arial"/>
              </w:rPr>
              <w:t xml:space="preserve"> Computers and related technology are made available to all pupils regardless of gender, race or abilities.</w:t>
            </w:r>
          </w:p>
          <w:p w14:paraId="54C781D1" w14:textId="77777777" w:rsidR="00892CBD" w:rsidRPr="00226BC4" w:rsidRDefault="00364491"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lastRenderedPageBreak/>
              <w:t>The class teacher differentiates work by task, resource or support, to ensure the individual needs of more able and SEN pupils are met.</w:t>
            </w:r>
          </w:p>
          <w:p w14:paraId="0090932D" w14:textId="5FC685D4" w:rsidR="00364491" w:rsidRPr="00226BC4" w:rsidRDefault="00364491"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226BC4">
              <w:rPr>
                <w:rFonts w:ascii="Arial" w:hAnsi="Arial" w:cs="Arial"/>
              </w:rPr>
              <w:t>The school is aware that not all pupils have the same access to resources at home and this is considered by staff in the planning and delivery of the curriculum.</w:t>
            </w:r>
          </w:p>
        </w:tc>
      </w:tr>
      <w:tr w:rsidR="00C64FB5" w14:paraId="48B0E6E0" w14:textId="77777777" w:rsidTr="0DA404AA">
        <w:tc>
          <w:tcPr>
            <w:tcW w:w="11058" w:type="dxa"/>
            <w:gridSpan w:val="2"/>
          </w:tcPr>
          <w:p w14:paraId="3169F38B" w14:textId="662099BA" w:rsidR="00C64FB5" w:rsidRPr="00226BC4" w:rsidRDefault="007D4803" w:rsidP="00EE1416">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226BC4">
              <w:rPr>
                <w:rFonts w:ascii="Arial" w:eastAsia="Times New Roman" w:hAnsi="Arial" w:cs="Arial"/>
                <w:b/>
                <w:bCs/>
                <w:color w:val="000000"/>
                <w:spacing w:val="-5"/>
                <w:kern w:val="0"/>
                <w:lang w:eastAsia="en-GB"/>
                <w14:ligatures w14:val="none"/>
              </w:rPr>
              <w:lastRenderedPageBreak/>
              <w:t xml:space="preserve">Impact – All </w:t>
            </w:r>
            <w:r w:rsidR="43D3CE4E" w:rsidRPr="00226BC4">
              <w:rPr>
                <w:rFonts w:ascii="Arial" w:eastAsia="Times New Roman" w:hAnsi="Arial" w:cs="Arial"/>
                <w:b/>
                <w:bCs/>
                <w:color w:val="000000"/>
                <w:spacing w:val="-5"/>
                <w:kern w:val="0"/>
                <w:lang w:eastAsia="en-GB"/>
                <w14:ligatures w14:val="none"/>
              </w:rPr>
              <w:t>children feel valued and consider themselves a</w:t>
            </w:r>
            <w:r w:rsidR="38BA7956" w:rsidRPr="00226BC4">
              <w:rPr>
                <w:rFonts w:ascii="Arial" w:eastAsia="Times New Roman" w:hAnsi="Arial" w:cs="Arial"/>
                <w:b/>
                <w:bCs/>
                <w:color w:val="000000"/>
                <w:spacing w:val="-5"/>
                <w:kern w:val="0"/>
                <w:lang w:eastAsia="en-GB"/>
                <w14:ligatures w14:val="none"/>
              </w:rPr>
              <w:t>s</w:t>
            </w:r>
            <w:r w:rsidR="43D3CE4E" w:rsidRPr="00226BC4">
              <w:rPr>
                <w:rFonts w:ascii="Arial" w:eastAsia="Times New Roman" w:hAnsi="Arial" w:cs="Arial"/>
                <w:b/>
                <w:bCs/>
                <w:color w:val="000000"/>
                <w:spacing w:val="-5"/>
                <w:kern w:val="0"/>
                <w:lang w:eastAsia="en-GB"/>
                <w14:ligatures w14:val="none"/>
              </w:rPr>
              <w:t xml:space="preserve"> equal</w:t>
            </w:r>
            <w:r w:rsidR="4F0EE373" w:rsidRPr="00226BC4">
              <w:rPr>
                <w:rFonts w:ascii="Arial" w:eastAsia="Times New Roman" w:hAnsi="Arial" w:cs="Arial"/>
                <w:b/>
                <w:bCs/>
                <w:color w:val="000000"/>
                <w:spacing w:val="-5"/>
                <w:kern w:val="0"/>
                <w:lang w:eastAsia="en-GB"/>
                <w14:ligatures w14:val="none"/>
              </w:rPr>
              <w:t xml:space="preserve"> while also developing a good understanding of the difference between equity and equality. </w:t>
            </w:r>
            <w:r w:rsidR="0B3FBF27" w:rsidRPr="00226BC4">
              <w:rPr>
                <w:rFonts w:ascii="Arial" w:eastAsia="Times New Roman" w:hAnsi="Arial" w:cs="Arial"/>
                <w:b/>
                <w:bCs/>
                <w:color w:val="000000" w:themeColor="text1"/>
                <w:lang w:eastAsia="en-GB"/>
              </w:rPr>
              <w:t xml:space="preserve">Diversity is celebrated. </w:t>
            </w:r>
            <w:r w:rsidR="43D3CE4E" w:rsidRPr="00226BC4">
              <w:rPr>
                <w:rFonts w:ascii="Arial" w:eastAsia="Times New Roman" w:hAnsi="Arial" w:cs="Arial"/>
                <w:b/>
                <w:bCs/>
                <w:color w:val="000000"/>
                <w:spacing w:val="-5"/>
                <w:kern w:val="0"/>
                <w:lang w:eastAsia="en-GB"/>
                <w14:ligatures w14:val="none"/>
              </w:rPr>
              <w:t xml:space="preserve">Children </w:t>
            </w:r>
            <w:r w:rsidR="79916202" w:rsidRPr="00226BC4">
              <w:rPr>
                <w:rFonts w:ascii="Arial" w:eastAsia="Times New Roman" w:hAnsi="Arial" w:cs="Arial"/>
                <w:b/>
                <w:bCs/>
                <w:color w:val="000000"/>
                <w:spacing w:val="-5"/>
                <w:kern w:val="0"/>
                <w:lang w:eastAsia="en-GB"/>
                <w14:ligatures w14:val="none"/>
              </w:rPr>
              <w:t xml:space="preserve">are supported to show resilience and are </w:t>
            </w:r>
            <w:r w:rsidR="43D3CE4E" w:rsidRPr="00226BC4">
              <w:rPr>
                <w:rFonts w:ascii="Arial" w:eastAsia="Times New Roman" w:hAnsi="Arial" w:cs="Arial"/>
                <w:b/>
                <w:bCs/>
                <w:color w:val="000000"/>
                <w:spacing w:val="-5"/>
                <w:kern w:val="0"/>
                <w:lang w:eastAsia="en-GB"/>
                <w14:ligatures w14:val="none"/>
              </w:rPr>
              <w:t xml:space="preserve">proud of their achievements whatever their starting points. </w:t>
            </w:r>
          </w:p>
        </w:tc>
      </w:tr>
      <w:tr w:rsidR="002128D3" w14:paraId="2CD091F7" w14:textId="77777777" w:rsidTr="0DA404AA">
        <w:tc>
          <w:tcPr>
            <w:tcW w:w="11058" w:type="dxa"/>
            <w:gridSpan w:val="2"/>
          </w:tcPr>
          <w:p w14:paraId="705693EC" w14:textId="77777777" w:rsidR="002128D3" w:rsidRPr="00226BC4" w:rsidRDefault="002128D3" w:rsidP="002128D3">
            <w:pPr>
              <w:shd w:val="clear" w:color="auto" w:fill="FFFFFF"/>
              <w:rPr>
                <w:rFonts w:ascii="Arial" w:eastAsia="Times New Roman" w:hAnsi="Arial" w:cs="Arial"/>
                <w:b/>
                <w:bCs/>
                <w:kern w:val="0"/>
                <w:lang w:eastAsia="en-GB"/>
                <w14:ligatures w14:val="none"/>
              </w:rPr>
            </w:pPr>
            <w:r w:rsidRPr="00226BC4">
              <w:rPr>
                <w:rFonts w:ascii="Arial" w:eastAsia="Times New Roman" w:hAnsi="Arial" w:cs="Arial"/>
                <w:b/>
                <w:bCs/>
                <w:kern w:val="0"/>
                <w:lang w:eastAsia="en-GB"/>
                <w14:ligatures w14:val="none"/>
              </w:rPr>
              <w:t>The Foundation Stage.</w:t>
            </w:r>
          </w:p>
          <w:p w14:paraId="68374EA2" w14:textId="65FDDF70" w:rsidR="002128D3" w:rsidRPr="00226BC4" w:rsidRDefault="006A798E" w:rsidP="005D0520">
            <w:pPr>
              <w:shd w:val="clear" w:color="auto" w:fill="FFFFFF"/>
              <w:rPr>
                <w:rFonts w:ascii="Arial" w:eastAsia="Times New Roman" w:hAnsi="Arial" w:cs="Arial"/>
                <w:kern w:val="0"/>
                <w:lang w:eastAsia="en-GB"/>
                <w14:ligatures w14:val="none"/>
              </w:rPr>
            </w:pPr>
            <w:r w:rsidRPr="00226BC4">
              <w:rPr>
                <w:rFonts w:ascii="Arial" w:hAnsi="Arial" w:cs="Arial"/>
              </w:rPr>
              <w:t>Pupils build confidence to use technology purposefully to support their learning to reach their Early Learning Goals as appropriate. Pupils in Foundation Stage class will have experiences using technology indoors, outdoors and through role play in both child-initiated and teacher-directed time. The Foundation Stage teacher will plan for the opportunity to use technology in a range of contexts.</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80DC102" w14:paraId="25504071" w14:textId="77777777" w:rsidTr="080DC102">
        <w:trPr>
          <w:trHeight w:val="300"/>
        </w:trPr>
        <w:tc>
          <w:tcPr>
            <w:tcW w:w="3485" w:type="dxa"/>
          </w:tcPr>
          <w:p w14:paraId="06154D01" w14:textId="57E778FD" w:rsidR="58F291F4" w:rsidRDefault="58F291F4" w:rsidP="080DC102">
            <w:r w:rsidRPr="080DC102">
              <w:rPr>
                <w:b/>
                <w:bCs/>
              </w:rPr>
              <w:t>Key Document Details</w:t>
            </w:r>
          </w:p>
        </w:tc>
        <w:tc>
          <w:tcPr>
            <w:tcW w:w="3485" w:type="dxa"/>
          </w:tcPr>
          <w:p w14:paraId="29BA554D" w14:textId="011A4C82" w:rsidR="080DC102" w:rsidRDefault="080DC102" w:rsidP="080DC102">
            <w:pPr>
              <w:rPr>
                <w:b/>
                <w:bCs/>
              </w:rPr>
            </w:pPr>
          </w:p>
        </w:tc>
      </w:tr>
      <w:tr w:rsidR="080DC102" w14:paraId="5841DCF3" w14:textId="77777777" w:rsidTr="080DC102">
        <w:trPr>
          <w:trHeight w:val="300"/>
        </w:trPr>
        <w:tc>
          <w:tcPr>
            <w:tcW w:w="3485" w:type="dxa"/>
          </w:tcPr>
          <w:p w14:paraId="473BAE71" w14:textId="61FBAE33" w:rsidR="58F291F4" w:rsidRDefault="58F291F4" w:rsidP="080DC102">
            <w:r>
              <w:t>Author:</w:t>
            </w:r>
            <w:r>
              <w:tab/>
            </w:r>
            <w:r w:rsidR="00226BC4">
              <w:t>M.Cowley</w:t>
            </w:r>
          </w:p>
        </w:tc>
        <w:tc>
          <w:tcPr>
            <w:tcW w:w="3485" w:type="dxa"/>
          </w:tcPr>
          <w:p w14:paraId="2EA029DE" w14:textId="030084EE" w:rsidR="58F291F4" w:rsidRDefault="58F291F4" w:rsidP="080DC102">
            <w:r>
              <w:t xml:space="preserve">Approver: </w:t>
            </w:r>
            <w:r w:rsidR="0038261D">
              <w:t>Whole school</w:t>
            </w:r>
          </w:p>
        </w:tc>
      </w:tr>
      <w:tr w:rsidR="080DC102" w14:paraId="5E212D46" w14:textId="77777777" w:rsidTr="080DC102">
        <w:trPr>
          <w:trHeight w:val="300"/>
        </w:trPr>
        <w:tc>
          <w:tcPr>
            <w:tcW w:w="3485" w:type="dxa"/>
          </w:tcPr>
          <w:p w14:paraId="084DB6F1" w14:textId="0C0A5756" w:rsidR="58F291F4" w:rsidRDefault="58F291F4" w:rsidP="080DC102">
            <w:r>
              <w:t>Owner:</w:t>
            </w:r>
            <w:r>
              <w:tab/>
            </w:r>
            <w:r w:rsidR="0038261D">
              <w:t>E Rushen-Gough</w:t>
            </w:r>
          </w:p>
        </w:tc>
        <w:tc>
          <w:tcPr>
            <w:tcW w:w="3485" w:type="dxa"/>
          </w:tcPr>
          <w:p w14:paraId="3FD836D2" w14:textId="2643456B" w:rsidR="58F291F4" w:rsidRDefault="58F291F4" w:rsidP="080DC102">
            <w:r>
              <w:t xml:space="preserve">Version: </w:t>
            </w:r>
            <w:r w:rsidR="0038261D">
              <w:t>2</w:t>
            </w:r>
            <w:r>
              <w:t>.0</w:t>
            </w:r>
          </w:p>
        </w:tc>
      </w:tr>
      <w:tr w:rsidR="080DC102" w14:paraId="36A0AA23" w14:textId="77777777" w:rsidTr="080DC102">
        <w:trPr>
          <w:trHeight w:val="300"/>
        </w:trPr>
        <w:tc>
          <w:tcPr>
            <w:tcW w:w="3485" w:type="dxa"/>
          </w:tcPr>
          <w:p w14:paraId="10A6DBE2" w14:textId="5025ECD2" w:rsidR="58F291F4" w:rsidRDefault="58F291F4" w:rsidP="080DC102">
            <w:r>
              <w:t xml:space="preserve">Date: </w:t>
            </w:r>
            <w:r w:rsidR="0038261D">
              <w:t>September</w:t>
            </w:r>
            <w:r>
              <w:t xml:space="preserve"> 2024</w:t>
            </w:r>
          </w:p>
        </w:tc>
        <w:tc>
          <w:tcPr>
            <w:tcW w:w="3485" w:type="dxa"/>
          </w:tcPr>
          <w:p w14:paraId="450ECF89" w14:textId="10DB0855" w:rsidR="58F291F4" w:rsidRDefault="58F291F4" w:rsidP="080DC102">
            <w:r>
              <w:t>Next Review: Sept 202</w:t>
            </w:r>
            <w:r w:rsidR="0038261D">
              <w:t>5</w:t>
            </w:r>
          </w:p>
        </w:tc>
      </w:tr>
    </w:tbl>
    <w:p w14:paraId="7125ECCC" w14:textId="5579492C" w:rsidR="080DC102" w:rsidRDefault="080DC102"/>
    <w:p w14:paraId="7F016184" w14:textId="12678FC6" w:rsidR="080DC102" w:rsidRDefault="080DC102" w:rsidP="080DC102">
      <w:pPr>
        <w:rPr>
          <w:b/>
          <w:bCs/>
        </w:rPr>
      </w:pPr>
    </w:p>
    <w:p w14:paraId="0335BD02" w14:textId="7620B4B1" w:rsidR="080DC102" w:rsidRDefault="080DC102" w:rsidP="080DC102"/>
    <w:sectPr w:rsidR="080DC102"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AD369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C975A3"/>
    <w:multiLevelType w:val="hybridMultilevel"/>
    <w:tmpl w:val="A3AC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2D0E07"/>
    <w:multiLevelType w:val="hybridMultilevel"/>
    <w:tmpl w:val="1D6A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0257E"/>
    <w:rsid w:val="00020152"/>
    <w:rsid w:val="000314CA"/>
    <w:rsid w:val="000355E9"/>
    <w:rsid w:val="00036072"/>
    <w:rsid w:val="00066AD9"/>
    <w:rsid w:val="000729A0"/>
    <w:rsid w:val="00073EB5"/>
    <w:rsid w:val="000C228E"/>
    <w:rsid w:val="000C2A2F"/>
    <w:rsid w:val="000E43FE"/>
    <w:rsid w:val="00154478"/>
    <w:rsid w:val="00167373"/>
    <w:rsid w:val="00191B92"/>
    <w:rsid w:val="001B592F"/>
    <w:rsid w:val="001D774C"/>
    <w:rsid w:val="001E0457"/>
    <w:rsid w:val="001E4996"/>
    <w:rsid w:val="00202ABD"/>
    <w:rsid w:val="002128D3"/>
    <w:rsid w:val="00226BC4"/>
    <w:rsid w:val="00250430"/>
    <w:rsid w:val="002623E9"/>
    <w:rsid w:val="00272FF9"/>
    <w:rsid w:val="002C0326"/>
    <w:rsid w:val="002C0F2C"/>
    <w:rsid w:val="0030544B"/>
    <w:rsid w:val="0035025A"/>
    <w:rsid w:val="00364491"/>
    <w:rsid w:val="00370EBC"/>
    <w:rsid w:val="0038261D"/>
    <w:rsid w:val="00385695"/>
    <w:rsid w:val="003C3910"/>
    <w:rsid w:val="003D3B0B"/>
    <w:rsid w:val="003D71AA"/>
    <w:rsid w:val="003E56E0"/>
    <w:rsid w:val="003F316A"/>
    <w:rsid w:val="00416072"/>
    <w:rsid w:val="00425D46"/>
    <w:rsid w:val="00425FC5"/>
    <w:rsid w:val="0044729C"/>
    <w:rsid w:val="00463C04"/>
    <w:rsid w:val="00497AD5"/>
    <w:rsid w:val="004B3923"/>
    <w:rsid w:val="004E0BD5"/>
    <w:rsid w:val="004E3740"/>
    <w:rsid w:val="005458B5"/>
    <w:rsid w:val="00594320"/>
    <w:rsid w:val="005B60BE"/>
    <w:rsid w:val="005C0DD1"/>
    <w:rsid w:val="005C3E10"/>
    <w:rsid w:val="005D0520"/>
    <w:rsid w:val="005D7AC9"/>
    <w:rsid w:val="00632C2B"/>
    <w:rsid w:val="006573A7"/>
    <w:rsid w:val="00693968"/>
    <w:rsid w:val="006A2EFF"/>
    <w:rsid w:val="006A798E"/>
    <w:rsid w:val="00727A02"/>
    <w:rsid w:val="00774B54"/>
    <w:rsid w:val="00790FF6"/>
    <w:rsid w:val="00796D61"/>
    <w:rsid w:val="007B12BF"/>
    <w:rsid w:val="007D4803"/>
    <w:rsid w:val="007D79C5"/>
    <w:rsid w:val="007F3049"/>
    <w:rsid w:val="008221ED"/>
    <w:rsid w:val="00844F75"/>
    <w:rsid w:val="008834BE"/>
    <w:rsid w:val="00890B57"/>
    <w:rsid w:val="00892CBD"/>
    <w:rsid w:val="008B7485"/>
    <w:rsid w:val="008C0357"/>
    <w:rsid w:val="008E6683"/>
    <w:rsid w:val="00913857"/>
    <w:rsid w:val="00925067"/>
    <w:rsid w:val="00952861"/>
    <w:rsid w:val="00965A85"/>
    <w:rsid w:val="00982F78"/>
    <w:rsid w:val="00997D5B"/>
    <w:rsid w:val="009A65CF"/>
    <w:rsid w:val="009B6216"/>
    <w:rsid w:val="009C64BD"/>
    <w:rsid w:val="009D4371"/>
    <w:rsid w:val="009E172E"/>
    <w:rsid w:val="00A5233E"/>
    <w:rsid w:val="00A56602"/>
    <w:rsid w:val="00A66DF3"/>
    <w:rsid w:val="00A729B2"/>
    <w:rsid w:val="00A9680F"/>
    <w:rsid w:val="00AB3D38"/>
    <w:rsid w:val="00B10472"/>
    <w:rsid w:val="00B17502"/>
    <w:rsid w:val="00B6530B"/>
    <w:rsid w:val="00BA3860"/>
    <w:rsid w:val="00BB4474"/>
    <w:rsid w:val="00BF752D"/>
    <w:rsid w:val="00C12265"/>
    <w:rsid w:val="00C36E40"/>
    <w:rsid w:val="00C64FB5"/>
    <w:rsid w:val="00CA1637"/>
    <w:rsid w:val="00CA2D72"/>
    <w:rsid w:val="00CA6A14"/>
    <w:rsid w:val="00CC59E1"/>
    <w:rsid w:val="00D05FB5"/>
    <w:rsid w:val="00D579F6"/>
    <w:rsid w:val="00D80C95"/>
    <w:rsid w:val="00DB52F2"/>
    <w:rsid w:val="00E20FA2"/>
    <w:rsid w:val="00E40A83"/>
    <w:rsid w:val="00E71D78"/>
    <w:rsid w:val="00E92355"/>
    <w:rsid w:val="00EB4169"/>
    <w:rsid w:val="00EE1416"/>
    <w:rsid w:val="00EF772F"/>
    <w:rsid w:val="00FA3D57"/>
    <w:rsid w:val="080DC102"/>
    <w:rsid w:val="0B3FBF27"/>
    <w:rsid w:val="0CF8F6C4"/>
    <w:rsid w:val="0DA404AA"/>
    <w:rsid w:val="113CB88D"/>
    <w:rsid w:val="1479A6A4"/>
    <w:rsid w:val="187A6AB7"/>
    <w:rsid w:val="19D079E0"/>
    <w:rsid w:val="1A91AFAB"/>
    <w:rsid w:val="1AE8E828"/>
    <w:rsid w:val="1C2D800C"/>
    <w:rsid w:val="271F5DC2"/>
    <w:rsid w:val="29A58984"/>
    <w:rsid w:val="2CDE1584"/>
    <w:rsid w:val="31243D44"/>
    <w:rsid w:val="31A586EE"/>
    <w:rsid w:val="33ACF2CC"/>
    <w:rsid w:val="367C7F66"/>
    <w:rsid w:val="3697B355"/>
    <w:rsid w:val="38BA7956"/>
    <w:rsid w:val="3FD0FDA4"/>
    <w:rsid w:val="43837C7C"/>
    <w:rsid w:val="43D3CE4E"/>
    <w:rsid w:val="4402C9BD"/>
    <w:rsid w:val="4AF56D5A"/>
    <w:rsid w:val="4F0EE373"/>
    <w:rsid w:val="50EBD6A9"/>
    <w:rsid w:val="5719BA83"/>
    <w:rsid w:val="58F291F4"/>
    <w:rsid w:val="596CFE3C"/>
    <w:rsid w:val="5CB3D1EF"/>
    <w:rsid w:val="60661E2E"/>
    <w:rsid w:val="6603A915"/>
    <w:rsid w:val="6766031A"/>
    <w:rsid w:val="6896F529"/>
    <w:rsid w:val="68BDE1B7"/>
    <w:rsid w:val="6B4219A5"/>
    <w:rsid w:val="6C0FC002"/>
    <w:rsid w:val="6E79BA67"/>
    <w:rsid w:val="7537E56C"/>
    <w:rsid w:val="753D9A1A"/>
    <w:rsid w:val="79916202"/>
    <w:rsid w:val="7C5536DC"/>
    <w:rsid w:val="7C8BE86F"/>
    <w:rsid w:val="7CDAE573"/>
    <w:rsid w:val="7DC50E2C"/>
    <w:rsid w:val="7DE7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63A17837-785A-4DE0-8C72-6125F11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29301">
      <w:bodyDiv w:val="1"/>
      <w:marLeft w:val="0"/>
      <w:marRight w:val="0"/>
      <w:marTop w:val="0"/>
      <w:marBottom w:val="0"/>
      <w:divBdr>
        <w:top w:val="none" w:sz="0" w:space="0" w:color="auto"/>
        <w:left w:val="none" w:sz="0" w:space="0" w:color="auto"/>
        <w:bottom w:val="none" w:sz="0" w:space="0" w:color="auto"/>
        <w:right w:val="none" w:sz="0" w:space="0" w:color="auto"/>
      </w:divBdr>
      <w:divsChild>
        <w:div w:id="225458136">
          <w:marLeft w:val="0"/>
          <w:marRight w:val="0"/>
          <w:marTop w:val="0"/>
          <w:marBottom w:val="0"/>
          <w:divBdr>
            <w:top w:val="none" w:sz="0" w:space="0" w:color="auto"/>
            <w:left w:val="none" w:sz="0" w:space="0" w:color="auto"/>
            <w:bottom w:val="none" w:sz="0" w:space="0" w:color="auto"/>
            <w:right w:val="none" w:sz="0" w:space="0" w:color="auto"/>
          </w:divBdr>
        </w:div>
        <w:div w:id="75564040">
          <w:marLeft w:val="0"/>
          <w:marRight w:val="0"/>
          <w:marTop w:val="0"/>
          <w:marBottom w:val="0"/>
          <w:divBdr>
            <w:top w:val="none" w:sz="0" w:space="0" w:color="auto"/>
            <w:left w:val="none" w:sz="0" w:space="0" w:color="auto"/>
            <w:bottom w:val="none" w:sz="0" w:space="0" w:color="auto"/>
            <w:right w:val="none" w:sz="0" w:space="0" w:color="auto"/>
          </w:divBdr>
        </w:div>
      </w:divsChild>
    </w:div>
    <w:div w:id="645091795">
      <w:bodyDiv w:val="1"/>
      <w:marLeft w:val="0"/>
      <w:marRight w:val="0"/>
      <w:marTop w:val="0"/>
      <w:marBottom w:val="0"/>
      <w:divBdr>
        <w:top w:val="none" w:sz="0" w:space="0" w:color="auto"/>
        <w:left w:val="none" w:sz="0" w:space="0" w:color="auto"/>
        <w:bottom w:val="none" w:sz="0" w:space="0" w:color="auto"/>
        <w:right w:val="none" w:sz="0" w:space="0" w:color="auto"/>
      </w:divBdr>
      <w:divsChild>
        <w:div w:id="1622416372">
          <w:marLeft w:val="0"/>
          <w:marRight w:val="0"/>
          <w:marTop w:val="0"/>
          <w:marBottom w:val="0"/>
          <w:divBdr>
            <w:top w:val="none" w:sz="0" w:space="0" w:color="auto"/>
            <w:left w:val="none" w:sz="0" w:space="0" w:color="auto"/>
            <w:bottom w:val="none" w:sz="0" w:space="0" w:color="auto"/>
            <w:right w:val="none" w:sz="0" w:space="0" w:color="auto"/>
          </w:divBdr>
        </w:div>
        <w:div w:id="2092849102">
          <w:marLeft w:val="0"/>
          <w:marRight w:val="0"/>
          <w:marTop w:val="0"/>
          <w:marBottom w:val="0"/>
          <w:divBdr>
            <w:top w:val="none" w:sz="0" w:space="0" w:color="auto"/>
            <w:left w:val="none" w:sz="0" w:space="0" w:color="auto"/>
            <w:bottom w:val="none" w:sz="0" w:space="0" w:color="auto"/>
            <w:right w:val="none" w:sz="0" w:space="0" w:color="auto"/>
          </w:divBdr>
        </w:div>
      </w:divsChild>
    </w:div>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171221312">
      <w:bodyDiv w:val="1"/>
      <w:marLeft w:val="0"/>
      <w:marRight w:val="0"/>
      <w:marTop w:val="0"/>
      <w:marBottom w:val="0"/>
      <w:divBdr>
        <w:top w:val="none" w:sz="0" w:space="0" w:color="auto"/>
        <w:left w:val="none" w:sz="0" w:space="0" w:color="auto"/>
        <w:bottom w:val="none" w:sz="0" w:space="0" w:color="auto"/>
        <w:right w:val="none" w:sz="0" w:space="0" w:color="auto"/>
      </w:divBdr>
      <w:divsChild>
        <w:div w:id="146484380">
          <w:marLeft w:val="0"/>
          <w:marRight w:val="0"/>
          <w:marTop w:val="0"/>
          <w:marBottom w:val="0"/>
          <w:divBdr>
            <w:top w:val="none" w:sz="0" w:space="0" w:color="auto"/>
            <w:left w:val="none" w:sz="0" w:space="0" w:color="auto"/>
            <w:bottom w:val="none" w:sz="0" w:space="0" w:color="auto"/>
            <w:right w:val="none" w:sz="0" w:space="0" w:color="auto"/>
          </w:divBdr>
        </w:div>
        <w:div w:id="1688945817">
          <w:marLeft w:val="0"/>
          <w:marRight w:val="0"/>
          <w:marTop w:val="0"/>
          <w:marBottom w:val="0"/>
          <w:divBdr>
            <w:top w:val="none" w:sz="0" w:space="0" w:color="auto"/>
            <w:left w:val="none" w:sz="0" w:space="0" w:color="auto"/>
            <w:bottom w:val="none" w:sz="0" w:space="0" w:color="auto"/>
            <w:right w:val="none" w:sz="0" w:space="0" w:color="auto"/>
          </w:divBdr>
        </w:div>
      </w:divsChild>
    </w:div>
    <w:div w:id="1628854946">
      <w:bodyDiv w:val="1"/>
      <w:marLeft w:val="0"/>
      <w:marRight w:val="0"/>
      <w:marTop w:val="0"/>
      <w:marBottom w:val="0"/>
      <w:divBdr>
        <w:top w:val="none" w:sz="0" w:space="0" w:color="auto"/>
        <w:left w:val="none" w:sz="0" w:space="0" w:color="auto"/>
        <w:bottom w:val="none" w:sz="0" w:space="0" w:color="auto"/>
        <w:right w:val="none" w:sz="0" w:space="0" w:color="auto"/>
      </w:divBdr>
      <w:divsChild>
        <w:div w:id="1667123609">
          <w:marLeft w:val="0"/>
          <w:marRight w:val="0"/>
          <w:marTop w:val="0"/>
          <w:marBottom w:val="0"/>
          <w:divBdr>
            <w:top w:val="none" w:sz="0" w:space="0" w:color="auto"/>
            <w:left w:val="none" w:sz="0" w:space="0" w:color="auto"/>
            <w:bottom w:val="none" w:sz="0" w:space="0" w:color="auto"/>
            <w:right w:val="none" w:sz="0" w:space="0" w:color="auto"/>
          </w:divBdr>
        </w:div>
        <w:div w:id="3679253">
          <w:marLeft w:val="0"/>
          <w:marRight w:val="0"/>
          <w:marTop w:val="0"/>
          <w:marBottom w:val="0"/>
          <w:divBdr>
            <w:top w:val="none" w:sz="0" w:space="0" w:color="auto"/>
            <w:left w:val="none" w:sz="0" w:space="0" w:color="auto"/>
            <w:bottom w:val="none" w:sz="0" w:space="0" w:color="auto"/>
            <w:right w:val="none" w:sz="0" w:space="0" w:color="auto"/>
          </w:divBdr>
        </w:div>
        <w:div w:id="1198741482">
          <w:marLeft w:val="0"/>
          <w:marRight w:val="0"/>
          <w:marTop w:val="0"/>
          <w:marBottom w:val="0"/>
          <w:divBdr>
            <w:top w:val="none" w:sz="0" w:space="0" w:color="auto"/>
            <w:left w:val="none" w:sz="0" w:space="0" w:color="auto"/>
            <w:bottom w:val="none" w:sz="0" w:space="0" w:color="auto"/>
            <w:right w:val="none" w:sz="0" w:space="0" w:color="auto"/>
          </w:divBdr>
        </w:div>
        <w:div w:id="1550454968">
          <w:marLeft w:val="0"/>
          <w:marRight w:val="0"/>
          <w:marTop w:val="0"/>
          <w:marBottom w:val="0"/>
          <w:divBdr>
            <w:top w:val="none" w:sz="0" w:space="0" w:color="auto"/>
            <w:left w:val="none" w:sz="0" w:space="0" w:color="auto"/>
            <w:bottom w:val="none" w:sz="0" w:space="0" w:color="auto"/>
            <w:right w:val="none" w:sz="0" w:space="0" w:color="auto"/>
          </w:divBdr>
        </w:div>
        <w:div w:id="2086106839">
          <w:marLeft w:val="0"/>
          <w:marRight w:val="0"/>
          <w:marTop w:val="0"/>
          <w:marBottom w:val="0"/>
          <w:divBdr>
            <w:top w:val="none" w:sz="0" w:space="0" w:color="auto"/>
            <w:left w:val="none" w:sz="0" w:space="0" w:color="auto"/>
            <w:bottom w:val="none" w:sz="0" w:space="0" w:color="auto"/>
            <w:right w:val="none" w:sz="0" w:space="0" w:color="auto"/>
          </w:divBdr>
        </w:div>
        <w:div w:id="1002513247">
          <w:marLeft w:val="0"/>
          <w:marRight w:val="0"/>
          <w:marTop w:val="0"/>
          <w:marBottom w:val="0"/>
          <w:divBdr>
            <w:top w:val="none" w:sz="0" w:space="0" w:color="auto"/>
            <w:left w:val="none" w:sz="0" w:space="0" w:color="auto"/>
            <w:bottom w:val="none" w:sz="0" w:space="0" w:color="auto"/>
            <w:right w:val="none" w:sz="0" w:space="0" w:color="auto"/>
          </w:divBdr>
        </w:div>
        <w:div w:id="2040354023">
          <w:marLeft w:val="0"/>
          <w:marRight w:val="0"/>
          <w:marTop w:val="0"/>
          <w:marBottom w:val="0"/>
          <w:divBdr>
            <w:top w:val="none" w:sz="0" w:space="0" w:color="auto"/>
            <w:left w:val="none" w:sz="0" w:space="0" w:color="auto"/>
            <w:bottom w:val="none" w:sz="0" w:space="0" w:color="auto"/>
            <w:right w:val="none" w:sz="0" w:space="0" w:color="auto"/>
          </w:divBdr>
        </w:div>
        <w:div w:id="1003312955">
          <w:marLeft w:val="0"/>
          <w:marRight w:val="0"/>
          <w:marTop w:val="0"/>
          <w:marBottom w:val="0"/>
          <w:divBdr>
            <w:top w:val="none" w:sz="0" w:space="0" w:color="auto"/>
            <w:left w:val="none" w:sz="0" w:space="0" w:color="auto"/>
            <w:bottom w:val="none" w:sz="0" w:space="0" w:color="auto"/>
            <w:right w:val="none" w:sz="0" w:space="0" w:color="auto"/>
          </w:divBdr>
        </w:div>
        <w:div w:id="228661795">
          <w:marLeft w:val="0"/>
          <w:marRight w:val="0"/>
          <w:marTop w:val="0"/>
          <w:marBottom w:val="0"/>
          <w:divBdr>
            <w:top w:val="none" w:sz="0" w:space="0" w:color="auto"/>
            <w:left w:val="none" w:sz="0" w:space="0" w:color="auto"/>
            <w:bottom w:val="none" w:sz="0" w:space="0" w:color="auto"/>
            <w:right w:val="none" w:sz="0" w:space="0" w:color="auto"/>
          </w:divBdr>
        </w:div>
        <w:div w:id="1309363691">
          <w:marLeft w:val="0"/>
          <w:marRight w:val="0"/>
          <w:marTop w:val="0"/>
          <w:marBottom w:val="0"/>
          <w:divBdr>
            <w:top w:val="none" w:sz="0" w:space="0" w:color="auto"/>
            <w:left w:val="none" w:sz="0" w:space="0" w:color="auto"/>
            <w:bottom w:val="none" w:sz="0" w:space="0" w:color="auto"/>
            <w:right w:val="none" w:sz="0" w:space="0" w:color="auto"/>
          </w:divBdr>
        </w:div>
        <w:div w:id="1032993376">
          <w:marLeft w:val="0"/>
          <w:marRight w:val="0"/>
          <w:marTop w:val="0"/>
          <w:marBottom w:val="0"/>
          <w:divBdr>
            <w:top w:val="none" w:sz="0" w:space="0" w:color="auto"/>
            <w:left w:val="none" w:sz="0" w:space="0" w:color="auto"/>
            <w:bottom w:val="none" w:sz="0" w:space="0" w:color="auto"/>
            <w:right w:val="none" w:sz="0" w:space="0" w:color="auto"/>
          </w:divBdr>
        </w:div>
        <w:div w:id="2115129519">
          <w:marLeft w:val="0"/>
          <w:marRight w:val="0"/>
          <w:marTop w:val="0"/>
          <w:marBottom w:val="0"/>
          <w:divBdr>
            <w:top w:val="none" w:sz="0" w:space="0" w:color="auto"/>
            <w:left w:val="none" w:sz="0" w:space="0" w:color="auto"/>
            <w:bottom w:val="none" w:sz="0" w:space="0" w:color="auto"/>
            <w:right w:val="none" w:sz="0" w:space="0" w:color="auto"/>
          </w:divBdr>
        </w:div>
        <w:div w:id="1455715200">
          <w:marLeft w:val="0"/>
          <w:marRight w:val="0"/>
          <w:marTop w:val="0"/>
          <w:marBottom w:val="0"/>
          <w:divBdr>
            <w:top w:val="none" w:sz="0" w:space="0" w:color="auto"/>
            <w:left w:val="none" w:sz="0" w:space="0" w:color="auto"/>
            <w:bottom w:val="none" w:sz="0" w:space="0" w:color="auto"/>
            <w:right w:val="none" w:sz="0" w:space="0" w:color="auto"/>
          </w:divBdr>
        </w:div>
        <w:div w:id="778794409">
          <w:marLeft w:val="0"/>
          <w:marRight w:val="0"/>
          <w:marTop w:val="0"/>
          <w:marBottom w:val="0"/>
          <w:divBdr>
            <w:top w:val="none" w:sz="0" w:space="0" w:color="auto"/>
            <w:left w:val="none" w:sz="0" w:space="0" w:color="auto"/>
            <w:bottom w:val="none" w:sz="0" w:space="0" w:color="auto"/>
            <w:right w:val="none" w:sz="0" w:space="0" w:color="auto"/>
          </w:divBdr>
        </w:div>
        <w:div w:id="1969431549">
          <w:marLeft w:val="0"/>
          <w:marRight w:val="0"/>
          <w:marTop w:val="0"/>
          <w:marBottom w:val="0"/>
          <w:divBdr>
            <w:top w:val="none" w:sz="0" w:space="0" w:color="auto"/>
            <w:left w:val="none" w:sz="0" w:space="0" w:color="auto"/>
            <w:bottom w:val="none" w:sz="0" w:space="0" w:color="auto"/>
            <w:right w:val="none" w:sz="0" w:space="0" w:color="auto"/>
          </w:divBdr>
        </w:div>
        <w:div w:id="10064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Props1.xml><?xml version="1.0" encoding="utf-8"?>
<ds:datastoreItem xmlns:ds="http://schemas.openxmlformats.org/officeDocument/2006/customXml" ds:itemID="{BBD0750C-2D9D-4AF5-8D5F-D8CB69E1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3.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Company>The White Horse Federation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24</cp:revision>
  <dcterms:created xsi:type="dcterms:W3CDTF">2024-05-04T09:58:00Z</dcterms:created>
  <dcterms:modified xsi:type="dcterms:W3CDTF">2025-03-04T08:48:00Z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