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DD9" w14:textId="697C8DE8" w:rsidR="00546ACC" w:rsidRPr="004B27BF" w:rsidRDefault="00546ACC" w:rsidP="004B27BF">
      <w:pPr>
        <w:spacing w:before="17" w:line="376" w:lineRule="exact"/>
        <w:ind w:left="504"/>
        <w:jc w:val="center"/>
        <w:textAlignment w:val="baseline"/>
        <w:rPr>
          <w:rFonts w:ascii="Century Gothic" w:eastAsia="Century Gothic" w:hAnsi="Century Gothic"/>
          <w:b/>
          <w:color w:val="000000"/>
          <w:sz w:val="32"/>
          <w:u w:val="single"/>
        </w:rPr>
      </w:pPr>
      <w:r w:rsidRPr="004B27BF">
        <w:rPr>
          <w:rFonts w:ascii="Century Gothic" w:eastAsia="Century Gothic" w:hAnsi="Century Gothic"/>
          <w:b/>
          <w:color w:val="000000"/>
          <w:sz w:val="32"/>
          <w:u w:val="single"/>
        </w:rPr>
        <w:t>Equality Objectives 202</w:t>
      </w:r>
      <w:r w:rsidR="0062113F">
        <w:rPr>
          <w:rFonts w:ascii="Century Gothic" w:eastAsia="Century Gothic" w:hAnsi="Century Gothic"/>
          <w:b/>
          <w:color w:val="000000"/>
          <w:sz w:val="32"/>
          <w:u w:val="single"/>
        </w:rPr>
        <w:t>4</w:t>
      </w:r>
      <w:r w:rsidRPr="004B27BF">
        <w:rPr>
          <w:rFonts w:ascii="Century Gothic" w:eastAsia="Century Gothic" w:hAnsi="Century Gothic"/>
          <w:b/>
          <w:color w:val="000000"/>
          <w:sz w:val="32"/>
          <w:u w:val="single"/>
        </w:rPr>
        <w:t>-202</w:t>
      </w:r>
      <w:r w:rsidR="0062113F">
        <w:rPr>
          <w:rFonts w:ascii="Century Gothic" w:eastAsia="Century Gothic" w:hAnsi="Century Gothic"/>
          <w:b/>
          <w:color w:val="000000"/>
          <w:sz w:val="32"/>
          <w:u w:val="single"/>
        </w:rPr>
        <w:t>5</w:t>
      </w:r>
    </w:p>
    <w:p w14:paraId="553D013C" w14:textId="77777777" w:rsidR="001425FA" w:rsidRDefault="001425FA" w:rsidP="00546ACC">
      <w:pPr>
        <w:spacing w:before="17" w:line="376" w:lineRule="exact"/>
        <w:ind w:left="504"/>
        <w:textAlignment w:val="baseline"/>
        <w:rPr>
          <w:rFonts w:ascii="Century Gothic" w:eastAsia="Century Gothic" w:hAnsi="Century Gothic"/>
          <w:b/>
          <w:color w:val="000000"/>
          <w:sz w:val="3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4693"/>
        <w:gridCol w:w="2714"/>
        <w:gridCol w:w="1419"/>
        <w:gridCol w:w="3200"/>
      </w:tblGrid>
      <w:tr w:rsidR="001073C9" w:rsidRPr="00567500" w14:paraId="1D427A1E" w14:textId="39D31C82" w:rsidTr="005E3E9F">
        <w:trPr>
          <w:trHeight w:hRule="exact" w:val="475"/>
        </w:trPr>
        <w:tc>
          <w:tcPr>
            <w:tcW w:w="10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5B981420" w14:textId="77777777" w:rsidR="004B3C9B" w:rsidRPr="00567500" w:rsidRDefault="004B3C9B" w:rsidP="00216E9A">
            <w:pPr>
              <w:spacing w:after="208" w:line="238" w:lineRule="exact"/>
              <w:ind w:left="115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Objective 1</w:t>
            </w:r>
          </w:p>
        </w:tc>
        <w:tc>
          <w:tcPr>
            <w:tcW w:w="15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744909AE" w14:textId="77777777" w:rsidR="004B3C9B" w:rsidRPr="00567500" w:rsidRDefault="004B3C9B" w:rsidP="00216E9A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8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3105544B" w14:textId="77777777" w:rsidR="004B3C9B" w:rsidRPr="00567500" w:rsidRDefault="004B3C9B" w:rsidP="00216E9A">
            <w:pPr>
              <w:spacing w:after="208" w:line="238" w:lineRule="exact"/>
              <w:ind w:left="110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4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347F934B" w14:textId="77777777" w:rsidR="004B3C9B" w:rsidRPr="00567500" w:rsidRDefault="004B3C9B" w:rsidP="00216E9A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  <w:tc>
          <w:tcPr>
            <w:tcW w:w="10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72F98542" w14:textId="2B58E2B9" w:rsidR="004B3C9B" w:rsidRPr="00567500" w:rsidRDefault="004B3C9B" w:rsidP="00216E9A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Intended Impact</w:t>
            </w:r>
          </w:p>
        </w:tc>
      </w:tr>
      <w:tr w:rsidR="001073C9" w:rsidRPr="00567500" w14:paraId="63A90CF9" w14:textId="4A9E02EE" w:rsidTr="005E3E9F">
        <w:trPr>
          <w:trHeight w:val="3158"/>
        </w:trPr>
        <w:tc>
          <w:tcPr>
            <w:tcW w:w="1092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576E5C" w14:textId="07AC6123" w:rsidR="004B3C9B" w:rsidRPr="004B27BF" w:rsidRDefault="004B3C9B" w:rsidP="00AD0460">
            <w:pPr>
              <w:spacing w:line="245" w:lineRule="exact"/>
              <w:textAlignment w:val="baseline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4B27BF"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  <w:t>Promotion of cultural understanding and awareness of different religious beliefs between different ethnic groups, through a broad and balanced curriculum and effective PSHE delivery.</w:t>
            </w:r>
          </w:p>
          <w:p w14:paraId="0F317898" w14:textId="77777777" w:rsidR="004B3C9B" w:rsidRPr="004B27BF" w:rsidRDefault="004B3C9B" w:rsidP="00216E9A">
            <w:pPr>
              <w:textAlignment w:val="baseline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4B27BF"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  <w:t xml:space="preserve"> </w:t>
            </w:r>
          </w:p>
          <w:p w14:paraId="11F5DDF2" w14:textId="45E160CC" w:rsidR="004B3C9B" w:rsidRPr="004B27BF" w:rsidRDefault="004B3C9B" w:rsidP="00216E9A">
            <w:pPr>
              <w:textAlignment w:val="baseline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4B27BF"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  <w:t>Celebrate cultural events throughout the year to increase children’s and family’s awareness and understanding of different communities.</w:t>
            </w:r>
          </w:p>
        </w:tc>
        <w:tc>
          <w:tcPr>
            <w:tcW w:w="1525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504749" w14:textId="77777777" w:rsidR="004B3C9B" w:rsidRPr="004B27BF" w:rsidRDefault="004B3C9B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684" w:hanging="144"/>
              <w:textAlignment w:val="baseline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4B27BF"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  <w:t>Implement PSHE/RSE scheme across the school, including whole school assemblies.</w:t>
            </w:r>
          </w:p>
          <w:p w14:paraId="42CB821A" w14:textId="77777777" w:rsidR="004B3C9B" w:rsidRPr="004B27BF" w:rsidRDefault="004B3C9B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hanging="144"/>
              <w:textAlignment w:val="baseline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4B27BF"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  <w:t>Implementations of RE scheme.</w:t>
            </w:r>
          </w:p>
          <w:p w14:paraId="1F5B189C" w14:textId="25E9E811" w:rsidR="004B3C9B" w:rsidRPr="004B27BF" w:rsidRDefault="004B3C9B" w:rsidP="00546ACC">
            <w:pPr>
              <w:numPr>
                <w:ilvl w:val="0"/>
                <w:numId w:val="1"/>
              </w:numPr>
              <w:tabs>
                <w:tab w:val="left" w:pos="288"/>
              </w:tabs>
              <w:spacing w:line="244" w:lineRule="exact"/>
              <w:ind w:left="288" w:right="540" w:hanging="144"/>
              <w:textAlignment w:val="baseline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  <w:t>O</w:t>
            </w:r>
            <w:r w:rsidRPr="004B27BF"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  <w:t xml:space="preserve">rganise visits to other cultural places as well as visits in school from members of other cultures and religions. </w:t>
            </w:r>
          </w:p>
          <w:p w14:paraId="04CBD418" w14:textId="26A6840E" w:rsidR="004B3C9B" w:rsidRPr="004B27BF" w:rsidRDefault="004B3C9B" w:rsidP="00546ACC">
            <w:pPr>
              <w:numPr>
                <w:ilvl w:val="0"/>
                <w:numId w:val="1"/>
              </w:numPr>
              <w:tabs>
                <w:tab w:val="left" w:pos="288"/>
              </w:tabs>
              <w:spacing w:line="242" w:lineRule="exact"/>
              <w:ind w:left="288" w:right="468" w:hanging="144"/>
              <w:textAlignment w:val="baseline"/>
              <w:rPr>
                <w:rFonts w:ascii="Century Gothic" w:eastAsia="Century Gothic" w:hAnsi="Century Gothic" w:cs="Calibri"/>
                <w:color w:val="000000"/>
                <w:spacing w:val="-1"/>
                <w:sz w:val="20"/>
                <w:szCs w:val="20"/>
              </w:rPr>
            </w:pPr>
            <w:r w:rsidRPr="004B27BF">
              <w:rPr>
                <w:rFonts w:ascii="Century Gothic" w:eastAsia="Century Gothic" w:hAnsi="Century Gothic" w:cs="Calibri"/>
                <w:color w:val="000000"/>
                <w:spacing w:val="-1"/>
                <w:sz w:val="20"/>
                <w:szCs w:val="20"/>
              </w:rPr>
              <w:t>Educate children on different religious celebrations and discuss their significance.</w:t>
            </w:r>
          </w:p>
          <w:p w14:paraId="144AFD55" w14:textId="1A9451C5" w:rsidR="004B3C9B" w:rsidRPr="004B27BF" w:rsidRDefault="004B3C9B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after="742" w:line="245" w:lineRule="exact"/>
              <w:ind w:left="288" w:right="828" w:hanging="144"/>
              <w:textAlignment w:val="baseline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4B27BF">
              <w:rPr>
                <w:rFonts w:ascii="Century Gothic" w:eastAsia="Century Gothic" w:hAnsi="Century Gothic" w:cs="Calibri"/>
                <w:color w:val="000000"/>
                <w:spacing w:val="-1"/>
                <w:sz w:val="20"/>
                <w:szCs w:val="20"/>
              </w:rPr>
              <w:t>Continue to teach British Values through assemblies and curriculum links.</w:t>
            </w:r>
          </w:p>
        </w:tc>
        <w:tc>
          <w:tcPr>
            <w:tcW w:w="882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ECCB51" w14:textId="71828140" w:rsidR="004B3C9B" w:rsidRPr="004B27BF" w:rsidRDefault="004B3C9B" w:rsidP="00216E9A">
            <w:pPr>
              <w:spacing w:after="1222" w:line="245" w:lineRule="exact"/>
              <w:ind w:left="110"/>
              <w:textAlignment w:val="baseline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4B27BF"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  <w:t>September 202</w:t>
            </w:r>
            <w:r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  <w:t>4</w:t>
            </w:r>
            <w:r w:rsidRPr="004B27BF"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  <w:t xml:space="preserve"> – July 202</w:t>
            </w:r>
            <w:r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  <w:t>5</w:t>
            </w:r>
          </w:p>
          <w:p w14:paraId="7B40B3F2" w14:textId="77777777" w:rsidR="004B3C9B" w:rsidRPr="004B27BF" w:rsidRDefault="004B3C9B" w:rsidP="00216E9A">
            <w:pPr>
              <w:textAlignment w:val="baseline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4B27BF"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  <w:t xml:space="preserve"> </w:t>
            </w:r>
          </w:p>
          <w:p w14:paraId="1BE57036" w14:textId="7C443CBA" w:rsidR="004B3C9B" w:rsidRPr="004B27BF" w:rsidRDefault="004B3C9B" w:rsidP="00216E9A">
            <w:pPr>
              <w:textAlignment w:val="baseline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4B27BF"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1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6BE31C" w14:textId="77777777" w:rsidR="004B3C9B" w:rsidRPr="004B27BF" w:rsidRDefault="004B3C9B" w:rsidP="00AD0460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4B27BF">
              <w:rPr>
                <w:rFonts w:ascii="Century Gothic" w:hAnsi="Century Gothic" w:cs="Calibri"/>
                <w:sz w:val="20"/>
                <w:szCs w:val="20"/>
              </w:rPr>
              <w:t>All Staff</w:t>
            </w:r>
          </w:p>
          <w:p w14:paraId="080559A4" w14:textId="50205018" w:rsidR="004B3C9B" w:rsidRPr="004B27BF" w:rsidRDefault="004B3C9B" w:rsidP="00AD0460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4B27BF">
              <w:rPr>
                <w:rFonts w:ascii="Century Gothic" w:hAnsi="Century Gothic" w:cs="Calibri"/>
                <w:sz w:val="20"/>
                <w:szCs w:val="20"/>
              </w:rPr>
              <w:t>PSHE lead</w:t>
            </w:r>
          </w:p>
          <w:p w14:paraId="4C0E8249" w14:textId="18C35B85" w:rsidR="004B3C9B" w:rsidRPr="004B27BF" w:rsidRDefault="004B3C9B" w:rsidP="00AD0460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4B27BF">
              <w:rPr>
                <w:rFonts w:ascii="Century Gothic" w:hAnsi="Century Gothic" w:cs="Calibri"/>
                <w:sz w:val="20"/>
                <w:szCs w:val="20"/>
              </w:rPr>
              <w:t>RE Lead</w:t>
            </w:r>
          </w:p>
        </w:tc>
        <w:tc>
          <w:tcPr>
            <w:tcW w:w="104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06B2E2" w14:textId="59415745" w:rsidR="0084557E" w:rsidRDefault="0063157F" w:rsidP="00AD0460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Pupils will have </w:t>
            </w:r>
            <w:r w:rsidR="001210B1">
              <w:rPr>
                <w:rFonts w:ascii="Century Gothic" w:hAnsi="Century Gothic" w:cs="Calibri"/>
                <w:sz w:val="20"/>
                <w:szCs w:val="20"/>
              </w:rPr>
              <w:t>a greater understanding of the different religious beliefs</w:t>
            </w:r>
            <w:r w:rsidR="00596D12">
              <w:rPr>
                <w:rFonts w:ascii="Century Gothic" w:hAnsi="Century Gothic" w:cs="Calibri"/>
                <w:sz w:val="20"/>
                <w:szCs w:val="20"/>
              </w:rPr>
              <w:t xml:space="preserve"> and will be able to voice this. </w:t>
            </w:r>
            <w:r w:rsidR="00A92EB9">
              <w:rPr>
                <w:rFonts w:ascii="Century Gothic" w:hAnsi="Century Gothic" w:cs="Calibri"/>
                <w:sz w:val="20"/>
                <w:szCs w:val="20"/>
              </w:rPr>
              <w:t xml:space="preserve">They will </w:t>
            </w:r>
            <w:r w:rsidR="00BD47FD">
              <w:rPr>
                <w:rFonts w:ascii="Century Gothic" w:hAnsi="Century Gothic" w:cs="Calibri"/>
                <w:sz w:val="20"/>
                <w:szCs w:val="20"/>
              </w:rPr>
              <w:t xml:space="preserve">have an increased </w:t>
            </w:r>
            <w:r w:rsidR="003A4876">
              <w:rPr>
                <w:rFonts w:ascii="Century Gothic" w:hAnsi="Century Gothic" w:cs="Calibri"/>
                <w:sz w:val="20"/>
                <w:szCs w:val="20"/>
              </w:rPr>
              <w:t>understand</w:t>
            </w:r>
            <w:r w:rsidR="00BD47FD">
              <w:rPr>
                <w:rFonts w:ascii="Century Gothic" w:hAnsi="Century Gothic" w:cs="Calibri"/>
                <w:sz w:val="20"/>
                <w:szCs w:val="20"/>
              </w:rPr>
              <w:t>ing</w:t>
            </w:r>
            <w:r w:rsidR="003A4876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="00BD47FD">
              <w:rPr>
                <w:rFonts w:ascii="Century Gothic" w:hAnsi="Century Gothic" w:cs="Calibri"/>
                <w:sz w:val="20"/>
                <w:szCs w:val="20"/>
              </w:rPr>
              <w:t xml:space="preserve">of different </w:t>
            </w:r>
            <w:r w:rsidR="003A4876">
              <w:rPr>
                <w:rFonts w:ascii="Century Gothic" w:hAnsi="Century Gothic" w:cs="Calibri"/>
                <w:sz w:val="20"/>
                <w:szCs w:val="20"/>
              </w:rPr>
              <w:t xml:space="preserve">celebrations and why these are important </w:t>
            </w:r>
            <w:r w:rsidR="001073C9">
              <w:rPr>
                <w:rFonts w:ascii="Century Gothic" w:hAnsi="Century Gothic" w:cs="Calibri"/>
                <w:sz w:val="20"/>
                <w:szCs w:val="20"/>
              </w:rPr>
              <w:t xml:space="preserve">to </w:t>
            </w:r>
            <w:r w:rsidR="00BD47FD">
              <w:rPr>
                <w:rFonts w:ascii="Century Gothic" w:hAnsi="Century Gothic" w:cs="Calibri"/>
                <w:sz w:val="20"/>
                <w:szCs w:val="20"/>
              </w:rPr>
              <w:t>different faiths.</w:t>
            </w:r>
          </w:p>
          <w:p w14:paraId="44C24C7C" w14:textId="77777777" w:rsidR="0084557E" w:rsidRDefault="0084557E" w:rsidP="00AD0460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14:paraId="2AE33563" w14:textId="1F3F3D16" w:rsidR="004B3C9B" w:rsidRPr="004B27BF" w:rsidRDefault="0084557E" w:rsidP="00AD0460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This will be seen through: Pupil voice</w:t>
            </w:r>
            <w:r w:rsidR="00176927">
              <w:rPr>
                <w:rFonts w:ascii="Century Gothic" w:hAnsi="Century Gothic" w:cs="Calibri"/>
                <w:sz w:val="20"/>
                <w:szCs w:val="20"/>
              </w:rPr>
              <w:t>, floor</w:t>
            </w:r>
            <w:r w:rsidR="00596D12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="00176927">
              <w:rPr>
                <w:rFonts w:ascii="Century Gothic" w:hAnsi="Century Gothic" w:cs="Calibri"/>
                <w:sz w:val="20"/>
                <w:szCs w:val="20"/>
              </w:rPr>
              <w:t>books, assemblies</w:t>
            </w:r>
            <w:r w:rsidR="00596D12">
              <w:rPr>
                <w:rFonts w:ascii="Century Gothic" w:hAnsi="Century Gothic" w:cs="Calibri"/>
                <w:sz w:val="20"/>
                <w:szCs w:val="20"/>
              </w:rPr>
              <w:t>, end if unit assessments.</w:t>
            </w:r>
            <w:r w:rsidR="00BD47FD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</w:p>
        </w:tc>
      </w:tr>
      <w:tr w:rsidR="001073C9" w:rsidRPr="00567500" w14:paraId="7E64866C" w14:textId="224752FA" w:rsidTr="005E3E9F">
        <w:trPr>
          <w:trHeight w:hRule="exact" w:val="475"/>
        </w:trPr>
        <w:tc>
          <w:tcPr>
            <w:tcW w:w="10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07A7F0EA" w14:textId="77777777" w:rsidR="004B3C9B" w:rsidRPr="00567500" w:rsidRDefault="004B3C9B" w:rsidP="00216E9A">
            <w:pPr>
              <w:spacing w:after="208" w:line="238" w:lineRule="exact"/>
              <w:ind w:left="115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 xml:space="preserve">Objective </w:t>
            </w:r>
            <w:r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15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50D1E460" w14:textId="77777777" w:rsidR="004B3C9B" w:rsidRPr="00567500" w:rsidRDefault="004B3C9B" w:rsidP="00216E9A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8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1F330687" w14:textId="77777777" w:rsidR="004B3C9B" w:rsidRPr="00567500" w:rsidRDefault="004B3C9B" w:rsidP="00216E9A">
            <w:pPr>
              <w:spacing w:after="208" w:line="238" w:lineRule="exact"/>
              <w:ind w:left="110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4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038E1FBF" w14:textId="77777777" w:rsidR="004B3C9B" w:rsidRPr="00567500" w:rsidRDefault="004B3C9B" w:rsidP="00216E9A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  <w:tc>
          <w:tcPr>
            <w:tcW w:w="10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254709A7" w14:textId="7597CCD2" w:rsidR="004B3C9B" w:rsidRPr="00567500" w:rsidRDefault="007D2D14" w:rsidP="00216E9A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Intended Impact</w:t>
            </w:r>
          </w:p>
        </w:tc>
      </w:tr>
      <w:tr w:rsidR="001073C9" w:rsidRPr="00567500" w14:paraId="5630EADD" w14:textId="353D2917" w:rsidTr="005E3E9F">
        <w:trPr>
          <w:trHeight w:hRule="exact" w:val="4690"/>
        </w:trPr>
        <w:tc>
          <w:tcPr>
            <w:tcW w:w="1092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DCA41" w14:textId="49B14E53" w:rsidR="004B3C9B" w:rsidRPr="00567500" w:rsidRDefault="004B3C9B" w:rsidP="00546ACC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Ensure that access to a broad and balanced curriculum is considered in terms of visible and invisible barriers, especially for students eligible for free-school meals, students with special educational needs and disabilities, looked after children and students from minority ethnic groups.</w:t>
            </w:r>
          </w:p>
        </w:tc>
        <w:tc>
          <w:tcPr>
            <w:tcW w:w="1525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8CCC9" w14:textId="62D7A693" w:rsidR="004B3C9B" w:rsidRPr="00567500" w:rsidRDefault="004B3C9B" w:rsidP="00AD0460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Ensure all pupils are included in full curriculum.</w:t>
            </w:r>
          </w:p>
          <w:p w14:paraId="702531EE" w14:textId="77777777" w:rsidR="004B3C9B" w:rsidRPr="00567500" w:rsidRDefault="004B3C9B" w:rsidP="00AD0460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10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Only short interventions (time or period) are used, to ensure access to all subjects – this is for all pupils.</w:t>
            </w:r>
          </w:p>
          <w:p w14:paraId="5DF95B6A" w14:textId="77777777" w:rsidR="004B3C9B" w:rsidRPr="00567500" w:rsidRDefault="004B3C9B" w:rsidP="00AD0460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7" w:lineRule="exact"/>
              <w:ind w:left="288" w:right="900" w:hanging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Provide additional resources to support children to access the curriculum.</w:t>
            </w:r>
          </w:p>
          <w:p w14:paraId="4234D756" w14:textId="77777777" w:rsidR="004B3C9B" w:rsidRDefault="004B3C9B" w:rsidP="00AD0460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Differentiate learning as appropriate.</w:t>
            </w:r>
          </w:p>
          <w:p w14:paraId="583D401F" w14:textId="77777777" w:rsidR="00A8628C" w:rsidRDefault="004B3C9B" w:rsidP="00AD0460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Ensure all pupils are supported to attend all </w:t>
            </w:r>
          </w:p>
          <w:p w14:paraId="0035D251" w14:textId="4CD9BD3A" w:rsidR="004B3C9B" w:rsidRPr="00567500" w:rsidRDefault="004B3C9B" w:rsidP="00AD0460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trips.</w:t>
            </w:r>
          </w:p>
          <w:p w14:paraId="60F6D27F" w14:textId="2BD21943" w:rsidR="004B3C9B" w:rsidRPr="00567500" w:rsidRDefault="004B3C9B" w:rsidP="00AD0460">
            <w:pPr>
              <w:tabs>
                <w:tab w:val="left" w:pos="144"/>
                <w:tab w:val="left" w:pos="288"/>
              </w:tabs>
              <w:spacing w:line="244" w:lineRule="exact"/>
              <w:ind w:right="68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</w:p>
          <w:p w14:paraId="6D14E1D9" w14:textId="1EC60A26" w:rsidR="004B3C9B" w:rsidRPr="00567500" w:rsidRDefault="004B3C9B" w:rsidP="00546ACC">
            <w:pPr>
              <w:tabs>
                <w:tab w:val="left" w:pos="144"/>
                <w:tab w:val="left" w:pos="288"/>
              </w:tabs>
              <w:spacing w:after="742" w:line="245" w:lineRule="exact"/>
              <w:ind w:left="288" w:right="828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82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9318D" w14:textId="76037E83" w:rsidR="004B3C9B" w:rsidRPr="00567500" w:rsidRDefault="004B3C9B" w:rsidP="00546ACC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 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September </w:t>
            </w: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2024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– July </w:t>
            </w: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61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AFCD7" w14:textId="77777777" w:rsidR="004B3C9B" w:rsidRDefault="004B3C9B" w:rsidP="00546ACC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All staff</w:t>
            </w:r>
          </w:p>
          <w:p w14:paraId="285EC178" w14:textId="480933C5" w:rsidR="004B3C9B" w:rsidRPr="00567500" w:rsidRDefault="004B3C9B" w:rsidP="00546ACC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SENCO</w:t>
            </w:r>
          </w:p>
        </w:tc>
        <w:tc>
          <w:tcPr>
            <w:tcW w:w="1040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3F7B5" w14:textId="77777777" w:rsidR="004B3C9B" w:rsidRDefault="00A83983" w:rsidP="00546ACC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Lessons will be adapted </w:t>
            </w:r>
            <w:r w:rsidR="00DC4F9E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to suite the needs of all learners </w:t>
            </w:r>
            <w:r w:rsidR="009D468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from all groups to ensure that all children </w:t>
            </w:r>
            <w:r w:rsidR="00A8628C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will achieve their next steps in learning.</w:t>
            </w:r>
          </w:p>
          <w:p w14:paraId="5826CD21" w14:textId="77777777" w:rsidR="00A8628C" w:rsidRDefault="00A8628C" w:rsidP="00546ACC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58F512A9" w14:textId="77777777" w:rsidR="00A8628C" w:rsidRDefault="00A8628C" w:rsidP="00546ACC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67CC7153" w14:textId="77777777" w:rsidR="00A8628C" w:rsidRDefault="00A8628C" w:rsidP="00546ACC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This will be seen </w:t>
            </w:r>
            <w:r w:rsidR="008E79CA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through:</w:t>
            </w:r>
          </w:p>
          <w:p w14:paraId="362312FB" w14:textId="77777777" w:rsidR="008E79CA" w:rsidRDefault="008E79CA" w:rsidP="00546ACC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Tracking of pupils and analysis of data</w:t>
            </w:r>
            <w:r w:rsidR="00397F0E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</w:t>
            </w:r>
          </w:p>
          <w:p w14:paraId="5BF98A9C" w14:textId="77777777" w:rsidR="003337A0" w:rsidRDefault="003337A0" w:rsidP="00546ACC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Pupil progress meetings </w:t>
            </w:r>
            <w:r w:rsidR="00112346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(identification and next steps)</w:t>
            </w:r>
          </w:p>
          <w:p w14:paraId="54695188" w14:textId="77777777" w:rsidR="00112346" w:rsidRDefault="00112346" w:rsidP="00546ACC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Monitoring of lessons </w:t>
            </w:r>
            <w:r w:rsidR="000F721B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and books</w:t>
            </w:r>
          </w:p>
          <w:p w14:paraId="06882B75" w14:textId="77777777" w:rsidR="000F721B" w:rsidRDefault="0036453A" w:rsidP="00546ACC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Pupil achievement for equality groups meeting national average or above. </w:t>
            </w:r>
          </w:p>
          <w:p w14:paraId="065E3009" w14:textId="03DEE6CB" w:rsidR="009C3780" w:rsidRDefault="009C3780" w:rsidP="00546ACC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Where there are gaps, these will be narrowed.</w:t>
            </w:r>
          </w:p>
        </w:tc>
      </w:tr>
      <w:tr w:rsidR="001073C9" w:rsidRPr="00567500" w14:paraId="641B9723" w14:textId="7D8A6665" w:rsidTr="005E3E9F">
        <w:trPr>
          <w:trHeight w:hRule="exact" w:val="475"/>
        </w:trPr>
        <w:tc>
          <w:tcPr>
            <w:tcW w:w="10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2DD3EB37" w14:textId="44BC39FA" w:rsidR="004B3C9B" w:rsidRPr="00567500" w:rsidRDefault="004B3C9B" w:rsidP="00216E9A">
            <w:pPr>
              <w:spacing w:after="208" w:line="238" w:lineRule="exact"/>
              <w:ind w:left="115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lastRenderedPageBreak/>
              <w:t xml:space="preserve">Objective </w:t>
            </w:r>
            <w:r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15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35F35CBF" w14:textId="77777777" w:rsidR="004B3C9B" w:rsidRPr="00567500" w:rsidRDefault="004B3C9B" w:rsidP="00216E9A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8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5439D4F7" w14:textId="77777777" w:rsidR="004B3C9B" w:rsidRPr="00567500" w:rsidRDefault="004B3C9B" w:rsidP="00216E9A">
            <w:pPr>
              <w:spacing w:after="208" w:line="238" w:lineRule="exact"/>
              <w:ind w:left="110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4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49ABEFCE" w14:textId="77777777" w:rsidR="004B3C9B" w:rsidRPr="00567500" w:rsidRDefault="004B3C9B" w:rsidP="00216E9A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  <w:tc>
          <w:tcPr>
            <w:tcW w:w="10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41871C5D" w14:textId="5B998A3A" w:rsidR="004B3C9B" w:rsidRPr="00567500" w:rsidRDefault="007D2D14" w:rsidP="00216E9A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Intended Impact</w:t>
            </w:r>
          </w:p>
        </w:tc>
      </w:tr>
      <w:tr w:rsidR="001073C9" w:rsidRPr="00567500" w14:paraId="358B2BFC" w14:textId="2B5BAA68" w:rsidTr="00D321B8">
        <w:trPr>
          <w:trHeight w:hRule="exact" w:val="6335"/>
        </w:trPr>
        <w:tc>
          <w:tcPr>
            <w:tcW w:w="1092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D55BE" w14:textId="77777777" w:rsidR="004B3C9B" w:rsidRDefault="004B3C9B" w:rsidP="00546ACC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To ensure that there is proportional representation of diverse groups, for example through literature and images.</w:t>
            </w:r>
          </w:p>
          <w:p w14:paraId="6C0733E3" w14:textId="77777777" w:rsidR="004B3C9B" w:rsidRDefault="004B3C9B" w:rsidP="00546ACC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00CF845F" w14:textId="6DE10540" w:rsidR="004B3C9B" w:rsidRPr="00567500" w:rsidRDefault="004B3C9B" w:rsidP="00546ACC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AD046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Ensure that resources and displays around the school promote diversity.</w:t>
            </w:r>
          </w:p>
        </w:tc>
        <w:tc>
          <w:tcPr>
            <w:tcW w:w="1525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E52E9" w14:textId="77777777" w:rsidR="004B3C9B" w:rsidRPr="00567500" w:rsidRDefault="004B3C9B" w:rsidP="00AD0460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50" w:lineRule="exact"/>
              <w:ind w:left="288" w:right="396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Continue to celebrate diversity in temporary and permanent displays.</w:t>
            </w:r>
          </w:p>
          <w:p w14:paraId="545F71A3" w14:textId="77777777" w:rsidR="004B3C9B" w:rsidRDefault="004B3C9B" w:rsidP="00AD0460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684" w:hanging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Develop the breath of diversity in reading books, both fiction and non-fiction.</w:t>
            </w:r>
          </w:p>
          <w:p w14:paraId="3415D54D" w14:textId="6C974E82" w:rsidR="004B3C9B" w:rsidRPr="00567500" w:rsidRDefault="004B3C9B" w:rsidP="00AD0460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Celebrate diverse international events.</w:t>
            </w:r>
          </w:p>
        </w:tc>
        <w:tc>
          <w:tcPr>
            <w:tcW w:w="882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4CBEE" w14:textId="0753F43E" w:rsidR="004B3C9B" w:rsidRPr="00567500" w:rsidRDefault="004B3C9B" w:rsidP="00546ACC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September </w:t>
            </w: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2024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– July </w:t>
            </w: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61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05074" w14:textId="26967023" w:rsidR="004B3C9B" w:rsidRPr="00567500" w:rsidRDefault="004B3C9B" w:rsidP="00546ACC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All staff</w:t>
            </w:r>
          </w:p>
        </w:tc>
        <w:tc>
          <w:tcPr>
            <w:tcW w:w="1040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D4F0E" w14:textId="77777777" w:rsidR="005E3E9F" w:rsidRPr="005E3E9F" w:rsidRDefault="005E3E9F" w:rsidP="005E3E9F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E3E9F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More diversity reflected in school displays and materials for lessons </w:t>
            </w:r>
          </w:p>
          <w:p w14:paraId="3A7EB19D" w14:textId="77777777" w:rsidR="005E3E9F" w:rsidRPr="005E3E9F" w:rsidRDefault="005E3E9F" w:rsidP="005E3E9F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E3E9F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across all year groups</w:t>
            </w:r>
          </w:p>
          <w:p w14:paraId="2970B299" w14:textId="77777777" w:rsidR="005E3E9F" w:rsidRPr="005E3E9F" w:rsidRDefault="005E3E9F" w:rsidP="005E3E9F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E3E9F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Diversity is threaded through our school teaching and learning all year.</w:t>
            </w:r>
          </w:p>
          <w:p w14:paraId="638053E6" w14:textId="77777777" w:rsidR="005E3E9F" w:rsidRPr="005E3E9F" w:rsidRDefault="005E3E9F" w:rsidP="005E3E9F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E3E9F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Children confidently talk about the uniqueness and value of all individuals </w:t>
            </w:r>
          </w:p>
          <w:p w14:paraId="4D1F80DC" w14:textId="77777777" w:rsidR="005E3E9F" w:rsidRPr="005E3E9F" w:rsidRDefault="005E3E9F" w:rsidP="005E3E9F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E3E9F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and to celebrate diversity.</w:t>
            </w:r>
          </w:p>
          <w:p w14:paraId="4C9F5DC0" w14:textId="77777777" w:rsidR="005E3E9F" w:rsidRPr="005E3E9F" w:rsidRDefault="005E3E9F" w:rsidP="005E3E9F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E3E9F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Children understand what diversity truly means and are able to see how </w:t>
            </w:r>
          </w:p>
          <w:p w14:paraId="18DC62D2" w14:textId="77777777" w:rsidR="005E3E9F" w:rsidRPr="005E3E9F" w:rsidRDefault="005E3E9F" w:rsidP="005E3E9F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E3E9F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diversity, and sometimes lack thereof, is reflected in world events.</w:t>
            </w:r>
          </w:p>
          <w:p w14:paraId="59A2BB0D" w14:textId="77777777" w:rsidR="004B3C9B" w:rsidRDefault="005E3E9F" w:rsidP="005E3E9F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E3E9F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Children do not judge from appeara</w:t>
            </w: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nce or make assumptions about background, faith, gender etc</w:t>
            </w:r>
          </w:p>
          <w:p w14:paraId="2AACDFD9" w14:textId="77777777" w:rsidR="005E3E9F" w:rsidRDefault="005E3E9F" w:rsidP="005E3E9F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7222B4C6" w14:textId="77777777" w:rsidR="005E3E9F" w:rsidRDefault="005E3E9F" w:rsidP="005E3E9F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This will be seen through:</w:t>
            </w:r>
          </w:p>
          <w:p w14:paraId="05D0DF97" w14:textId="77777777" w:rsidR="005E3E9F" w:rsidRDefault="00B67DEE" w:rsidP="005E3E9F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Learning environment </w:t>
            </w:r>
          </w:p>
          <w:p w14:paraId="68305A1C" w14:textId="77777777" w:rsidR="00B67DEE" w:rsidRDefault="00D321B8" w:rsidP="005E3E9F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Pupil voice</w:t>
            </w:r>
          </w:p>
          <w:p w14:paraId="76A529C0" w14:textId="6FBD98AE" w:rsidR="00D321B8" w:rsidRDefault="00D321B8" w:rsidP="005E3E9F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Learning walks </w:t>
            </w:r>
          </w:p>
        </w:tc>
      </w:tr>
      <w:tr w:rsidR="001073C9" w:rsidRPr="00567500" w14:paraId="10EE52D3" w14:textId="35EE6649" w:rsidTr="005E3E9F">
        <w:trPr>
          <w:trHeight w:hRule="exact" w:val="475"/>
        </w:trPr>
        <w:tc>
          <w:tcPr>
            <w:tcW w:w="10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46217650" w14:textId="3075A297" w:rsidR="004B3C9B" w:rsidRPr="00567500" w:rsidRDefault="004B3C9B" w:rsidP="004B27BF">
            <w:pPr>
              <w:spacing w:after="208" w:line="238" w:lineRule="exact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O</w:t>
            </w: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 xml:space="preserve">bjective </w:t>
            </w:r>
            <w:r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4</w:t>
            </w:r>
          </w:p>
        </w:tc>
        <w:tc>
          <w:tcPr>
            <w:tcW w:w="15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0CC4A59F" w14:textId="77777777" w:rsidR="004B3C9B" w:rsidRPr="00567500" w:rsidRDefault="004B3C9B" w:rsidP="00216E9A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8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6F126DF8" w14:textId="77777777" w:rsidR="004B3C9B" w:rsidRPr="00567500" w:rsidRDefault="004B3C9B" w:rsidP="00216E9A">
            <w:pPr>
              <w:spacing w:after="208" w:line="238" w:lineRule="exact"/>
              <w:ind w:left="110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4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3111BF8D" w14:textId="77777777" w:rsidR="004B3C9B" w:rsidRPr="00567500" w:rsidRDefault="004B3C9B" w:rsidP="00216E9A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  <w:tc>
          <w:tcPr>
            <w:tcW w:w="10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15D6DEA8" w14:textId="2C58A950" w:rsidR="004B3C9B" w:rsidRPr="00567500" w:rsidRDefault="007D2D14" w:rsidP="00216E9A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Intended Impact</w:t>
            </w:r>
          </w:p>
        </w:tc>
      </w:tr>
      <w:tr w:rsidR="001073C9" w:rsidRPr="00567500" w14:paraId="1DB4758E" w14:textId="5545A681" w:rsidTr="005E3E9F">
        <w:trPr>
          <w:trHeight w:val="2003"/>
        </w:trPr>
        <w:tc>
          <w:tcPr>
            <w:tcW w:w="1092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1C2BD5" w14:textId="71153FC0" w:rsidR="004B3C9B" w:rsidRPr="00567500" w:rsidRDefault="004B3C9B" w:rsidP="004B27BF">
            <w:pPr>
              <w:spacing w:line="244" w:lineRule="exact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Monitor and promot</w:t>
            </w:r>
            <w:r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e</w:t>
            </w:r>
            <w:r w:rsidRPr="00567500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 xml:space="preserve"> involvement of all groups of pupils in the extra-curricular life, including leadership opportunities, especially pupils with special educational needs and disabilities.</w:t>
            </w:r>
          </w:p>
        </w:tc>
        <w:tc>
          <w:tcPr>
            <w:tcW w:w="1525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E341CF" w14:textId="49B8BDDB" w:rsidR="004B3C9B" w:rsidRDefault="004B3C9B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432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Encourage different groups to participate in after-school clubs.</w:t>
            </w:r>
          </w:p>
          <w:p w14:paraId="08BC34F9" w14:textId="38B26500" w:rsidR="004B3C9B" w:rsidRPr="002D05F2" w:rsidRDefault="004B3C9B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432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Encourage diverse representation on school panels e.g. playleaders, school council, etc.</w:t>
            </w:r>
          </w:p>
          <w:p w14:paraId="2A175598" w14:textId="4D158C81" w:rsidR="004B3C9B" w:rsidRPr="00567500" w:rsidRDefault="004B3C9B" w:rsidP="002D05F2">
            <w:pPr>
              <w:tabs>
                <w:tab w:val="left" w:pos="288"/>
              </w:tabs>
              <w:spacing w:line="244" w:lineRule="exact"/>
              <w:ind w:right="540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3B746B" w14:textId="01CC235D" w:rsidR="004B3C9B" w:rsidRPr="00567500" w:rsidRDefault="004B3C9B" w:rsidP="002D05F2">
            <w:pPr>
              <w:spacing w:after="1222" w:line="245" w:lineRule="exact"/>
              <w:ind w:left="110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September </w:t>
            </w: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2024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– July </w:t>
            </w: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61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EE22A8" w14:textId="54DBDF33" w:rsidR="004B3C9B" w:rsidRPr="00567500" w:rsidRDefault="004B3C9B" w:rsidP="004B27BF">
            <w:pPr>
              <w:spacing w:after="1222" w:line="245" w:lineRule="exact"/>
              <w:ind w:left="111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All staff, Group leaders for school presentation groups.</w:t>
            </w:r>
          </w:p>
        </w:tc>
        <w:tc>
          <w:tcPr>
            <w:tcW w:w="104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33EFA6" w14:textId="77777777" w:rsidR="00EB6FC5" w:rsidRDefault="00760EDC" w:rsidP="00EB6FC5">
            <w:pPr>
              <w:pStyle w:val="NoSpacing"/>
              <w:rPr>
                <w:rFonts w:ascii="Century Gothic" w:hAnsi="Century Gothic"/>
              </w:rPr>
            </w:pPr>
            <w:r w:rsidRPr="00EB6FC5">
              <w:rPr>
                <w:rFonts w:ascii="Century Gothic" w:hAnsi="Century Gothic"/>
              </w:rPr>
              <w:t xml:space="preserve">Equal opportunities will be given to all children in </w:t>
            </w:r>
            <w:r w:rsidR="00835AB3" w:rsidRPr="00EB6FC5">
              <w:rPr>
                <w:rFonts w:ascii="Century Gothic" w:hAnsi="Century Gothic"/>
              </w:rPr>
              <w:t xml:space="preserve">all areas of the curriculum and additional opportunities. </w:t>
            </w:r>
            <w:r w:rsidR="00D321B8" w:rsidRPr="00EB6FC5">
              <w:rPr>
                <w:rFonts w:ascii="Century Gothic" w:hAnsi="Century Gothic"/>
              </w:rPr>
              <w:t xml:space="preserve">There will be a diverse </w:t>
            </w:r>
            <w:r w:rsidR="00D6051E" w:rsidRPr="00EB6FC5">
              <w:rPr>
                <w:rFonts w:ascii="Century Gothic" w:hAnsi="Century Gothic"/>
              </w:rPr>
              <w:t xml:space="preserve">representation of pupil groups </w:t>
            </w:r>
            <w:r w:rsidR="00D74DB6" w:rsidRPr="00EB6FC5">
              <w:rPr>
                <w:rFonts w:ascii="Century Gothic" w:hAnsi="Century Gothic"/>
              </w:rPr>
              <w:t xml:space="preserve">across all clubs and </w:t>
            </w:r>
            <w:r w:rsidR="00A940E3" w:rsidRPr="00EB6FC5">
              <w:rPr>
                <w:rFonts w:ascii="Century Gothic" w:hAnsi="Century Gothic"/>
              </w:rPr>
              <w:t xml:space="preserve">pupil groups. </w:t>
            </w:r>
            <w:r w:rsidR="00CC545F" w:rsidRPr="00EB6FC5">
              <w:rPr>
                <w:rFonts w:ascii="Century Gothic" w:hAnsi="Century Gothic"/>
              </w:rPr>
              <w:t>All clubs and</w:t>
            </w:r>
            <w:r w:rsidR="00D513DB" w:rsidRPr="00EB6FC5">
              <w:rPr>
                <w:rFonts w:ascii="Century Gothic" w:hAnsi="Century Gothic"/>
              </w:rPr>
              <w:t xml:space="preserve"> pupil representation groups include all backgrounds</w:t>
            </w:r>
            <w:r w:rsidR="006013A3" w:rsidRPr="00EB6FC5">
              <w:rPr>
                <w:rFonts w:ascii="Century Gothic" w:hAnsi="Century Gothic"/>
              </w:rPr>
              <w:t xml:space="preserve">, </w:t>
            </w:r>
            <w:r w:rsidR="006013A3" w:rsidRPr="00EB6FC5">
              <w:rPr>
                <w:rFonts w:ascii="Century Gothic" w:hAnsi="Century Gothic"/>
              </w:rPr>
              <w:lastRenderedPageBreak/>
              <w:t xml:space="preserve">abilities and promote </w:t>
            </w:r>
            <w:r w:rsidR="00EB6FC5" w:rsidRPr="00EB6FC5">
              <w:rPr>
                <w:rFonts w:ascii="Century Gothic" w:hAnsi="Century Gothic"/>
              </w:rPr>
              <w:t>a shared pupil voice.</w:t>
            </w:r>
            <w:r w:rsidR="00CC545F" w:rsidRPr="00EB6FC5">
              <w:rPr>
                <w:rFonts w:ascii="Century Gothic" w:hAnsi="Century Gothic"/>
              </w:rPr>
              <w:t xml:space="preserve"> </w:t>
            </w:r>
          </w:p>
          <w:p w14:paraId="53CFD141" w14:textId="77777777" w:rsidR="00EB6FC5" w:rsidRDefault="00EB6FC5" w:rsidP="00EB6FC5">
            <w:pPr>
              <w:pStyle w:val="NoSpacing"/>
              <w:rPr>
                <w:rFonts w:ascii="Century Gothic" w:hAnsi="Century Gothic"/>
              </w:rPr>
            </w:pPr>
          </w:p>
          <w:p w14:paraId="3F1ADB08" w14:textId="77777777" w:rsidR="00EB6FC5" w:rsidRDefault="00EB6FC5" w:rsidP="00EB6FC5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This will be seen through:</w:t>
            </w:r>
          </w:p>
          <w:p w14:paraId="41B967A3" w14:textId="77777777" w:rsidR="00EB6FC5" w:rsidRDefault="00FE4F06" w:rsidP="00EB6FC5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Diversity in groups</w:t>
            </w:r>
          </w:p>
          <w:p w14:paraId="677EBB50" w14:textId="77777777" w:rsidR="00FE4F06" w:rsidRDefault="00FE4F06" w:rsidP="00EB6FC5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Pupil voice</w:t>
            </w:r>
          </w:p>
          <w:p w14:paraId="6C1180AC" w14:textId="6B16DF3B" w:rsidR="00FE4F06" w:rsidRPr="00EB6FC5" w:rsidRDefault="00FE4F06" w:rsidP="00EB6FC5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1073C9" w:rsidRPr="00567500" w14:paraId="7B3D2837" w14:textId="6B2F2F35" w:rsidTr="005E3E9F">
        <w:trPr>
          <w:trHeight w:hRule="exact" w:val="475"/>
        </w:trPr>
        <w:tc>
          <w:tcPr>
            <w:tcW w:w="10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66439178" w14:textId="3A217AC1" w:rsidR="004B3C9B" w:rsidRPr="00567500" w:rsidRDefault="004B3C9B" w:rsidP="002D05F2">
            <w:pPr>
              <w:spacing w:after="208" w:line="238" w:lineRule="exact"/>
              <w:ind w:left="115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lastRenderedPageBreak/>
              <w:t xml:space="preserve">Objective </w:t>
            </w:r>
            <w:r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15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4930832A" w14:textId="77777777" w:rsidR="004B3C9B" w:rsidRPr="00567500" w:rsidRDefault="004B3C9B" w:rsidP="002D05F2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8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6524B4C0" w14:textId="77777777" w:rsidR="004B3C9B" w:rsidRPr="00567500" w:rsidRDefault="004B3C9B" w:rsidP="002D05F2">
            <w:pPr>
              <w:spacing w:after="208" w:line="238" w:lineRule="exact"/>
              <w:ind w:left="110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4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4C37296D" w14:textId="77777777" w:rsidR="004B3C9B" w:rsidRPr="00567500" w:rsidRDefault="004B3C9B" w:rsidP="002D05F2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  <w:tc>
          <w:tcPr>
            <w:tcW w:w="10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0C32EF2E" w14:textId="60643E86" w:rsidR="004B3C9B" w:rsidRPr="00567500" w:rsidRDefault="007D2D14" w:rsidP="002D05F2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Intended Impact</w:t>
            </w:r>
          </w:p>
        </w:tc>
      </w:tr>
      <w:tr w:rsidR="001073C9" w:rsidRPr="00567500" w14:paraId="5365EF41" w14:textId="5CB42A30" w:rsidTr="004D7EDB">
        <w:trPr>
          <w:trHeight w:hRule="exact" w:val="4477"/>
        </w:trPr>
        <w:tc>
          <w:tcPr>
            <w:tcW w:w="1092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44F0B" w14:textId="1DCC5974" w:rsidR="004B3C9B" w:rsidRPr="002D05F2" w:rsidRDefault="004B3C9B" w:rsidP="004B27BF">
            <w:pPr>
              <w:spacing w:line="244" w:lineRule="exact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2D05F2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Actively close gaps in attainment</w:t>
            </w:r>
          </w:p>
          <w:p w14:paraId="743CBC37" w14:textId="5590A1BA" w:rsidR="004B3C9B" w:rsidRPr="00567500" w:rsidRDefault="004B3C9B" w:rsidP="004B27BF">
            <w:pPr>
              <w:spacing w:line="244" w:lineRule="exact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a</w:t>
            </w:r>
            <w:r w:rsidRPr="002D05F2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nd</w:t>
            </w:r>
            <w:r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 xml:space="preserve"> </w:t>
            </w:r>
            <w:r w:rsidRPr="002D05F2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achievement</w:t>
            </w:r>
            <w:r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 xml:space="preserve"> </w:t>
            </w:r>
            <w:r w:rsidRPr="002D05F2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 xml:space="preserve">between </w:t>
            </w:r>
            <w:r w:rsidRPr="002D05F2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br/>
              <w:t>students and groups of students especially students eligible for free- school meals, students with special educational needs and disabilities</w:t>
            </w:r>
            <w:r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 xml:space="preserve">, 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looked after children and students from minority ethnic groups.</w:t>
            </w:r>
          </w:p>
        </w:tc>
        <w:tc>
          <w:tcPr>
            <w:tcW w:w="1525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D0A13" w14:textId="77777777" w:rsidR="004B3C9B" w:rsidRPr="00567500" w:rsidRDefault="004B3C9B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Quality First Teaching uses to support all pupils.</w:t>
            </w:r>
          </w:p>
          <w:p w14:paraId="21B856B1" w14:textId="77777777" w:rsidR="004B3C9B" w:rsidRPr="00567500" w:rsidRDefault="004B3C9B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Use PP and SEN funding to provide interventions.</w:t>
            </w:r>
          </w:p>
          <w:p w14:paraId="48D8DB34" w14:textId="40325118" w:rsidR="004B3C9B" w:rsidRPr="004B27BF" w:rsidRDefault="004B3C9B" w:rsidP="004B27BF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7" w:lineRule="exact"/>
              <w:ind w:left="288" w:right="108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Use RAG meetings to monitor progress and support new strategies.</w:t>
            </w:r>
          </w:p>
        </w:tc>
        <w:tc>
          <w:tcPr>
            <w:tcW w:w="882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E2A70" w14:textId="218E6C8F" w:rsidR="004B3C9B" w:rsidRPr="00567500" w:rsidRDefault="004B3C9B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September </w:t>
            </w: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2024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– July </w:t>
            </w: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61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EEEA5" w14:textId="25DFEF72" w:rsidR="004B3C9B" w:rsidRPr="00567500" w:rsidRDefault="004B3C9B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SLT, class teachers</w:t>
            </w:r>
          </w:p>
        </w:tc>
        <w:tc>
          <w:tcPr>
            <w:tcW w:w="1040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97750" w14:textId="77777777" w:rsidR="004B3C9B" w:rsidRDefault="00B6132F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Gaps will be closed between pupil groups and </w:t>
            </w:r>
            <w:r w:rsidR="00C55B98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pupils achievement is in line with national average or above. </w:t>
            </w:r>
            <w:r w:rsidR="00C97F1F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Where gaps have been identified, interventions are used effectively to </w:t>
            </w:r>
            <w:r w:rsidR="00DB1E49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close these.</w:t>
            </w:r>
          </w:p>
          <w:p w14:paraId="28CE1C13" w14:textId="77777777" w:rsidR="00DB1E49" w:rsidRDefault="00DB1E49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6A695144" w14:textId="77777777" w:rsidR="00DB1E49" w:rsidRDefault="00DB1E49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This will be seen through:</w:t>
            </w:r>
          </w:p>
          <w:p w14:paraId="1E763F25" w14:textId="77777777" w:rsidR="00E3535B" w:rsidRPr="00E3535B" w:rsidRDefault="00E3535B" w:rsidP="00E3535B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E3535B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Termly tracking and analysis of data impacts of identification of </w:t>
            </w:r>
          </w:p>
          <w:p w14:paraId="396120DE" w14:textId="019D12FC" w:rsidR="00E3535B" w:rsidRPr="00E3535B" w:rsidRDefault="00E3535B" w:rsidP="00E3535B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E3535B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achievement of groups</w:t>
            </w: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.</w:t>
            </w:r>
          </w:p>
          <w:p w14:paraId="5E36C7DA" w14:textId="77777777" w:rsidR="00E3535B" w:rsidRPr="00E3535B" w:rsidRDefault="00E3535B" w:rsidP="00E3535B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E3535B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Pupil progress meetings identify interventions and support where </w:t>
            </w:r>
          </w:p>
          <w:p w14:paraId="3D5BD4BD" w14:textId="77777777" w:rsidR="00DB1E49" w:rsidRDefault="00E3535B" w:rsidP="00E3535B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E3535B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required.</w:t>
            </w:r>
          </w:p>
          <w:p w14:paraId="06C368A1" w14:textId="5DCCF286" w:rsidR="004D7EDB" w:rsidRDefault="004D7EDB" w:rsidP="004D7EDB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4D7EDB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Monitoring of lessons and books, etc together with pupil </w:t>
            </w: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voice.</w:t>
            </w:r>
          </w:p>
        </w:tc>
      </w:tr>
      <w:tr w:rsidR="001073C9" w:rsidRPr="00567500" w14:paraId="1E7545D9" w14:textId="45B08FFF" w:rsidTr="005E3E9F">
        <w:trPr>
          <w:trHeight w:hRule="exact" w:val="691"/>
        </w:trPr>
        <w:tc>
          <w:tcPr>
            <w:tcW w:w="1092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3173D29E" w14:textId="196744B5" w:rsidR="004B3C9B" w:rsidRPr="002D05F2" w:rsidRDefault="004B3C9B" w:rsidP="002D05F2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 xml:space="preserve">Objective </w:t>
            </w:r>
            <w:r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6</w:t>
            </w:r>
          </w:p>
        </w:tc>
        <w:tc>
          <w:tcPr>
            <w:tcW w:w="1525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4363B238" w14:textId="370656D6" w:rsidR="004B3C9B" w:rsidRPr="002D05F2" w:rsidRDefault="004B3C9B" w:rsidP="002D05F2">
            <w:pPr>
              <w:tabs>
                <w:tab w:val="left" w:pos="288"/>
              </w:tabs>
              <w:spacing w:line="244" w:lineRule="exact"/>
              <w:ind w:left="288" w:right="108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882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62B8D85F" w14:textId="2DF6CB86" w:rsidR="004B3C9B" w:rsidRPr="002D05F2" w:rsidRDefault="004B3C9B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461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6851A008" w14:textId="14443037" w:rsidR="004B3C9B" w:rsidRPr="002D05F2" w:rsidRDefault="004B3C9B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  <w:tc>
          <w:tcPr>
            <w:tcW w:w="1040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21910859" w14:textId="7BD9FFCC" w:rsidR="004B3C9B" w:rsidRPr="00567500" w:rsidRDefault="00C226A0" w:rsidP="002D05F2">
            <w:pPr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Intended Impact</w:t>
            </w:r>
          </w:p>
        </w:tc>
      </w:tr>
      <w:tr w:rsidR="001073C9" w:rsidRPr="00567500" w14:paraId="02AFB13F" w14:textId="34A7FA2A" w:rsidTr="00A54F67">
        <w:trPr>
          <w:trHeight w:hRule="exact" w:val="2646"/>
        </w:trPr>
        <w:tc>
          <w:tcPr>
            <w:tcW w:w="1092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34336" w14:textId="22B27A37" w:rsidR="004B3C9B" w:rsidRPr="002D05F2" w:rsidRDefault="004B3C9B" w:rsidP="002D05F2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To promote the attendance and punctuality of vulnerable groups, with strategies being implemented to support a reduction in persistent absenteeism.</w:t>
            </w:r>
          </w:p>
        </w:tc>
        <w:tc>
          <w:tcPr>
            <w:tcW w:w="1525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1A46C" w14:textId="77777777" w:rsidR="004B3C9B" w:rsidRPr="00567500" w:rsidRDefault="004B3C9B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50" w:lineRule="exact"/>
              <w:ind w:left="288" w:right="144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Use Attendance Officer and EWO to track and implement strategies to support attendance.</w:t>
            </w:r>
          </w:p>
          <w:p w14:paraId="171D99EE" w14:textId="77777777" w:rsidR="004B3C9B" w:rsidRDefault="004B3C9B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144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Work closely with parents from an early stage if attendance is an issue to ensure school is accessible to pupils and parents.</w:t>
            </w:r>
          </w:p>
          <w:p w14:paraId="3CED36ED" w14:textId="365E6FA3" w:rsidR="004B3C9B" w:rsidRPr="00567500" w:rsidRDefault="004B3C9B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144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Celebrate positive attendance</w:t>
            </w: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.</w:t>
            </w:r>
          </w:p>
          <w:p w14:paraId="0474C6D2" w14:textId="171FD5A9" w:rsidR="004B3C9B" w:rsidRPr="002D05F2" w:rsidRDefault="004B3C9B" w:rsidP="002D05F2">
            <w:pPr>
              <w:tabs>
                <w:tab w:val="left" w:pos="288"/>
              </w:tabs>
              <w:spacing w:line="244" w:lineRule="exact"/>
              <w:ind w:left="288" w:right="108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C2934" w14:textId="3EF7A69E" w:rsidR="004B3C9B" w:rsidRPr="00567500" w:rsidRDefault="004B3C9B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September </w:t>
            </w: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2024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– July </w:t>
            </w: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61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56B3B" w14:textId="5B20D1F9" w:rsidR="004B3C9B" w:rsidRPr="00567500" w:rsidRDefault="004B3C9B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Attendance Lead</w:t>
            </w:r>
          </w:p>
        </w:tc>
        <w:tc>
          <w:tcPr>
            <w:tcW w:w="1040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6ECEF" w14:textId="77777777" w:rsidR="004B3C9B" w:rsidRDefault="007A4768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The attendance of different groups will be in line with national average or above. </w:t>
            </w:r>
          </w:p>
          <w:p w14:paraId="211DEB4E" w14:textId="77777777" w:rsidR="007A4768" w:rsidRDefault="007A4768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Attendance of these children will be good</w:t>
            </w:r>
            <w:r w:rsidR="00E03311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.</w:t>
            </w:r>
          </w:p>
          <w:p w14:paraId="7E2F31CD" w14:textId="77777777" w:rsidR="00A54F67" w:rsidRDefault="00A54F67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4165B8E7" w14:textId="77777777" w:rsidR="00A54F67" w:rsidRDefault="00A54F67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This will be seen through:</w:t>
            </w:r>
          </w:p>
          <w:p w14:paraId="1109C47A" w14:textId="77777777" w:rsidR="00A54F67" w:rsidRDefault="00A54F67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Increased attendance of pupil groups</w:t>
            </w:r>
          </w:p>
          <w:p w14:paraId="2B34EA49" w14:textId="38CF90B0" w:rsidR="00A54F67" w:rsidRDefault="00A54F67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Tracking of individual children</w:t>
            </w:r>
          </w:p>
        </w:tc>
      </w:tr>
      <w:tr w:rsidR="001073C9" w:rsidRPr="00567500" w14:paraId="5240C072" w14:textId="30E3046B" w:rsidTr="005E3E9F">
        <w:trPr>
          <w:trHeight w:hRule="exact" w:val="418"/>
        </w:trPr>
        <w:tc>
          <w:tcPr>
            <w:tcW w:w="1092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292F6646" w14:textId="44B3ABF2" w:rsidR="004B3C9B" w:rsidRPr="002D05F2" w:rsidRDefault="004B3C9B" w:rsidP="002D05F2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lastRenderedPageBreak/>
              <w:t xml:space="preserve">Objective </w:t>
            </w:r>
            <w:r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7</w:t>
            </w:r>
          </w:p>
        </w:tc>
        <w:tc>
          <w:tcPr>
            <w:tcW w:w="1525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1A73619A" w14:textId="3F6C9329" w:rsidR="004B3C9B" w:rsidRPr="002D05F2" w:rsidRDefault="004B3C9B" w:rsidP="002D05F2">
            <w:pPr>
              <w:tabs>
                <w:tab w:val="left" w:pos="288"/>
              </w:tabs>
              <w:spacing w:line="244" w:lineRule="exact"/>
              <w:ind w:left="288" w:right="108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882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57741714" w14:textId="64C32C61" w:rsidR="004B3C9B" w:rsidRPr="002D05F2" w:rsidRDefault="004B3C9B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461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1BA634B5" w14:textId="12425C55" w:rsidR="004B3C9B" w:rsidRPr="002D05F2" w:rsidRDefault="004B3C9B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  <w:tc>
          <w:tcPr>
            <w:tcW w:w="1040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102D3D03" w14:textId="7537207B" w:rsidR="004B3C9B" w:rsidRPr="00567500" w:rsidRDefault="00C226A0" w:rsidP="002D05F2">
            <w:pPr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Intended Impact</w:t>
            </w:r>
          </w:p>
        </w:tc>
      </w:tr>
      <w:tr w:rsidR="001073C9" w:rsidRPr="00567500" w14:paraId="507D31A9" w14:textId="2790A79C" w:rsidTr="005E3E9F">
        <w:trPr>
          <w:trHeight w:hRule="exact" w:val="1557"/>
        </w:trPr>
        <w:tc>
          <w:tcPr>
            <w:tcW w:w="1092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3B433" w14:textId="0B6FB62E" w:rsidR="004B3C9B" w:rsidRPr="002D05F2" w:rsidRDefault="004B3C9B" w:rsidP="004B27BF">
            <w:pPr>
              <w:spacing w:line="244" w:lineRule="exact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pacing w:val="1"/>
                <w:sz w:val="20"/>
                <w:szCs w:val="20"/>
              </w:rPr>
              <w:t>To communicate our commitment to equality and diversity with the wider community e.g. parents, LGC and other groups, to seek their support enhance the</w:t>
            </w:r>
          </w:p>
        </w:tc>
        <w:tc>
          <w:tcPr>
            <w:tcW w:w="1525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75E8B" w14:textId="77777777" w:rsidR="004B3C9B" w:rsidRPr="00567500" w:rsidRDefault="004B3C9B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50" w:lineRule="exact"/>
              <w:ind w:left="288" w:right="252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Communicate our policies and intentions with the LGC and parents.</w:t>
            </w:r>
          </w:p>
          <w:p w14:paraId="3E32C1C1" w14:textId="77777777" w:rsidR="004B3C9B" w:rsidRPr="00567500" w:rsidRDefault="004B3C9B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Include parents in inclusive events.</w:t>
            </w:r>
          </w:p>
          <w:p w14:paraId="3C3FD8FD" w14:textId="77777777" w:rsidR="004B3C9B" w:rsidRDefault="004B3C9B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576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Share learning with parents through school communications avenues.</w:t>
            </w:r>
          </w:p>
          <w:p w14:paraId="5D98C1C0" w14:textId="522E2E3A" w:rsidR="004B3C9B" w:rsidRPr="00567500" w:rsidRDefault="004B3C9B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576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Expect high standards from all adults.</w:t>
            </w:r>
          </w:p>
          <w:p w14:paraId="5811101E" w14:textId="68B06561" w:rsidR="004B3C9B" w:rsidRPr="002D05F2" w:rsidRDefault="004B3C9B" w:rsidP="002D05F2">
            <w:pPr>
              <w:tabs>
                <w:tab w:val="left" w:pos="288"/>
              </w:tabs>
              <w:spacing w:line="244" w:lineRule="exact"/>
              <w:ind w:left="288" w:right="108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43002" w14:textId="17B3CCF0" w:rsidR="004B3C9B" w:rsidRPr="00567500" w:rsidRDefault="004B3C9B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September </w:t>
            </w: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2024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– July </w:t>
            </w: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61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27FCA" w14:textId="371D053C" w:rsidR="004B3C9B" w:rsidRPr="00567500" w:rsidRDefault="004B3C9B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SLT, admin</w:t>
            </w:r>
          </w:p>
        </w:tc>
        <w:tc>
          <w:tcPr>
            <w:tcW w:w="1040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902C8" w14:textId="77777777" w:rsidR="004B3C9B" w:rsidRDefault="0056561D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Families are given help </w:t>
            </w:r>
            <w:r w:rsidR="00D946B2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needed and are able to thrive due to essential needs being met. </w:t>
            </w:r>
          </w:p>
          <w:p w14:paraId="737AC3B8" w14:textId="6E582A3B" w:rsidR="00D946B2" w:rsidRDefault="00D946B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</w:tr>
    </w:tbl>
    <w:p w14:paraId="1DD6D572" w14:textId="3572A5A4" w:rsidR="00C27AC4" w:rsidRPr="00C27AC4" w:rsidRDefault="00C27AC4" w:rsidP="004B27BF">
      <w:pPr>
        <w:rPr>
          <w:rFonts w:ascii="Century Gothic" w:hAnsi="Century Gothic"/>
          <w:b/>
          <w:bCs/>
        </w:rPr>
      </w:pPr>
    </w:p>
    <w:sectPr w:rsidR="00C27AC4" w:rsidRPr="00C27AC4" w:rsidSect="008309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09DE"/>
    <w:multiLevelType w:val="multilevel"/>
    <w:tmpl w:val="87541E5E"/>
    <w:lvl w:ilvl="0">
      <w:numFmt w:val="bullet"/>
      <w:lvlText w:val="·"/>
      <w:lvlJc w:val="left"/>
      <w:pPr>
        <w:tabs>
          <w:tab w:val="left" w:pos="144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CC"/>
    <w:rsid w:val="00004507"/>
    <w:rsid w:val="00010BF7"/>
    <w:rsid w:val="000D4D2C"/>
    <w:rsid w:val="000F721B"/>
    <w:rsid w:val="001073C9"/>
    <w:rsid w:val="00112346"/>
    <w:rsid w:val="001210B1"/>
    <w:rsid w:val="001425FA"/>
    <w:rsid w:val="00176927"/>
    <w:rsid w:val="002D05F2"/>
    <w:rsid w:val="00301B85"/>
    <w:rsid w:val="003337A0"/>
    <w:rsid w:val="003574BB"/>
    <w:rsid w:val="00360510"/>
    <w:rsid w:val="0036453A"/>
    <w:rsid w:val="00397F0E"/>
    <w:rsid w:val="003A4876"/>
    <w:rsid w:val="003B6244"/>
    <w:rsid w:val="004B27BF"/>
    <w:rsid w:val="004B3C9B"/>
    <w:rsid w:val="004D7EDB"/>
    <w:rsid w:val="00546ACC"/>
    <w:rsid w:val="0056561D"/>
    <w:rsid w:val="00596D12"/>
    <w:rsid w:val="005E3E9F"/>
    <w:rsid w:val="006013A3"/>
    <w:rsid w:val="0062113F"/>
    <w:rsid w:val="0063157F"/>
    <w:rsid w:val="006677A2"/>
    <w:rsid w:val="006F4175"/>
    <w:rsid w:val="006F7F8E"/>
    <w:rsid w:val="00760EDC"/>
    <w:rsid w:val="00784852"/>
    <w:rsid w:val="00787497"/>
    <w:rsid w:val="00790E2A"/>
    <w:rsid w:val="007A4768"/>
    <w:rsid w:val="007D2D14"/>
    <w:rsid w:val="008309E6"/>
    <w:rsid w:val="00835AB3"/>
    <w:rsid w:val="0084557E"/>
    <w:rsid w:val="00852FCE"/>
    <w:rsid w:val="008E79CA"/>
    <w:rsid w:val="008F15BD"/>
    <w:rsid w:val="009C3780"/>
    <w:rsid w:val="009D4680"/>
    <w:rsid w:val="00A1556D"/>
    <w:rsid w:val="00A54F67"/>
    <w:rsid w:val="00A83983"/>
    <w:rsid w:val="00A8628C"/>
    <w:rsid w:val="00A92EB9"/>
    <w:rsid w:val="00A940E3"/>
    <w:rsid w:val="00AD0460"/>
    <w:rsid w:val="00AF64A3"/>
    <w:rsid w:val="00B6132F"/>
    <w:rsid w:val="00B67DEE"/>
    <w:rsid w:val="00BD47FD"/>
    <w:rsid w:val="00C226A0"/>
    <w:rsid w:val="00C27AC4"/>
    <w:rsid w:val="00C335FB"/>
    <w:rsid w:val="00C55B98"/>
    <w:rsid w:val="00C97F1F"/>
    <w:rsid w:val="00CC545F"/>
    <w:rsid w:val="00D321B8"/>
    <w:rsid w:val="00D513DB"/>
    <w:rsid w:val="00D6051E"/>
    <w:rsid w:val="00D74DB6"/>
    <w:rsid w:val="00D946B2"/>
    <w:rsid w:val="00DB1E49"/>
    <w:rsid w:val="00DC4F9E"/>
    <w:rsid w:val="00E03311"/>
    <w:rsid w:val="00E3535B"/>
    <w:rsid w:val="00EB6FC5"/>
    <w:rsid w:val="00EC283A"/>
    <w:rsid w:val="00ED2361"/>
    <w:rsid w:val="00F6394C"/>
    <w:rsid w:val="00FE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D9044"/>
  <w15:chartTrackingRefBased/>
  <w15:docId w15:val="{3A914C91-C936-4E49-B165-DDFD352F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ACC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6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A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A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A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A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A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A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A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A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A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A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A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A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A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A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A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A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A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A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A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A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A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AC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B6FC5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White Horse Federation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Bryant</dc:creator>
  <cp:keywords/>
  <dc:description/>
  <cp:lastModifiedBy>Eleanor Rushen-Gough</cp:lastModifiedBy>
  <cp:revision>67</cp:revision>
  <cp:lastPrinted>2024-02-29T08:33:00Z</cp:lastPrinted>
  <dcterms:created xsi:type="dcterms:W3CDTF">2024-03-20T14:10:00Z</dcterms:created>
  <dcterms:modified xsi:type="dcterms:W3CDTF">2025-02-24T20:51:00Z</dcterms:modified>
</cp:coreProperties>
</file>