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BAAC206" w:rsidR="00E66558" w:rsidRPr="007D777A" w:rsidRDefault="009D71E8" w:rsidP="00EA021B">
      <w:pPr>
        <w:pStyle w:val="Heading1"/>
        <w:spacing w:after="0"/>
        <w:rPr>
          <w:rFonts w:asciiTheme="minorHAnsi" w:hAnsiTheme="minorHAnsi" w:cstheme="minorHAnsi"/>
          <w:color w:val="auto"/>
        </w:rPr>
      </w:pPr>
      <w:bookmarkStart w:id="0" w:name="_Toc400361362"/>
      <w:bookmarkStart w:id="1" w:name="_Toc443397153"/>
      <w:bookmarkStart w:id="2" w:name="_Toc357771638"/>
      <w:bookmarkStart w:id="3" w:name="_Toc346793416"/>
      <w:bookmarkStart w:id="4" w:name="_Toc328122777"/>
      <w:r w:rsidRPr="007D777A">
        <w:rPr>
          <w:rFonts w:asciiTheme="minorHAnsi" w:hAnsiTheme="minorHAnsi" w:cstheme="minorHAnsi"/>
          <w:color w:val="auto"/>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5813FE6A" w:rsidR="00E66558" w:rsidRPr="007D777A" w:rsidRDefault="009D71E8" w:rsidP="304D3DF2">
      <w:pPr>
        <w:pStyle w:val="Heading2"/>
        <w:spacing w:after="0"/>
        <w:rPr>
          <w:rFonts w:asciiTheme="minorHAnsi" w:hAnsiTheme="minorHAnsi" w:cstheme="minorBidi"/>
          <w:b w:val="0"/>
          <w:color w:val="auto"/>
          <w:sz w:val="24"/>
          <w:szCs w:val="24"/>
        </w:rPr>
      </w:pPr>
      <w:r w:rsidRPr="304D3DF2">
        <w:rPr>
          <w:rFonts w:asciiTheme="minorHAnsi" w:hAnsiTheme="minorHAnsi" w:cstheme="minorBidi"/>
          <w:b w:val="0"/>
          <w:color w:val="auto"/>
          <w:sz w:val="24"/>
          <w:szCs w:val="24"/>
        </w:rPr>
        <w:t>This statement details our school’s use of pupil premium</w:t>
      </w:r>
      <w:r w:rsidR="0082252B">
        <w:rPr>
          <w:rFonts w:asciiTheme="minorHAnsi" w:hAnsiTheme="minorHAnsi" w:cstheme="minorBidi"/>
          <w:b w:val="0"/>
          <w:color w:val="auto"/>
          <w:sz w:val="24"/>
          <w:szCs w:val="24"/>
        </w:rPr>
        <w:t xml:space="preserve"> </w:t>
      </w:r>
      <w:r w:rsidRPr="304D3DF2">
        <w:rPr>
          <w:rFonts w:asciiTheme="minorHAnsi" w:hAnsiTheme="minorHAnsi" w:cstheme="minorBidi"/>
          <w:b w:val="0"/>
          <w:color w:val="auto"/>
          <w:sz w:val="24"/>
          <w:szCs w:val="24"/>
        </w:rPr>
        <w:t xml:space="preserve">funding to help improve the attainment of our disadvantaged pupils. </w:t>
      </w:r>
    </w:p>
    <w:p w14:paraId="2A7D54B3" w14:textId="77777777" w:rsidR="00E66558" w:rsidRPr="007D777A" w:rsidRDefault="009D71E8" w:rsidP="00EA021B">
      <w:pPr>
        <w:pStyle w:val="Heading2"/>
        <w:spacing w:before="240" w:after="0"/>
        <w:rPr>
          <w:rFonts w:asciiTheme="minorHAnsi" w:hAnsiTheme="minorHAnsi" w:cstheme="minorHAnsi"/>
          <w:b w:val="0"/>
          <w:bCs/>
          <w:color w:val="auto"/>
          <w:sz w:val="24"/>
          <w:szCs w:val="24"/>
        </w:rPr>
      </w:pPr>
      <w:r w:rsidRPr="007D777A">
        <w:rPr>
          <w:rFonts w:asciiTheme="minorHAnsi" w:hAnsiTheme="minorHAnsi" w:cstheme="minorHAnsi"/>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Pr="007D777A" w:rsidRDefault="009D71E8" w:rsidP="00EA021B">
      <w:pPr>
        <w:pStyle w:val="Heading2"/>
        <w:spacing w:after="0"/>
        <w:rPr>
          <w:rFonts w:asciiTheme="minorHAnsi" w:hAnsiTheme="minorHAnsi" w:cstheme="minorHAnsi"/>
          <w:color w:val="auto"/>
        </w:rPr>
      </w:pPr>
      <w:r w:rsidRPr="007D777A">
        <w:rPr>
          <w:rFonts w:asciiTheme="minorHAnsi" w:hAnsiTheme="minorHAnsi" w:cstheme="minorHAnsi"/>
          <w:color w:val="auto"/>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713"/>
        <w:gridCol w:w="3058"/>
      </w:tblGrid>
      <w:tr w:rsidR="000F1037" w:rsidRPr="007D777A"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Data</w:t>
            </w:r>
          </w:p>
        </w:tc>
      </w:tr>
      <w:tr w:rsidR="000F1037" w:rsidRPr="007D777A"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rP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33490715" w:rsidR="00E66558" w:rsidRPr="007D777A" w:rsidRDefault="00A83619">
            <w:pPr>
              <w:pStyle w:val="TableRow"/>
              <w:rPr>
                <w:rFonts w:asciiTheme="minorHAnsi" w:hAnsiTheme="minorHAnsi" w:cstheme="minorHAnsi"/>
                <w:color w:val="auto"/>
              </w:rPr>
            </w:pPr>
            <w:r w:rsidRPr="007D777A">
              <w:rPr>
                <w:rFonts w:asciiTheme="minorHAnsi" w:hAnsiTheme="minorHAnsi" w:cstheme="minorHAnsi"/>
                <w:color w:val="auto"/>
              </w:rPr>
              <w:t>High Clarence</w:t>
            </w:r>
            <w:r w:rsidR="00260B2D">
              <w:rPr>
                <w:rFonts w:asciiTheme="minorHAnsi" w:hAnsiTheme="minorHAnsi" w:cstheme="minorHAnsi"/>
                <w:color w:val="auto"/>
              </w:rPr>
              <w:t xml:space="preserve"> Primary</w:t>
            </w:r>
            <w:r w:rsidRPr="007D777A">
              <w:rPr>
                <w:rFonts w:asciiTheme="minorHAnsi" w:hAnsiTheme="minorHAnsi" w:cstheme="minorHAnsi"/>
                <w:color w:val="auto"/>
              </w:rPr>
              <w:t xml:space="preserve"> </w:t>
            </w:r>
            <w:r w:rsidR="00042B15">
              <w:rPr>
                <w:rFonts w:asciiTheme="minorHAnsi" w:hAnsiTheme="minorHAnsi" w:cstheme="minorHAnsi"/>
                <w:color w:val="auto"/>
              </w:rPr>
              <w:t>Academy</w:t>
            </w:r>
          </w:p>
        </w:tc>
      </w:tr>
      <w:tr w:rsidR="000F1037" w:rsidRPr="007D777A"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497F116F" w:rsidR="00E66558" w:rsidRPr="007D777A" w:rsidRDefault="00CF17B7">
            <w:pPr>
              <w:pStyle w:val="TableRow"/>
              <w:rPr>
                <w:rFonts w:asciiTheme="minorHAnsi" w:hAnsiTheme="minorHAnsi" w:cstheme="minorHAnsi"/>
                <w:color w:val="auto"/>
              </w:rPr>
            </w:pPr>
            <w:r>
              <w:rPr>
                <w:rFonts w:asciiTheme="minorHAnsi" w:hAnsiTheme="minorHAnsi" w:cstheme="minorHAnsi"/>
                <w:color w:val="auto"/>
              </w:rPr>
              <w:t>86</w:t>
            </w:r>
          </w:p>
        </w:tc>
      </w:tr>
      <w:tr w:rsidR="000F1037" w:rsidRPr="007D777A"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753D4869" w:rsidR="00E66558" w:rsidRPr="007D777A" w:rsidRDefault="00C71B5B" w:rsidP="001A381F">
            <w:pPr>
              <w:pStyle w:val="TableRow"/>
              <w:rPr>
                <w:rFonts w:asciiTheme="minorHAnsi" w:hAnsiTheme="minorHAnsi" w:cstheme="minorHAnsi"/>
                <w:color w:val="auto"/>
              </w:rPr>
            </w:pPr>
            <w:r w:rsidRPr="00C71B5B">
              <w:rPr>
                <w:rFonts w:asciiTheme="minorHAnsi" w:hAnsiTheme="minorHAnsi" w:cstheme="minorHAnsi"/>
                <w:color w:val="auto"/>
              </w:rPr>
              <w:t>7</w:t>
            </w:r>
            <w:r w:rsidR="006F7576">
              <w:rPr>
                <w:rFonts w:asciiTheme="minorHAnsi" w:hAnsiTheme="minorHAnsi" w:cstheme="minorHAnsi"/>
                <w:color w:val="auto"/>
              </w:rPr>
              <w:t>3</w:t>
            </w:r>
            <w:r w:rsidR="00436E86" w:rsidRPr="00C71B5B">
              <w:rPr>
                <w:rFonts w:asciiTheme="minorHAnsi" w:hAnsiTheme="minorHAnsi" w:cstheme="minorHAnsi"/>
                <w:color w:val="auto"/>
              </w:rPr>
              <w:t>%</w:t>
            </w:r>
          </w:p>
        </w:tc>
      </w:tr>
      <w:tr w:rsidR="000F1037" w:rsidRPr="007D777A"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szCs w:val="22"/>
              </w:rPr>
              <w:t xml:space="preserve">Academic year/years that our current pupil premium strategy plan covers </w:t>
            </w:r>
            <w:r w:rsidRPr="007D777A">
              <w:rPr>
                <w:rFonts w:asciiTheme="minorHAnsi" w:hAnsiTheme="minorHAnsi" w:cstheme="minorHAnsi"/>
                <w:b/>
                <w:bCs/>
                <w:color w:val="auto"/>
                <w:szCs w:val="22"/>
              </w:rPr>
              <w:t>(</w:t>
            </w:r>
            <w:proofErr w:type="gramStart"/>
            <w:r w:rsidRPr="007D777A">
              <w:rPr>
                <w:rFonts w:asciiTheme="minorHAnsi" w:hAnsiTheme="minorHAnsi" w:cstheme="minorHAnsi"/>
                <w:b/>
                <w:bCs/>
                <w:color w:val="auto"/>
                <w:szCs w:val="22"/>
              </w:rPr>
              <w:t>3 year</w:t>
            </w:r>
            <w:proofErr w:type="gramEnd"/>
            <w:r w:rsidRPr="007D777A">
              <w:rPr>
                <w:rFonts w:asciiTheme="minorHAnsi" w:hAnsiTheme="minorHAnsi" w:cstheme="minorHAnsi"/>
                <w:b/>
                <w:bCs/>
                <w:color w:val="auto"/>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30FCDA63" w:rsidR="0094713A" w:rsidRPr="007D777A" w:rsidRDefault="0082252B" w:rsidP="00471A9A">
            <w:pPr>
              <w:pStyle w:val="TableRow"/>
              <w:rPr>
                <w:rFonts w:asciiTheme="minorHAnsi" w:hAnsiTheme="minorHAnsi" w:cstheme="minorHAnsi"/>
                <w:color w:val="auto"/>
              </w:rPr>
            </w:pPr>
            <w:r>
              <w:rPr>
                <w:rFonts w:asciiTheme="minorHAnsi" w:hAnsiTheme="minorHAnsi" w:cstheme="minorHAnsi"/>
                <w:color w:val="auto"/>
              </w:rPr>
              <w:t>2025-202</w:t>
            </w:r>
            <w:r w:rsidR="00453640">
              <w:rPr>
                <w:rFonts w:asciiTheme="minorHAnsi" w:hAnsiTheme="minorHAnsi" w:cstheme="minorHAnsi"/>
                <w:color w:val="auto"/>
              </w:rPr>
              <w:t>8</w:t>
            </w:r>
          </w:p>
        </w:tc>
      </w:tr>
      <w:tr w:rsidR="000F1037" w:rsidRPr="007D777A"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1E2BDE6A" w:rsidR="00E66558" w:rsidRPr="007D777A" w:rsidRDefault="002D79EC" w:rsidP="001A381F">
            <w:pPr>
              <w:pStyle w:val="TableRow"/>
              <w:rPr>
                <w:rFonts w:asciiTheme="minorHAnsi" w:hAnsiTheme="minorHAnsi" w:cstheme="minorHAnsi"/>
                <w:color w:val="auto"/>
              </w:rPr>
            </w:pPr>
            <w:r>
              <w:rPr>
                <w:rFonts w:asciiTheme="minorHAnsi" w:hAnsiTheme="minorHAnsi" w:cstheme="minorHAnsi"/>
                <w:color w:val="auto"/>
              </w:rPr>
              <w:t xml:space="preserve">September </w:t>
            </w:r>
            <w:r w:rsidR="0082252B">
              <w:rPr>
                <w:rFonts w:asciiTheme="minorHAnsi" w:hAnsiTheme="minorHAnsi" w:cstheme="minorHAnsi"/>
                <w:color w:val="auto"/>
              </w:rPr>
              <w:t>25</w:t>
            </w:r>
          </w:p>
        </w:tc>
      </w:tr>
      <w:tr w:rsidR="000F1037" w:rsidRPr="007D777A"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68BF1C12" w:rsidR="00E66558" w:rsidRPr="007D777A" w:rsidRDefault="002D79EC">
            <w:pPr>
              <w:pStyle w:val="TableRow"/>
              <w:rPr>
                <w:rFonts w:asciiTheme="minorHAnsi" w:hAnsiTheme="minorHAnsi" w:cstheme="minorHAnsi"/>
                <w:color w:val="auto"/>
              </w:rPr>
            </w:pPr>
            <w:r>
              <w:rPr>
                <w:rFonts w:asciiTheme="minorHAnsi" w:hAnsiTheme="minorHAnsi" w:cstheme="minorHAnsi"/>
                <w:color w:val="auto"/>
              </w:rPr>
              <w:t>September 2</w:t>
            </w:r>
            <w:r w:rsidR="0082252B">
              <w:rPr>
                <w:rFonts w:asciiTheme="minorHAnsi" w:hAnsiTheme="minorHAnsi" w:cstheme="minorHAnsi"/>
                <w:color w:val="auto"/>
              </w:rPr>
              <w:t>6</w:t>
            </w:r>
          </w:p>
        </w:tc>
      </w:tr>
      <w:tr w:rsidR="000F1037" w:rsidRPr="007D777A"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rP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383C14FA" w:rsidR="00E66558" w:rsidRPr="007D777A" w:rsidRDefault="000D67BF">
            <w:pPr>
              <w:pStyle w:val="TableRow"/>
              <w:rPr>
                <w:rFonts w:asciiTheme="minorHAnsi" w:hAnsiTheme="minorHAnsi" w:cstheme="minorHAnsi"/>
                <w:color w:val="auto"/>
              </w:rPr>
            </w:pPr>
            <w:r w:rsidRPr="007D777A">
              <w:rPr>
                <w:rFonts w:asciiTheme="minorHAnsi" w:hAnsiTheme="minorHAnsi" w:cstheme="minorHAnsi"/>
                <w:color w:val="auto"/>
              </w:rPr>
              <w:t>Nicola Caraher</w:t>
            </w:r>
          </w:p>
        </w:tc>
      </w:tr>
      <w:tr w:rsidR="000F1037" w:rsidRPr="007D777A"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rP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0F25313" w:rsidR="00E66558" w:rsidRPr="007D777A" w:rsidRDefault="000D67BF">
            <w:pPr>
              <w:pStyle w:val="TableRow"/>
              <w:rPr>
                <w:rFonts w:asciiTheme="minorHAnsi" w:hAnsiTheme="minorHAnsi" w:cstheme="minorHAnsi"/>
                <w:color w:val="auto"/>
              </w:rPr>
            </w:pPr>
            <w:r w:rsidRPr="007D777A">
              <w:rPr>
                <w:rFonts w:asciiTheme="minorHAnsi" w:hAnsiTheme="minorHAnsi" w:cstheme="minorHAnsi"/>
                <w:color w:val="auto"/>
              </w:rPr>
              <w:t>Nicola Caraher</w:t>
            </w:r>
          </w:p>
        </w:tc>
      </w:tr>
      <w:tr w:rsidR="000F1037" w:rsidRPr="007D777A"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rPr>
              <w:t xml:space="preserve">Governor </w:t>
            </w:r>
            <w:r w:rsidRPr="007D777A">
              <w:rPr>
                <w:rFonts w:asciiTheme="minorHAnsi" w:hAnsiTheme="minorHAnsi" w:cstheme="minorHAnsi"/>
                <w:color w:val="auto"/>
                <w:szCs w:val="22"/>
              </w:rPr>
              <w:t xml:space="preserve">/ Trustee </w:t>
            </w:r>
            <w:r w:rsidRPr="007D777A">
              <w:rPr>
                <w:rFonts w:asciiTheme="minorHAnsi" w:hAnsiTheme="minorHAnsi" w:cstheme="minorHAnsi"/>
                <w:color w:val="auto"/>
              </w:rP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23E15911" w:rsidR="00E66558" w:rsidRPr="007D777A" w:rsidRDefault="00F63EE1">
            <w:pPr>
              <w:pStyle w:val="TableRow"/>
              <w:rPr>
                <w:rFonts w:asciiTheme="minorHAnsi" w:hAnsiTheme="minorHAnsi" w:cstheme="minorHAnsi"/>
                <w:color w:val="auto"/>
              </w:rPr>
            </w:pPr>
            <w:r w:rsidRPr="00F63EE1">
              <w:rPr>
                <w:rFonts w:asciiTheme="minorHAnsi" w:hAnsiTheme="minorHAnsi" w:cstheme="minorHAnsi"/>
                <w:color w:val="auto"/>
              </w:rPr>
              <w:t>Academy Improvement Committee</w:t>
            </w:r>
          </w:p>
        </w:tc>
      </w:tr>
      <w:bookmarkEnd w:id="2"/>
      <w:bookmarkEnd w:id="3"/>
      <w:bookmarkEnd w:id="4"/>
    </w:tbl>
    <w:p w14:paraId="31CE3CD0" w14:textId="77777777" w:rsidR="00EA021B" w:rsidRDefault="00EA021B" w:rsidP="00EA021B">
      <w:pPr>
        <w:spacing w:after="0" w:line="240" w:lineRule="auto"/>
        <w:rPr>
          <w:rFonts w:asciiTheme="minorHAnsi" w:hAnsiTheme="minorHAnsi" w:cstheme="minorHAnsi"/>
          <w:b/>
          <w:color w:val="auto"/>
          <w:sz w:val="32"/>
          <w:szCs w:val="32"/>
        </w:rPr>
      </w:pPr>
    </w:p>
    <w:p w14:paraId="2A7D54D3" w14:textId="75B4BD47" w:rsidR="00E66558" w:rsidRPr="007D777A" w:rsidRDefault="009D71E8" w:rsidP="00EA021B">
      <w:pPr>
        <w:spacing w:after="0" w:line="240" w:lineRule="auto"/>
        <w:rPr>
          <w:rFonts w:asciiTheme="minorHAnsi" w:hAnsiTheme="minorHAnsi" w:cstheme="minorHAnsi"/>
          <w:b/>
          <w:color w:val="auto"/>
          <w:sz w:val="32"/>
          <w:szCs w:val="32"/>
        </w:rPr>
      </w:pPr>
      <w:r w:rsidRPr="007D777A">
        <w:rPr>
          <w:rFonts w:asciiTheme="minorHAnsi" w:hAnsiTheme="minorHAnsi" w:cstheme="minorHAnsi"/>
          <w:b/>
          <w:color w:val="auto"/>
          <w:sz w:val="32"/>
          <w:szCs w:val="32"/>
        </w:rPr>
        <w:t>Funding overview</w:t>
      </w:r>
    </w:p>
    <w:tbl>
      <w:tblPr>
        <w:tblW w:w="9486" w:type="dxa"/>
        <w:tblCellMar>
          <w:left w:w="10" w:type="dxa"/>
          <w:right w:w="10" w:type="dxa"/>
        </w:tblCellMar>
        <w:tblLook w:val="04A0" w:firstRow="1" w:lastRow="0" w:firstColumn="1" w:lastColumn="0" w:noHBand="0" w:noVBand="1"/>
      </w:tblPr>
      <w:tblGrid>
        <w:gridCol w:w="6799"/>
        <w:gridCol w:w="2687"/>
      </w:tblGrid>
      <w:tr w:rsidR="000F1037" w:rsidRPr="007D777A" w14:paraId="2A7D54D6" w14:textId="77777777" w:rsidTr="0035310C">
        <w:trPr>
          <w:trHeight w:val="374"/>
        </w:trPr>
        <w:tc>
          <w:tcPr>
            <w:tcW w:w="679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b/>
                <w:color w:val="auto"/>
              </w:rPr>
              <w:t>Detail</w:t>
            </w:r>
          </w:p>
        </w:tc>
        <w:tc>
          <w:tcPr>
            <w:tcW w:w="268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b/>
                <w:color w:val="auto"/>
              </w:rPr>
              <w:t>Amount</w:t>
            </w:r>
          </w:p>
        </w:tc>
      </w:tr>
      <w:tr w:rsidR="000F1037" w:rsidRPr="007D777A" w14:paraId="2A7D54D9" w14:textId="77777777" w:rsidTr="0035310C">
        <w:trPr>
          <w:trHeight w:val="374"/>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rPr>
              <w:t>Pupil premium funding allocation this academic year</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11923556" w:rsidR="00E66558" w:rsidRPr="00D14626" w:rsidRDefault="002932E6">
            <w:pPr>
              <w:pStyle w:val="TableRow"/>
              <w:rPr>
                <w:rFonts w:asciiTheme="minorHAnsi" w:hAnsiTheme="minorHAnsi" w:cstheme="minorHAnsi"/>
                <w:color w:val="auto"/>
              </w:rPr>
            </w:pPr>
            <w:r w:rsidRPr="00D14626">
              <w:rPr>
                <w:rFonts w:asciiTheme="minorHAnsi" w:hAnsiTheme="minorHAnsi" w:cstheme="minorHAnsi"/>
                <w:color w:val="auto"/>
              </w:rPr>
              <w:t>£</w:t>
            </w:r>
            <w:r w:rsidR="0060427D">
              <w:rPr>
                <w:rFonts w:asciiTheme="minorHAnsi" w:hAnsiTheme="minorHAnsi" w:cstheme="minorHAnsi"/>
                <w:color w:val="auto"/>
              </w:rPr>
              <w:t>71,209</w:t>
            </w:r>
          </w:p>
        </w:tc>
      </w:tr>
      <w:tr w:rsidR="000F1037" w:rsidRPr="007D777A" w14:paraId="2A7D54DF" w14:textId="77777777" w:rsidTr="0035310C">
        <w:trPr>
          <w:trHeight w:val="374"/>
        </w:trPr>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rPr>
              <w:t>Pupil premium funding carried forward from previous years (enter £0 if not applicable)</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618F3001" w:rsidR="00E66558" w:rsidRPr="00D14626" w:rsidRDefault="009D71E8">
            <w:pPr>
              <w:pStyle w:val="TableRow"/>
              <w:rPr>
                <w:rFonts w:asciiTheme="minorHAnsi" w:hAnsiTheme="minorHAnsi" w:cstheme="minorHAnsi"/>
                <w:color w:val="auto"/>
              </w:rPr>
            </w:pPr>
            <w:r w:rsidRPr="00D14626">
              <w:rPr>
                <w:rFonts w:asciiTheme="minorHAnsi" w:hAnsiTheme="minorHAnsi" w:cstheme="minorHAnsi"/>
                <w:color w:val="auto"/>
              </w:rPr>
              <w:t>£</w:t>
            </w:r>
            <w:r w:rsidR="00A83619" w:rsidRPr="00D14626">
              <w:rPr>
                <w:rFonts w:asciiTheme="minorHAnsi" w:hAnsiTheme="minorHAnsi" w:cstheme="minorHAnsi"/>
                <w:color w:val="auto"/>
              </w:rPr>
              <w:t>0</w:t>
            </w:r>
          </w:p>
        </w:tc>
      </w:tr>
      <w:tr w:rsidR="000F1037" w:rsidRPr="007D777A" w14:paraId="2A7D54E3" w14:textId="77777777" w:rsidTr="0035310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7D777A" w:rsidRDefault="009D71E8">
            <w:pPr>
              <w:pStyle w:val="TableRow"/>
              <w:rPr>
                <w:rFonts w:asciiTheme="minorHAnsi" w:hAnsiTheme="minorHAnsi" w:cstheme="minorHAnsi"/>
                <w:b/>
                <w:color w:val="auto"/>
              </w:rPr>
            </w:pPr>
            <w:r w:rsidRPr="007D777A">
              <w:rPr>
                <w:rFonts w:asciiTheme="minorHAnsi" w:hAnsiTheme="minorHAnsi" w:cstheme="minorHAnsi"/>
                <w:b/>
                <w:color w:val="auto"/>
              </w:rPr>
              <w:t>Total budget for this academic year</w:t>
            </w:r>
          </w:p>
          <w:p w14:paraId="2A7D54E1" w14:textId="77777777" w:rsidR="00E66558" w:rsidRPr="007D777A" w:rsidRDefault="009D71E8">
            <w:pPr>
              <w:pStyle w:val="TableRow"/>
              <w:rPr>
                <w:rFonts w:asciiTheme="minorHAnsi" w:hAnsiTheme="minorHAnsi" w:cstheme="minorHAnsi"/>
                <w:color w:val="auto"/>
              </w:rPr>
            </w:pPr>
            <w:r w:rsidRPr="007D777A">
              <w:rPr>
                <w:rFonts w:asciiTheme="minorHAnsi" w:hAnsiTheme="minorHAnsi" w:cstheme="minorHAnsi"/>
                <w:color w:val="auto"/>
              </w:rPr>
              <w:t>If your school is an academy in a trust that pools this funding, state the amount available to your school this academic year</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018CCDF0" w:rsidR="00E66558" w:rsidRPr="00D14626" w:rsidRDefault="009D71E8" w:rsidP="00645507">
            <w:pPr>
              <w:pStyle w:val="TableRow"/>
              <w:rPr>
                <w:rFonts w:asciiTheme="minorHAnsi" w:hAnsiTheme="minorHAnsi" w:cstheme="minorHAnsi"/>
                <w:color w:val="auto"/>
              </w:rPr>
            </w:pPr>
            <w:r w:rsidRPr="00D14626">
              <w:rPr>
                <w:rFonts w:asciiTheme="minorHAnsi" w:hAnsiTheme="minorHAnsi" w:cstheme="minorHAnsi"/>
                <w:color w:val="auto"/>
              </w:rPr>
              <w:t>£</w:t>
            </w:r>
            <w:r w:rsidR="0060427D">
              <w:rPr>
                <w:rFonts w:asciiTheme="minorHAnsi" w:hAnsiTheme="minorHAnsi" w:cstheme="minorHAnsi"/>
                <w:color w:val="auto"/>
              </w:rPr>
              <w:t>71,209</w:t>
            </w:r>
          </w:p>
        </w:tc>
      </w:tr>
      <w:tr w:rsidR="00DE4507" w:rsidRPr="007D777A" w14:paraId="5D5585D2" w14:textId="77777777" w:rsidTr="0035310C">
        <w:tc>
          <w:tcPr>
            <w:tcW w:w="6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140D0" w14:textId="1BC6D60C" w:rsidR="00DE4507" w:rsidRPr="007D777A" w:rsidRDefault="00DE4507">
            <w:pPr>
              <w:pStyle w:val="TableRow"/>
              <w:rPr>
                <w:rFonts w:asciiTheme="minorHAnsi" w:hAnsiTheme="minorHAnsi" w:cstheme="minorHAnsi"/>
                <w:b/>
                <w:color w:val="auto"/>
              </w:rPr>
            </w:pPr>
            <w:r>
              <w:rPr>
                <w:rFonts w:asciiTheme="minorHAnsi" w:hAnsiTheme="minorHAnsi" w:cstheme="minorHAnsi"/>
                <w:b/>
                <w:color w:val="auto"/>
              </w:rPr>
              <w:t>Total actual predicted expenditure</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0276F" w14:textId="74140D62" w:rsidR="00DE4507" w:rsidRPr="00D14626" w:rsidRDefault="005C3F07" w:rsidP="00645507">
            <w:pPr>
              <w:pStyle w:val="TableRow"/>
              <w:rPr>
                <w:rFonts w:asciiTheme="minorHAnsi" w:hAnsiTheme="minorHAnsi" w:cstheme="minorHAnsi"/>
                <w:color w:val="auto"/>
              </w:rPr>
            </w:pPr>
            <w:r>
              <w:rPr>
                <w:rFonts w:asciiTheme="minorHAnsi" w:hAnsiTheme="minorHAnsi" w:cstheme="minorHAnsi"/>
                <w:color w:val="auto"/>
              </w:rPr>
              <w:t>£</w:t>
            </w:r>
            <w:r w:rsidR="00311F04">
              <w:rPr>
                <w:rFonts w:asciiTheme="minorHAnsi" w:hAnsiTheme="minorHAnsi" w:cstheme="minorHAnsi"/>
                <w:color w:val="auto"/>
              </w:rPr>
              <w:t>102,058</w:t>
            </w:r>
          </w:p>
        </w:tc>
      </w:tr>
    </w:tbl>
    <w:p w14:paraId="2A7D54E4" w14:textId="3ADB1678" w:rsidR="00E66558" w:rsidRPr="007D777A" w:rsidRDefault="001D4C9F">
      <w:pPr>
        <w:pStyle w:val="Heading1"/>
        <w:rPr>
          <w:rFonts w:asciiTheme="minorHAnsi" w:hAnsiTheme="minorHAnsi" w:cstheme="minorHAnsi"/>
          <w:color w:val="auto"/>
        </w:rPr>
      </w:pPr>
      <w:r w:rsidRPr="007D777A">
        <w:rPr>
          <w:rFonts w:asciiTheme="minorHAnsi" w:hAnsiTheme="minorHAnsi" w:cstheme="minorHAnsi"/>
          <w:color w:val="auto"/>
        </w:rPr>
        <w:lastRenderedPageBreak/>
        <w:t>P</w:t>
      </w:r>
      <w:r w:rsidR="009D71E8" w:rsidRPr="007D777A">
        <w:rPr>
          <w:rFonts w:asciiTheme="minorHAnsi" w:hAnsiTheme="minorHAnsi" w:cstheme="minorHAnsi"/>
          <w:color w:val="auto"/>
        </w:rPr>
        <w:t>art A: Pupil premium strategy plan</w:t>
      </w:r>
    </w:p>
    <w:p w14:paraId="2A7D54E5" w14:textId="77777777" w:rsidR="00E66558" w:rsidRPr="007D777A" w:rsidRDefault="009D71E8">
      <w:pPr>
        <w:pStyle w:val="Heading2"/>
        <w:rPr>
          <w:rFonts w:asciiTheme="minorHAnsi" w:hAnsiTheme="minorHAnsi" w:cstheme="minorHAnsi"/>
          <w:color w:val="auto"/>
        </w:rPr>
      </w:pPr>
      <w:bookmarkStart w:id="14" w:name="_Toc357771640"/>
      <w:bookmarkStart w:id="15" w:name="_Toc346793418"/>
      <w:r w:rsidRPr="007D777A">
        <w:rPr>
          <w:rFonts w:asciiTheme="minorHAnsi" w:hAnsiTheme="minorHAnsi" w:cstheme="minorHAnsi"/>
          <w:color w:val="auto"/>
        </w:rPr>
        <w:t>Statement of intent</w:t>
      </w:r>
    </w:p>
    <w:tbl>
      <w:tblPr>
        <w:tblW w:w="9486" w:type="dxa"/>
        <w:tblCellMar>
          <w:left w:w="10" w:type="dxa"/>
          <w:right w:w="10" w:type="dxa"/>
        </w:tblCellMar>
        <w:tblLook w:val="04A0" w:firstRow="1" w:lastRow="0" w:firstColumn="1" w:lastColumn="0" w:noHBand="0" w:noVBand="1"/>
      </w:tblPr>
      <w:tblGrid>
        <w:gridCol w:w="9486"/>
      </w:tblGrid>
      <w:tr w:rsidR="000F1037" w:rsidRPr="007D777A"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58A96" w14:textId="5A2AB2B1" w:rsidR="00205D4D" w:rsidRDefault="00DA2609" w:rsidP="00B63571">
            <w:pPr>
              <w:suppressAutoHyphens w:val="0"/>
              <w:autoSpaceDN/>
              <w:spacing w:after="160" w:line="240" w:lineRule="auto"/>
              <w:rPr>
                <w:rFonts w:asciiTheme="minorHAnsi" w:hAnsiTheme="minorHAnsi" w:cstheme="minorHAnsi"/>
                <w:iCs/>
                <w:color w:val="auto"/>
                <w:sz w:val="22"/>
                <w:szCs w:val="22"/>
              </w:rPr>
            </w:pPr>
            <w:r>
              <w:rPr>
                <w:rFonts w:asciiTheme="minorHAnsi" w:hAnsiTheme="minorHAnsi" w:cstheme="minorHAnsi"/>
                <w:iCs/>
                <w:color w:val="auto"/>
                <w:sz w:val="22"/>
                <w:szCs w:val="22"/>
              </w:rPr>
              <w:t xml:space="preserve">In </w:t>
            </w:r>
            <w:r w:rsidR="00DE2293" w:rsidRPr="007D777A">
              <w:rPr>
                <w:rFonts w:asciiTheme="minorHAnsi" w:hAnsiTheme="minorHAnsi" w:cstheme="minorHAnsi"/>
                <w:iCs/>
                <w:color w:val="auto"/>
                <w:sz w:val="22"/>
                <w:szCs w:val="22"/>
              </w:rPr>
              <w:t xml:space="preserve">High Clarence Primary </w:t>
            </w:r>
            <w:r w:rsidR="00260B2D">
              <w:rPr>
                <w:rFonts w:asciiTheme="minorHAnsi" w:hAnsiTheme="minorHAnsi" w:cstheme="minorHAnsi"/>
                <w:iCs/>
                <w:color w:val="auto"/>
                <w:sz w:val="22"/>
                <w:szCs w:val="22"/>
              </w:rPr>
              <w:t>Academy</w:t>
            </w:r>
            <w:r w:rsidR="00DE2293" w:rsidRPr="000C2BCA">
              <w:rPr>
                <w:rFonts w:asciiTheme="minorHAnsi" w:hAnsiTheme="minorHAnsi" w:cstheme="minorHAnsi"/>
                <w:iCs/>
                <w:color w:val="auto"/>
                <w:sz w:val="22"/>
                <w:szCs w:val="22"/>
              </w:rPr>
              <w:t xml:space="preserve"> </w:t>
            </w:r>
            <w:r w:rsidR="00DE2293" w:rsidRPr="00A46114">
              <w:rPr>
                <w:rFonts w:asciiTheme="minorHAnsi" w:hAnsiTheme="minorHAnsi" w:cstheme="minorHAnsi"/>
                <w:iCs/>
                <w:color w:val="auto"/>
                <w:sz w:val="22"/>
                <w:szCs w:val="22"/>
              </w:rPr>
              <w:t>(</w:t>
            </w:r>
            <w:r w:rsidR="00A46114" w:rsidRPr="00A46114">
              <w:rPr>
                <w:rFonts w:asciiTheme="minorHAnsi" w:hAnsiTheme="minorHAnsi" w:cstheme="minorHAnsi"/>
                <w:iCs/>
                <w:color w:val="auto"/>
                <w:sz w:val="22"/>
                <w:szCs w:val="22"/>
              </w:rPr>
              <w:t>72</w:t>
            </w:r>
            <w:r w:rsidR="00485B20" w:rsidRPr="00A46114">
              <w:rPr>
                <w:rFonts w:asciiTheme="minorHAnsi" w:hAnsiTheme="minorHAnsi" w:cstheme="minorHAnsi"/>
                <w:iCs/>
                <w:color w:val="auto"/>
                <w:sz w:val="22"/>
                <w:szCs w:val="22"/>
              </w:rPr>
              <w:t xml:space="preserve">%) </w:t>
            </w:r>
            <w:r w:rsidR="00485B20" w:rsidRPr="007D777A">
              <w:rPr>
                <w:rFonts w:asciiTheme="minorHAnsi" w:hAnsiTheme="minorHAnsi" w:cstheme="minorHAnsi"/>
                <w:iCs/>
                <w:color w:val="auto"/>
                <w:sz w:val="22"/>
                <w:szCs w:val="22"/>
              </w:rPr>
              <w:t>of our pupils attract extra funding through pupil prem</w:t>
            </w:r>
            <w:r w:rsidR="0023648A" w:rsidRPr="007D777A">
              <w:rPr>
                <w:rFonts w:asciiTheme="minorHAnsi" w:hAnsiTheme="minorHAnsi" w:cstheme="minorHAnsi"/>
                <w:iCs/>
                <w:color w:val="auto"/>
                <w:sz w:val="22"/>
                <w:szCs w:val="22"/>
              </w:rPr>
              <w:t>i</w:t>
            </w:r>
            <w:r w:rsidR="00485B20" w:rsidRPr="007D777A">
              <w:rPr>
                <w:rFonts w:asciiTheme="minorHAnsi" w:hAnsiTheme="minorHAnsi" w:cstheme="minorHAnsi"/>
                <w:iCs/>
                <w:color w:val="auto"/>
                <w:sz w:val="22"/>
                <w:szCs w:val="22"/>
              </w:rPr>
              <w:t xml:space="preserve">um. </w:t>
            </w:r>
            <w:r w:rsidR="00D06612">
              <w:rPr>
                <w:rFonts w:asciiTheme="minorHAnsi" w:hAnsiTheme="minorHAnsi" w:cstheme="minorHAnsi"/>
                <w:iCs/>
                <w:color w:val="auto"/>
                <w:sz w:val="22"/>
                <w:szCs w:val="22"/>
              </w:rPr>
              <w:t xml:space="preserve">This is compared </w:t>
            </w:r>
            <w:r w:rsidR="00CE28F9">
              <w:rPr>
                <w:rFonts w:asciiTheme="minorHAnsi" w:hAnsiTheme="minorHAnsi" w:cstheme="minorHAnsi"/>
                <w:iCs/>
                <w:color w:val="auto"/>
                <w:sz w:val="22"/>
                <w:szCs w:val="22"/>
              </w:rPr>
              <w:t xml:space="preserve">to around </w:t>
            </w:r>
            <w:r w:rsidR="00CE28F9" w:rsidRPr="00A46114">
              <w:rPr>
                <w:rFonts w:asciiTheme="minorHAnsi" w:hAnsiTheme="minorHAnsi" w:cstheme="minorHAnsi"/>
                <w:iCs/>
                <w:color w:val="auto"/>
                <w:sz w:val="22"/>
                <w:szCs w:val="22"/>
              </w:rPr>
              <w:t>25%</w:t>
            </w:r>
            <w:r w:rsidR="00CE28F9" w:rsidRPr="00C80139">
              <w:rPr>
                <w:rFonts w:asciiTheme="minorHAnsi" w:hAnsiTheme="minorHAnsi" w:cstheme="minorHAnsi"/>
                <w:iCs/>
                <w:color w:val="FF0000"/>
                <w:sz w:val="22"/>
                <w:szCs w:val="22"/>
              </w:rPr>
              <w:t xml:space="preserve"> </w:t>
            </w:r>
            <w:r w:rsidR="00CE28F9">
              <w:rPr>
                <w:rFonts w:asciiTheme="minorHAnsi" w:hAnsiTheme="minorHAnsi" w:cstheme="minorHAnsi"/>
                <w:iCs/>
                <w:color w:val="auto"/>
                <w:sz w:val="22"/>
                <w:szCs w:val="22"/>
              </w:rPr>
              <w:t xml:space="preserve">nationally. This means our school has a significantly </w:t>
            </w:r>
            <w:r w:rsidR="00C350CE">
              <w:rPr>
                <w:rFonts w:asciiTheme="minorHAnsi" w:hAnsiTheme="minorHAnsi" w:cstheme="minorHAnsi"/>
                <w:iCs/>
                <w:color w:val="auto"/>
                <w:sz w:val="22"/>
                <w:szCs w:val="22"/>
              </w:rPr>
              <w:t>above average proportion of Pupil Premium children. Rather than being a m</w:t>
            </w:r>
            <w:r w:rsidR="001C02C2">
              <w:rPr>
                <w:rFonts w:asciiTheme="minorHAnsi" w:hAnsiTheme="minorHAnsi" w:cstheme="minorHAnsi"/>
                <w:iCs/>
                <w:color w:val="auto"/>
                <w:sz w:val="22"/>
                <w:szCs w:val="22"/>
              </w:rPr>
              <w:t xml:space="preserve">inority, as it is in most schools. </w:t>
            </w:r>
            <w:r w:rsidR="00386584" w:rsidRPr="007D777A">
              <w:rPr>
                <w:rFonts w:asciiTheme="minorHAnsi" w:hAnsiTheme="minorHAnsi" w:cstheme="minorHAnsi"/>
                <w:iCs/>
                <w:color w:val="auto"/>
                <w:sz w:val="22"/>
                <w:szCs w:val="22"/>
              </w:rPr>
              <w:t xml:space="preserve">The focus of our Pupil Premium Strategy </w:t>
            </w:r>
            <w:r w:rsidR="004656D7" w:rsidRPr="007D777A">
              <w:rPr>
                <w:rFonts w:asciiTheme="minorHAnsi" w:hAnsiTheme="minorHAnsi" w:cstheme="minorHAnsi"/>
                <w:iCs/>
                <w:color w:val="auto"/>
                <w:sz w:val="22"/>
                <w:szCs w:val="22"/>
              </w:rPr>
              <w:t xml:space="preserve">is </w:t>
            </w:r>
            <w:r w:rsidR="00376697" w:rsidRPr="007D777A">
              <w:rPr>
                <w:rFonts w:asciiTheme="minorHAnsi" w:hAnsiTheme="minorHAnsi" w:cstheme="minorHAnsi"/>
                <w:iCs/>
                <w:color w:val="auto"/>
                <w:sz w:val="22"/>
                <w:szCs w:val="22"/>
              </w:rPr>
              <w:t xml:space="preserve">to </w:t>
            </w:r>
            <w:r w:rsidR="004D25A8" w:rsidRPr="007D777A">
              <w:rPr>
                <w:rFonts w:asciiTheme="minorHAnsi" w:hAnsiTheme="minorHAnsi" w:cstheme="minorHAnsi"/>
                <w:iCs/>
                <w:color w:val="auto"/>
                <w:sz w:val="22"/>
                <w:szCs w:val="22"/>
              </w:rPr>
              <w:t>narrow the attainment and achievement gap between thos</w:t>
            </w:r>
            <w:r w:rsidR="003B327D" w:rsidRPr="007D777A">
              <w:rPr>
                <w:rFonts w:asciiTheme="minorHAnsi" w:hAnsiTheme="minorHAnsi" w:cstheme="minorHAnsi"/>
                <w:iCs/>
                <w:color w:val="auto"/>
                <w:sz w:val="22"/>
                <w:szCs w:val="22"/>
              </w:rPr>
              <w:t xml:space="preserve">e entitled to Pupil Premium and those not. </w:t>
            </w:r>
            <w:r>
              <w:rPr>
                <w:rFonts w:asciiTheme="minorHAnsi" w:hAnsiTheme="minorHAnsi" w:cstheme="minorHAnsi"/>
                <w:iCs/>
                <w:color w:val="auto"/>
                <w:sz w:val="22"/>
                <w:szCs w:val="22"/>
              </w:rPr>
              <w:t>G</w:t>
            </w:r>
            <w:r w:rsidR="00923F32" w:rsidRPr="00B437ED">
              <w:rPr>
                <w:rFonts w:asciiTheme="minorHAnsi" w:hAnsiTheme="minorHAnsi" w:cstheme="minorHAnsi"/>
                <w:iCs/>
                <w:color w:val="auto"/>
                <w:sz w:val="22"/>
                <w:szCs w:val="22"/>
              </w:rPr>
              <w:t xml:space="preserve">aining a thorough knowledge of our disadvantaged pupils’ levels of attainment </w:t>
            </w:r>
            <w:r w:rsidR="004604DF">
              <w:rPr>
                <w:rFonts w:asciiTheme="minorHAnsi" w:hAnsiTheme="minorHAnsi" w:cstheme="minorHAnsi"/>
                <w:iCs/>
                <w:color w:val="auto"/>
                <w:sz w:val="22"/>
                <w:szCs w:val="22"/>
              </w:rPr>
              <w:t>is</w:t>
            </w:r>
            <w:r w:rsidR="00923F32" w:rsidRPr="00B437ED">
              <w:rPr>
                <w:rFonts w:asciiTheme="minorHAnsi" w:hAnsiTheme="minorHAnsi" w:cstheme="minorHAnsi"/>
                <w:iCs/>
                <w:color w:val="auto"/>
                <w:sz w:val="22"/>
                <w:szCs w:val="22"/>
              </w:rPr>
              <w:t xml:space="preserve"> the first step in developing </w:t>
            </w:r>
            <w:r w:rsidR="00C6064F">
              <w:rPr>
                <w:rFonts w:asciiTheme="minorHAnsi" w:hAnsiTheme="minorHAnsi" w:cstheme="minorHAnsi"/>
                <w:iCs/>
                <w:color w:val="auto"/>
                <w:sz w:val="22"/>
                <w:szCs w:val="22"/>
              </w:rPr>
              <w:t xml:space="preserve">our </w:t>
            </w:r>
            <w:r w:rsidR="00923F32" w:rsidRPr="00B437ED">
              <w:rPr>
                <w:rFonts w:asciiTheme="minorHAnsi" w:hAnsiTheme="minorHAnsi" w:cstheme="minorHAnsi"/>
                <w:iCs/>
                <w:color w:val="auto"/>
                <w:sz w:val="22"/>
                <w:szCs w:val="22"/>
              </w:rPr>
              <w:t>effective pupil premium strategy.</w:t>
            </w:r>
            <w:r w:rsidR="00205D4D">
              <w:rPr>
                <w:rFonts w:asciiTheme="minorHAnsi" w:hAnsiTheme="minorHAnsi" w:cstheme="minorHAnsi"/>
                <w:iCs/>
                <w:color w:val="auto"/>
                <w:sz w:val="22"/>
                <w:szCs w:val="22"/>
              </w:rPr>
              <w:t xml:space="preserve"> </w:t>
            </w:r>
          </w:p>
          <w:p w14:paraId="686DEC20" w14:textId="65C88C72" w:rsidR="00205D4D" w:rsidRPr="00205D4D" w:rsidRDefault="00205D4D" w:rsidP="00B63571">
            <w:pPr>
              <w:suppressAutoHyphens w:val="0"/>
              <w:autoSpaceDN/>
              <w:spacing w:after="160" w:line="240" w:lineRule="auto"/>
              <w:rPr>
                <w:rFonts w:asciiTheme="minorHAnsi" w:hAnsiTheme="minorHAnsi" w:cstheme="minorHAnsi"/>
                <w:iCs/>
                <w:color w:val="auto"/>
                <w:sz w:val="22"/>
                <w:szCs w:val="22"/>
              </w:rPr>
            </w:pPr>
            <w:r>
              <w:rPr>
                <w:rFonts w:asciiTheme="minorHAnsi" w:hAnsiTheme="minorHAnsi" w:cstheme="minorHAnsi"/>
                <w:iCs/>
                <w:noProof/>
                <w:color w:val="auto"/>
                <w:sz w:val="22"/>
                <w:szCs w:val="22"/>
              </w:rPr>
              <w:drawing>
                <wp:anchor distT="0" distB="0" distL="114300" distR="114300" simplePos="0" relativeHeight="251658240" behindDoc="1" locked="0" layoutInCell="1" allowOverlap="1" wp14:anchorId="28624105" wp14:editId="0074EAEF">
                  <wp:simplePos x="0" y="0"/>
                  <wp:positionH relativeFrom="column">
                    <wp:posOffset>3124134</wp:posOffset>
                  </wp:positionH>
                  <wp:positionV relativeFrom="paragraph">
                    <wp:posOffset>358710</wp:posOffset>
                  </wp:positionV>
                  <wp:extent cx="2588895" cy="2764155"/>
                  <wp:effectExtent l="0" t="0" r="1905" b="4445"/>
                  <wp:wrapTight wrapText="bothSides">
                    <wp:wrapPolygon edited="0">
                      <wp:start x="0" y="0"/>
                      <wp:lineTo x="0" y="21535"/>
                      <wp:lineTo x="21510" y="21535"/>
                      <wp:lineTo x="21510" y="0"/>
                      <wp:lineTo x="0" y="0"/>
                    </wp:wrapPolygon>
                  </wp:wrapTight>
                  <wp:docPr id="1091973424" name="Picture 1" descr="A diagram of a diagram of a teac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73424" name="Picture 1" descr="A diagram of a diagram of a teach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8895" cy="2764155"/>
                          </a:xfrm>
                          <a:prstGeom prst="rect">
                            <a:avLst/>
                          </a:prstGeom>
                        </pic:spPr>
                      </pic:pic>
                    </a:graphicData>
                  </a:graphic>
                  <wp14:sizeRelH relativeFrom="page">
                    <wp14:pctWidth>0</wp14:pctWidth>
                  </wp14:sizeRelH>
                  <wp14:sizeRelV relativeFrom="page">
                    <wp14:pctHeight>0</wp14:pctHeight>
                  </wp14:sizeRelV>
                </wp:anchor>
              </w:drawing>
            </w:r>
            <w:r w:rsidRPr="00205D4D">
              <w:rPr>
                <w:rFonts w:asciiTheme="minorHAnsi" w:hAnsiTheme="minorHAnsi" w:cstheme="minorHAnsi"/>
                <w:sz w:val="22"/>
                <w:szCs w:val="22"/>
              </w:rPr>
              <w:t>Data from the Income Deprivation Affecting Children Index (IDACI)</w:t>
            </w:r>
            <w:r>
              <w:rPr>
                <w:rFonts w:asciiTheme="minorHAnsi" w:hAnsiTheme="minorHAnsi" w:cstheme="minorHAnsi"/>
                <w:sz w:val="22"/>
                <w:szCs w:val="22"/>
              </w:rPr>
              <w:t xml:space="preserve"> </w:t>
            </w:r>
            <w:r w:rsidRPr="00205D4D">
              <w:rPr>
                <w:rFonts w:asciiTheme="minorHAnsi" w:hAnsiTheme="minorHAnsi" w:cstheme="minorHAnsi"/>
                <w:sz w:val="22"/>
                <w:szCs w:val="22"/>
              </w:rPr>
              <w:t>shows that the neighbourhood that the school serves is amongst the 5% most deprived neighbourhoods</w:t>
            </w:r>
            <w:r>
              <w:rPr>
                <w:rFonts w:asciiTheme="minorHAnsi" w:hAnsiTheme="minorHAnsi" w:cstheme="minorHAnsi"/>
                <w:sz w:val="22"/>
                <w:szCs w:val="22"/>
              </w:rPr>
              <w:t xml:space="preserve"> </w:t>
            </w:r>
            <w:r w:rsidRPr="00205D4D">
              <w:rPr>
                <w:rFonts w:asciiTheme="minorHAnsi" w:hAnsiTheme="minorHAnsi" w:cstheme="minorHAnsi"/>
                <w:sz w:val="22"/>
                <w:szCs w:val="22"/>
              </w:rPr>
              <w:t>in the country</w:t>
            </w:r>
          </w:p>
          <w:p w14:paraId="23A58B59" w14:textId="77777777" w:rsidR="00205D4D" w:rsidRDefault="00205D4D" w:rsidP="00B63571">
            <w:pPr>
              <w:suppressAutoHyphens w:val="0"/>
              <w:autoSpaceDN/>
              <w:spacing w:after="160" w:line="240" w:lineRule="auto"/>
              <w:rPr>
                <w:rFonts w:asciiTheme="minorHAnsi" w:hAnsiTheme="minorHAnsi" w:cstheme="minorHAnsi"/>
                <w:iCs/>
                <w:color w:val="auto"/>
                <w:sz w:val="22"/>
                <w:szCs w:val="22"/>
              </w:rPr>
            </w:pPr>
          </w:p>
          <w:p w14:paraId="078B88BF" w14:textId="77777777" w:rsidR="00D070D2" w:rsidRPr="00D070D2" w:rsidRDefault="00C6064F" w:rsidP="00B63571">
            <w:pPr>
              <w:pStyle w:val="NoSpacing"/>
              <w:rPr>
                <w:rFonts w:asciiTheme="minorHAnsi" w:hAnsiTheme="minorHAnsi" w:cstheme="minorHAnsi"/>
                <w:sz w:val="22"/>
                <w:szCs w:val="22"/>
              </w:rPr>
            </w:pPr>
            <w:r w:rsidRPr="00D070D2">
              <w:rPr>
                <w:rFonts w:asciiTheme="minorHAnsi" w:hAnsiTheme="minorHAnsi" w:cstheme="minorHAnsi"/>
                <w:sz w:val="22"/>
                <w:szCs w:val="22"/>
              </w:rPr>
              <w:t>We will look at the following data:</w:t>
            </w:r>
          </w:p>
          <w:p w14:paraId="03A70A55" w14:textId="09C26570" w:rsidR="009151C7" w:rsidRDefault="009151C7" w:rsidP="00B63571">
            <w:pPr>
              <w:pStyle w:val="NoSpacing"/>
              <w:numPr>
                <w:ilvl w:val="0"/>
                <w:numId w:val="24"/>
              </w:numPr>
              <w:rPr>
                <w:rFonts w:asciiTheme="minorHAnsi" w:hAnsiTheme="minorHAnsi" w:cstheme="minorHAnsi"/>
                <w:sz w:val="22"/>
                <w:szCs w:val="22"/>
              </w:rPr>
            </w:pPr>
            <w:r>
              <w:rPr>
                <w:rFonts w:asciiTheme="minorHAnsi" w:hAnsiTheme="minorHAnsi" w:cstheme="minorHAnsi"/>
                <w:sz w:val="22"/>
                <w:szCs w:val="22"/>
              </w:rPr>
              <w:t>Narrowing the Gap plans for the core subjects</w:t>
            </w:r>
          </w:p>
          <w:p w14:paraId="303C64A5" w14:textId="00E59C3A" w:rsidR="0094463D" w:rsidRPr="00D070D2" w:rsidRDefault="0094463D" w:rsidP="00B63571">
            <w:pPr>
              <w:pStyle w:val="NoSpacing"/>
              <w:numPr>
                <w:ilvl w:val="0"/>
                <w:numId w:val="24"/>
              </w:numPr>
              <w:rPr>
                <w:rFonts w:asciiTheme="minorHAnsi" w:hAnsiTheme="minorHAnsi" w:cstheme="minorHAnsi"/>
                <w:sz w:val="22"/>
                <w:szCs w:val="22"/>
              </w:rPr>
            </w:pPr>
            <w:r w:rsidRPr="00D070D2">
              <w:rPr>
                <w:rFonts w:asciiTheme="minorHAnsi" w:hAnsiTheme="minorHAnsi" w:cstheme="minorHAnsi"/>
                <w:sz w:val="22"/>
                <w:szCs w:val="22"/>
              </w:rPr>
              <w:t xml:space="preserve">Attendance </w:t>
            </w:r>
            <w:proofErr w:type="gramStart"/>
            <w:r w:rsidRPr="00D070D2">
              <w:rPr>
                <w:rFonts w:asciiTheme="minorHAnsi" w:hAnsiTheme="minorHAnsi" w:cstheme="minorHAnsi"/>
                <w:sz w:val="22"/>
                <w:szCs w:val="22"/>
              </w:rPr>
              <w:t>data;</w:t>
            </w:r>
            <w:proofErr w:type="gramEnd"/>
            <w:r w:rsidRPr="00D070D2">
              <w:rPr>
                <w:rFonts w:asciiTheme="minorHAnsi" w:hAnsiTheme="minorHAnsi" w:cstheme="minorHAnsi"/>
                <w:sz w:val="22"/>
                <w:szCs w:val="22"/>
              </w:rPr>
              <w:t xml:space="preserve"> </w:t>
            </w:r>
          </w:p>
          <w:p w14:paraId="1ABCAE08" w14:textId="033D3102" w:rsidR="0094463D" w:rsidRPr="00D070D2" w:rsidRDefault="0094463D" w:rsidP="00B63571">
            <w:pPr>
              <w:pStyle w:val="NoSpacing"/>
              <w:numPr>
                <w:ilvl w:val="0"/>
                <w:numId w:val="24"/>
              </w:numPr>
              <w:rPr>
                <w:rFonts w:asciiTheme="minorHAnsi" w:hAnsiTheme="minorHAnsi" w:cstheme="minorHAnsi"/>
                <w:sz w:val="22"/>
                <w:szCs w:val="22"/>
              </w:rPr>
            </w:pPr>
            <w:r w:rsidRPr="00D070D2">
              <w:rPr>
                <w:rFonts w:asciiTheme="minorHAnsi" w:hAnsiTheme="minorHAnsi" w:cstheme="minorHAnsi"/>
                <w:sz w:val="22"/>
                <w:szCs w:val="22"/>
              </w:rPr>
              <w:t xml:space="preserve">Teacher feedback on pupils’ levels of engagement and </w:t>
            </w:r>
            <w:proofErr w:type="gramStart"/>
            <w:r w:rsidRPr="00D070D2">
              <w:rPr>
                <w:rFonts w:asciiTheme="minorHAnsi" w:hAnsiTheme="minorHAnsi" w:cstheme="minorHAnsi"/>
                <w:sz w:val="22"/>
                <w:szCs w:val="22"/>
              </w:rPr>
              <w:t>participation;</w:t>
            </w:r>
            <w:proofErr w:type="gramEnd"/>
            <w:r w:rsidRPr="00D070D2">
              <w:rPr>
                <w:rFonts w:asciiTheme="minorHAnsi" w:hAnsiTheme="minorHAnsi" w:cstheme="minorHAnsi"/>
                <w:sz w:val="22"/>
                <w:szCs w:val="22"/>
              </w:rPr>
              <w:t xml:space="preserve"> </w:t>
            </w:r>
          </w:p>
          <w:p w14:paraId="1ECF2BC8" w14:textId="5D8DBD9E" w:rsidR="0094463D" w:rsidRPr="00D070D2" w:rsidRDefault="0094463D" w:rsidP="00B63571">
            <w:pPr>
              <w:pStyle w:val="NoSpacing"/>
              <w:numPr>
                <w:ilvl w:val="0"/>
                <w:numId w:val="24"/>
              </w:numPr>
              <w:rPr>
                <w:rFonts w:asciiTheme="minorHAnsi" w:hAnsiTheme="minorHAnsi" w:cstheme="minorHAnsi"/>
                <w:sz w:val="22"/>
                <w:szCs w:val="22"/>
              </w:rPr>
            </w:pPr>
            <w:r w:rsidRPr="00D070D2">
              <w:rPr>
                <w:rFonts w:asciiTheme="minorHAnsi" w:hAnsiTheme="minorHAnsi" w:cstheme="minorHAnsi"/>
                <w:sz w:val="22"/>
                <w:szCs w:val="22"/>
              </w:rPr>
              <w:t xml:space="preserve">Behaviour incidences and exclusions </w:t>
            </w:r>
            <w:proofErr w:type="gramStart"/>
            <w:r w:rsidRPr="00D070D2">
              <w:rPr>
                <w:rFonts w:asciiTheme="minorHAnsi" w:hAnsiTheme="minorHAnsi" w:cstheme="minorHAnsi"/>
                <w:sz w:val="22"/>
                <w:szCs w:val="22"/>
              </w:rPr>
              <w:t>data;</w:t>
            </w:r>
            <w:proofErr w:type="gramEnd"/>
            <w:r w:rsidRPr="00D070D2">
              <w:rPr>
                <w:rFonts w:asciiTheme="minorHAnsi" w:hAnsiTheme="minorHAnsi" w:cstheme="minorHAnsi"/>
                <w:sz w:val="22"/>
                <w:szCs w:val="22"/>
              </w:rPr>
              <w:t xml:space="preserve"> </w:t>
            </w:r>
          </w:p>
          <w:p w14:paraId="08767E09" w14:textId="21B03077" w:rsidR="0094463D" w:rsidRPr="00C6064F" w:rsidRDefault="0094463D" w:rsidP="00B63571">
            <w:pPr>
              <w:pStyle w:val="NoSpacing"/>
              <w:numPr>
                <w:ilvl w:val="0"/>
                <w:numId w:val="24"/>
              </w:numPr>
            </w:pPr>
            <w:r w:rsidRPr="00D070D2">
              <w:rPr>
                <w:rFonts w:asciiTheme="minorHAnsi" w:hAnsiTheme="minorHAnsi" w:cstheme="minorHAnsi"/>
                <w:sz w:val="22"/>
                <w:szCs w:val="22"/>
              </w:rPr>
              <w:t>Information on wellbeing, mental health</w:t>
            </w:r>
            <w:r w:rsidRPr="00C6064F">
              <w:t xml:space="preserve"> </w:t>
            </w:r>
            <w:r w:rsidRPr="00D070D2">
              <w:rPr>
                <w:rFonts w:asciiTheme="minorHAnsi" w:hAnsiTheme="minorHAnsi" w:cstheme="minorHAnsi"/>
                <w:sz w:val="22"/>
                <w:szCs w:val="22"/>
              </w:rPr>
              <w:t xml:space="preserve">and </w:t>
            </w:r>
            <w:proofErr w:type="gramStart"/>
            <w:r w:rsidRPr="00D070D2">
              <w:rPr>
                <w:rFonts w:asciiTheme="minorHAnsi" w:hAnsiTheme="minorHAnsi" w:cstheme="minorHAnsi"/>
                <w:sz w:val="22"/>
                <w:szCs w:val="22"/>
              </w:rPr>
              <w:t>safeguarding;</w:t>
            </w:r>
            <w:proofErr w:type="gramEnd"/>
            <w:r w:rsidRPr="00C6064F">
              <w:t xml:space="preserve"> </w:t>
            </w:r>
          </w:p>
          <w:p w14:paraId="71B9DCB6" w14:textId="7F401C72" w:rsidR="0094463D" w:rsidRDefault="0094463D" w:rsidP="00B63571">
            <w:pPr>
              <w:pStyle w:val="NoSpacing"/>
              <w:numPr>
                <w:ilvl w:val="0"/>
                <w:numId w:val="24"/>
              </w:numPr>
              <w:rPr>
                <w:rFonts w:asciiTheme="minorHAnsi" w:hAnsiTheme="minorHAnsi" w:cstheme="minorHAnsi"/>
                <w:sz w:val="22"/>
                <w:szCs w:val="22"/>
              </w:rPr>
            </w:pPr>
            <w:r w:rsidRPr="00C6064F">
              <w:rPr>
                <w:rFonts w:asciiTheme="minorHAnsi" w:hAnsiTheme="minorHAnsi" w:cstheme="minorHAnsi"/>
                <w:sz w:val="22"/>
                <w:szCs w:val="22"/>
              </w:rPr>
              <w:t>Access to technology and curricular materials.</w:t>
            </w:r>
          </w:p>
          <w:p w14:paraId="6241EB6D" w14:textId="77777777" w:rsidR="00D070D2" w:rsidRPr="00C6064F" w:rsidRDefault="00D070D2" w:rsidP="00B63571">
            <w:pPr>
              <w:pStyle w:val="NoSpacing"/>
              <w:rPr>
                <w:rFonts w:asciiTheme="minorHAnsi" w:hAnsiTheme="minorHAnsi" w:cstheme="minorHAnsi"/>
                <w:sz w:val="22"/>
                <w:szCs w:val="22"/>
              </w:rPr>
            </w:pPr>
          </w:p>
          <w:p w14:paraId="2CD66DA4" w14:textId="271B95C8" w:rsidR="00C6064F" w:rsidRDefault="00C6064F" w:rsidP="00B63571">
            <w:pPr>
              <w:suppressAutoHyphens w:val="0"/>
              <w:autoSpaceDN/>
              <w:spacing w:after="160" w:line="240" w:lineRule="auto"/>
              <w:rPr>
                <w:rFonts w:asciiTheme="minorHAnsi" w:hAnsiTheme="minorHAnsi" w:cstheme="minorHAnsi"/>
                <w:iCs/>
                <w:color w:val="auto"/>
                <w:sz w:val="22"/>
                <w:szCs w:val="22"/>
              </w:rPr>
            </w:pPr>
            <w:r>
              <w:rPr>
                <w:rFonts w:asciiTheme="minorHAnsi" w:hAnsiTheme="minorHAnsi" w:cstheme="minorHAnsi"/>
                <w:iCs/>
                <w:color w:val="auto"/>
                <w:sz w:val="22"/>
                <w:szCs w:val="22"/>
              </w:rPr>
              <w:t xml:space="preserve">The belief that all eligible children should be positively impacted by this strategy has influenced our planning.  </w:t>
            </w:r>
            <w:r w:rsidR="00D070D2">
              <w:rPr>
                <w:rFonts w:asciiTheme="minorHAnsi" w:hAnsiTheme="minorHAnsi" w:cstheme="minorHAnsi"/>
                <w:iCs/>
                <w:color w:val="auto"/>
                <w:sz w:val="22"/>
                <w:szCs w:val="22"/>
              </w:rPr>
              <w:t xml:space="preserve">We have considered the evidence for the Education Endowment Foundation (EEF) and their research into successful practice in other schools. We have also taken on board the impact of strategies used previously within our own school.  </w:t>
            </w:r>
          </w:p>
          <w:p w14:paraId="5FCD0DF7" w14:textId="76E261A2" w:rsidR="00362D41" w:rsidRDefault="00D070D2" w:rsidP="00B63571">
            <w:pPr>
              <w:suppressAutoHyphens w:val="0"/>
              <w:autoSpaceDN/>
              <w:spacing w:after="160" w:line="240" w:lineRule="auto"/>
              <w:rPr>
                <w:rFonts w:asciiTheme="minorHAnsi" w:hAnsiTheme="minorHAnsi" w:cstheme="minorHAnsi"/>
                <w:iCs/>
                <w:color w:val="auto"/>
                <w:sz w:val="22"/>
                <w:szCs w:val="22"/>
              </w:rPr>
            </w:pPr>
            <w:r>
              <w:rPr>
                <w:rFonts w:asciiTheme="minorHAnsi" w:hAnsiTheme="minorHAnsi" w:cstheme="minorHAnsi"/>
                <w:iCs/>
                <w:color w:val="auto"/>
                <w:sz w:val="22"/>
                <w:szCs w:val="22"/>
              </w:rPr>
              <w:t>As recommended by the EEF</w:t>
            </w:r>
            <w:r w:rsidR="00B32C39">
              <w:rPr>
                <w:rFonts w:asciiTheme="minorHAnsi" w:hAnsiTheme="minorHAnsi" w:cstheme="minorHAnsi"/>
                <w:iCs/>
                <w:color w:val="auto"/>
                <w:sz w:val="22"/>
                <w:szCs w:val="22"/>
              </w:rPr>
              <w:t xml:space="preserve">, we have adopted </w:t>
            </w:r>
            <w:r w:rsidR="00362D41">
              <w:rPr>
                <w:rFonts w:asciiTheme="minorHAnsi" w:hAnsiTheme="minorHAnsi" w:cstheme="minorHAnsi"/>
                <w:iCs/>
                <w:color w:val="auto"/>
                <w:sz w:val="22"/>
                <w:szCs w:val="22"/>
              </w:rPr>
              <w:t>a tiered approach to Pupil Premium spending which helps school to balance approaches to improving teaching, targeted academic support, and wider strategies.</w:t>
            </w:r>
            <w:r w:rsidR="00BE7624">
              <w:rPr>
                <w:rFonts w:asciiTheme="minorHAnsi" w:hAnsiTheme="minorHAnsi" w:cstheme="minorHAnsi"/>
                <w:iCs/>
                <w:color w:val="auto"/>
                <w:sz w:val="22"/>
                <w:szCs w:val="22"/>
              </w:rPr>
              <w:t xml:space="preserve"> School will ensure an effective teacher is in front of every class, and that every teacher is supported to keep improving.</w:t>
            </w:r>
          </w:p>
          <w:p w14:paraId="2A7D54E9" w14:textId="667FBD2F" w:rsidR="00402D6C" w:rsidRPr="00402D6C" w:rsidRDefault="00BE7624" w:rsidP="00B63571">
            <w:pPr>
              <w:suppressAutoHyphens w:val="0"/>
              <w:autoSpaceDN/>
              <w:spacing w:after="160" w:line="240" w:lineRule="auto"/>
              <w:rPr>
                <w:rFonts w:asciiTheme="minorHAnsi" w:hAnsiTheme="minorHAnsi" w:cstheme="minorHAnsi"/>
                <w:iCs/>
                <w:color w:val="auto"/>
              </w:rPr>
            </w:pPr>
            <w:r>
              <w:rPr>
                <w:rFonts w:asciiTheme="minorHAnsi" w:hAnsiTheme="minorHAnsi" w:cstheme="minorHAnsi"/>
                <w:iCs/>
                <w:color w:val="auto"/>
                <w:sz w:val="16"/>
                <w:szCs w:val="16"/>
              </w:rPr>
              <w:t xml:space="preserve">* </w:t>
            </w:r>
            <w:r w:rsidR="00402D6C" w:rsidRPr="00BE7624">
              <w:rPr>
                <w:rFonts w:asciiTheme="minorHAnsi" w:hAnsiTheme="minorHAnsi" w:cstheme="minorHAnsi"/>
                <w:iCs/>
                <w:color w:val="auto"/>
                <w:sz w:val="16"/>
                <w:szCs w:val="16"/>
              </w:rPr>
              <w:t>The Pupil Premium Grant (PPG) is a government initiative that is allocated to Local Authorities and schools with pupils who are eligible for free school meals (FSM), children who have been Looked After (LAC) by the Local Authority and children from a service family.</w:t>
            </w:r>
          </w:p>
        </w:tc>
      </w:tr>
    </w:tbl>
    <w:p w14:paraId="11EA6CD8" w14:textId="77777777" w:rsidR="00B63571" w:rsidRDefault="00B63571" w:rsidP="00B63571">
      <w:pPr>
        <w:pStyle w:val="Heading2"/>
        <w:spacing w:before="0" w:after="0"/>
        <w:rPr>
          <w:rFonts w:asciiTheme="minorHAnsi" w:hAnsiTheme="minorHAnsi" w:cstheme="minorHAnsi"/>
          <w:color w:val="auto"/>
        </w:rPr>
      </w:pPr>
    </w:p>
    <w:p w14:paraId="646D913A" w14:textId="77777777" w:rsidR="00B63571" w:rsidRDefault="00B63571" w:rsidP="00B63571">
      <w:pPr>
        <w:pStyle w:val="Heading2"/>
        <w:spacing w:before="0" w:after="0"/>
        <w:rPr>
          <w:rFonts w:asciiTheme="minorHAnsi" w:hAnsiTheme="minorHAnsi" w:cstheme="minorHAnsi"/>
          <w:color w:val="auto"/>
        </w:rPr>
      </w:pPr>
    </w:p>
    <w:p w14:paraId="5D87C52C" w14:textId="77777777" w:rsidR="00B63571" w:rsidRDefault="00B63571" w:rsidP="00B63571">
      <w:pPr>
        <w:pStyle w:val="Heading2"/>
        <w:spacing w:before="0"/>
        <w:rPr>
          <w:rFonts w:asciiTheme="minorHAnsi" w:hAnsiTheme="minorHAnsi" w:cstheme="minorHAnsi"/>
          <w:color w:val="auto"/>
        </w:rPr>
      </w:pPr>
    </w:p>
    <w:p w14:paraId="6FE47C1B" w14:textId="77777777" w:rsidR="00B63571" w:rsidRDefault="00B63571" w:rsidP="00B63571"/>
    <w:p w14:paraId="0526265B" w14:textId="77777777" w:rsidR="00B63571" w:rsidRDefault="00B63571" w:rsidP="00B63571"/>
    <w:p w14:paraId="399014E9" w14:textId="77777777" w:rsidR="006F7576" w:rsidRPr="00B63571" w:rsidRDefault="006F7576" w:rsidP="00B63571"/>
    <w:p w14:paraId="2A7D54EB" w14:textId="320AA5CF" w:rsidR="00E66558" w:rsidRPr="007D777A" w:rsidRDefault="009D71E8">
      <w:pPr>
        <w:pStyle w:val="Heading2"/>
        <w:spacing w:before="600"/>
        <w:rPr>
          <w:rFonts w:asciiTheme="minorHAnsi" w:hAnsiTheme="minorHAnsi" w:cstheme="minorHAnsi"/>
          <w:color w:val="auto"/>
        </w:rPr>
      </w:pPr>
      <w:r w:rsidRPr="007D777A">
        <w:rPr>
          <w:rFonts w:asciiTheme="minorHAnsi" w:hAnsiTheme="minorHAnsi" w:cstheme="minorHAnsi"/>
          <w:color w:val="auto"/>
        </w:rPr>
        <w:lastRenderedPageBreak/>
        <w:t>Challenges</w:t>
      </w:r>
    </w:p>
    <w:p w14:paraId="2A7D54EC" w14:textId="77777777" w:rsidR="00E66558" w:rsidRPr="007D777A" w:rsidRDefault="009D71E8">
      <w:pPr>
        <w:spacing w:before="120" w:line="240" w:lineRule="auto"/>
        <w:textAlignment w:val="baseline"/>
        <w:outlineLvl w:val="0"/>
        <w:rPr>
          <w:rFonts w:asciiTheme="minorHAnsi" w:hAnsiTheme="minorHAnsi" w:cstheme="minorHAnsi"/>
          <w:color w:val="auto"/>
        </w:rPr>
      </w:pPr>
      <w:r w:rsidRPr="007D777A">
        <w:rPr>
          <w:rFonts w:asciiTheme="minorHAnsi" w:hAnsiTheme="minorHAnsi" w:cstheme="minorHAnsi"/>
          <w:bCs/>
          <w:color w:val="auto"/>
        </w:rPr>
        <w:t>This details</w:t>
      </w:r>
      <w:r w:rsidRPr="007D777A">
        <w:rPr>
          <w:rFonts w:asciiTheme="minorHAnsi" w:hAnsiTheme="minorHAnsi" w:cstheme="minorHAnsi"/>
          <w:color w:val="auto"/>
        </w:rPr>
        <w:t xml:space="preserve"> the key</w:t>
      </w:r>
      <w:r w:rsidRPr="007D777A">
        <w:rPr>
          <w:rFonts w:asciiTheme="minorHAnsi" w:hAnsiTheme="minorHAnsi" w:cstheme="minorHAnsi"/>
          <w:bCs/>
          <w:color w:val="auto"/>
        </w:rPr>
        <w:t xml:space="preserve"> </w:t>
      </w:r>
      <w:r w:rsidRPr="007D777A">
        <w:rPr>
          <w:rFonts w:asciiTheme="minorHAnsi" w:hAnsiTheme="minorHAnsi" w:cstheme="minorHAnsi"/>
          <w:color w:val="auto"/>
        </w:rPr>
        <w:t xml:space="preserve">challenges to </w:t>
      </w:r>
      <w:r w:rsidRPr="007D777A">
        <w:rPr>
          <w:rFonts w:asciiTheme="minorHAnsi" w:hAnsiTheme="minorHAnsi" w:cstheme="minorHAnsi"/>
          <w:bCs/>
          <w:color w:val="auto"/>
        </w:rPr>
        <w:t>achievement that we have</w:t>
      </w:r>
      <w:r w:rsidRPr="007D777A">
        <w:rPr>
          <w:rFonts w:asciiTheme="minorHAnsi" w:hAnsiTheme="minorHAnsi" w:cstheme="minorHAnsi"/>
          <w:color w:val="auto"/>
        </w:rPr>
        <w:t xml:space="preserve"> identified among </w:t>
      </w:r>
      <w:r w:rsidRPr="007D777A">
        <w:rPr>
          <w:rFonts w:asciiTheme="minorHAnsi" w:hAnsiTheme="minorHAnsi" w:cstheme="minorHAnsi"/>
          <w:bCs/>
          <w:color w:val="auto"/>
        </w:rPr>
        <w:t>our</w:t>
      </w:r>
      <w:r w:rsidRPr="007D777A">
        <w:rPr>
          <w:rFonts w:asciiTheme="minorHAnsi" w:hAnsiTheme="minorHAnsi" w:cstheme="minorHAnsi"/>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21"/>
        <w:gridCol w:w="8250"/>
      </w:tblGrid>
      <w:tr w:rsidR="000F1037" w:rsidRPr="007D777A"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 xml:space="preserve">Detail of challenge </w:t>
            </w:r>
          </w:p>
        </w:tc>
      </w:tr>
      <w:tr w:rsidR="000F1037" w:rsidRPr="007D777A"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Pr="007D777A" w:rsidRDefault="009D71E8">
            <w:pPr>
              <w:pStyle w:val="TableRow"/>
              <w:rPr>
                <w:rFonts w:asciiTheme="minorHAnsi" w:hAnsiTheme="minorHAnsi" w:cstheme="minorHAnsi"/>
                <w:color w:val="auto"/>
                <w:sz w:val="22"/>
                <w:szCs w:val="22"/>
              </w:rPr>
            </w:pPr>
            <w:r w:rsidRPr="007D777A">
              <w:rPr>
                <w:rFonts w:asciiTheme="minorHAnsi" w:hAnsiTheme="minorHAnsi" w:cstheme="minorHAnsi"/>
                <w:color w:val="auto"/>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767B1" w14:textId="77777777" w:rsidR="00205D4D" w:rsidRPr="00205D4D" w:rsidRDefault="00205D4D" w:rsidP="00205D4D">
            <w:pPr>
              <w:pStyle w:val="p1"/>
              <w:rPr>
                <w:rFonts w:ascii="Calibri" w:hAnsi="Calibri" w:cs="Calibri"/>
                <w:color w:val="0C0C0C"/>
                <w:sz w:val="22"/>
                <w:szCs w:val="22"/>
              </w:rPr>
            </w:pPr>
            <w:r w:rsidRPr="00205D4D">
              <w:rPr>
                <w:rFonts w:ascii="Calibri" w:hAnsi="Calibri" w:cs="Calibri"/>
                <w:sz w:val="22"/>
                <w:szCs w:val="22"/>
              </w:rPr>
              <w:t xml:space="preserve">Disadvantaged pupils typically enter each key stage with </w:t>
            </w:r>
            <w:r w:rsidRPr="00205D4D">
              <w:rPr>
                <w:rFonts w:ascii="Calibri" w:hAnsi="Calibri" w:cs="Calibri"/>
                <w:b/>
                <w:bCs/>
                <w:sz w:val="22"/>
                <w:szCs w:val="22"/>
              </w:rPr>
              <w:t>lower baseline attainment</w:t>
            </w:r>
            <w:r w:rsidRPr="00205D4D">
              <w:rPr>
                <w:rFonts w:ascii="Calibri" w:hAnsi="Calibri" w:cs="Calibri"/>
                <w:sz w:val="22"/>
                <w:szCs w:val="22"/>
              </w:rPr>
              <w:t xml:space="preserve"> in</w:t>
            </w:r>
          </w:p>
          <w:p w14:paraId="0B01AE25" w14:textId="77777777" w:rsidR="00205D4D" w:rsidRPr="00205D4D" w:rsidRDefault="00205D4D" w:rsidP="00205D4D">
            <w:pPr>
              <w:pStyle w:val="p1"/>
              <w:rPr>
                <w:rFonts w:ascii="Calibri" w:hAnsi="Calibri" w:cs="Calibri"/>
                <w:sz w:val="22"/>
                <w:szCs w:val="22"/>
              </w:rPr>
            </w:pPr>
            <w:r w:rsidRPr="00205D4D">
              <w:rPr>
                <w:rFonts w:ascii="Calibri" w:hAnsi="Calibri" w:cs="Calibri"/>
                <w:sz w:val="22"/>
                <w:szCs w:val="22"/>
              </w:rPr>
              <w:t>reading, writing, and maths compared to their peers—both within the academy and</w:t>
            </w:r>
          </w:p>
          <w:p w14:paraId="2A7D54F1" w14:textId="59C5AAEC" w:rsidR="00F81085" w:rsidRPr="003333F8" w:rsidRDefault="00205D4D" w:rsidP="003333F8">
            <w:pPr>
              <w:pStyle w:val="p1"/>
              <w:rPr>
                <w:rFonts w:ascii="Calibri" w:hAnsi="Calibri" w:cs="Calibri"/>
                <w:sz w:val="22"/>
                <w:szCs w:val="22"/>
              </w:rPr>
            </w:pPr>
            <w:r w:rsidRPr="00205D4D">
              <w:rPr>
                <w:rFonts w:ascii="Calibri" w:hAnsi="Calibri" w:cs="Calibri"/>
                <w:sz w:val="22"/>
                <w:szCs w:val="22"/>
              </w:rPr>
              <w:t>nationally. This gap is evident from EYFS through to KS2 and means many pupils require</w:t>
            </w:r>
            <w:r>
              <w:rPr>
                <w:rFonts w:ascii="Calibri" w:hAnsi="Calibri" w:cs="Calibri"/>
                <w:sz w:val="22"/>
                <w:szCs w:val="22"/>
              </w:rPr>
              <w:t xml:space="preserve"> </w:t>
            </w:r>
            <w:r w:rsidRPr="00205D4D">
              <w:rPr>
                <w:rFonts w:ascii="Calibri" w:hAnsi="Calibri" w:cs="Calibri"/>
                <w:sz w:val="22"/>
                <w:szCs w:val="22"/>
              </w:rPr>
              <w:t>accelerated progress and targeted support to meet age-related expectations and access</w:t>
            </w:r>
            <w:r>
              <w:rPr>
                <w:rFonts w:ascii="Calibri" w:hAnsi="Calibri" w:cs="Calibri"/>
                <w:sz w:val="22"/>
                <w:szCs w:val="22"/>
              </w:rPr>
              <w:t xml:space="preserve"> </w:t>
            </w:r>
            <w:r w:rsidRPr="00205D4D">
              <w:rPr>
                <w:rFonts w:ascii="Calibri" w:hAnsi="Calibri" w:cs="Calibri"/>
                <w:sz w:val="22"/>
                <w:szCs w:val="22"/>
              </w:rPr>
              <w:t>the full curriculum effectively</w:t>
            </w:r>
            <w:r>
              <w:rPr>
                <w:rFonts w:ascii="Calibri" w:hAnsi="Calibri" w:cs="Calibri"/>
                <w:sz w:val="22"/>
                <w:szCs w:val="22"/>
              </w:rPr>
              <w:t xml:space="preserve">. </w:t>
            </w:r>
          </w:p>
        </w:tc>
      </w:tr>
      <w:tr w:rsidR="000F1037" w:rsidRPr="007D777A"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Pr="007D777A" w:rsidRDefault="009D71E8">
            <w:pPr>
              <w:pStyle w:val="TableRow"/>
              <w:rPr>
                <w:rFonts w:asciiTheme="minorHAnsi" w:hAnsiTheme="minorHAnsi" w:cstheme="minorHAnsi"/>
                <w:color w:val="auto"/>
                <w:sz w:val="22"/>
                <w:szCs w:val="22"/>
              </w:rPr>
            </w:pPr>
            <w:r w:rsidRPr="007D777A">
              <w:rPr>
                <w:rFonts w:asciiTheme="minorHAnsi" w:hAnsiTheme="minorHAnsi" w:cstheme="minorHAnsi"/>
                <w:color w:val="auto"/>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5384F2D0" w:rsidR="00924457" w:rsidRPr="00205D4D" w:rsidRDefault="00205D4D" w:rsidP="00205D4D">
            <w:pPr>
              <w:pStyle w:val="p1"/>
              <w:rPr>
                <w:rFonts w:ascii="Calibri" w:hAnsi="Calibri" w:cs="Calibri"/>
                <w:color w:val="0C0C0C"/>
                <w:sz w:val="22"/>
                <w:szCs w:val="22"/>
              </w:rPr>
            </w:pPr>
            <w:r w:rsidRPr="00205D4D">
              <w:rPr>
                <w:rFonts w:ascii="Calibri" w:hAnsi="Calibri" w:cs="Calibri"/>
                <w:b/>
                <w:bCs/>
                <w:sz w:val="22"/>
                <w:szCs w:val="22"/>
              </w:rPr>
              <w:t>Lower attendance</w:t>
            </w:r>
            <w:r w:rsidRPr="00205D4D">
              <w:rPr>
                <w:rFonts w:ascii="Calibri" w:hAnsi="Calibri" w:cs="Calibri"/>
                <w:sz w:val="22"/>
                <w:szCs w:val="22"/>
              </w:rPr>
              <w:t xml:space="preserve"> among disadvantaged pupils is a persistent barrier to progress. These</w:t>
            </w:r>
            <w:r>
              <w:rPr>
                <w:rFonts w:ascii="Calibri" w:hAnsi="Calibri" w:cs="Calibri"/>
                <w:sz w:val="22"/>
                <w:szCs w:val="22"/>
              </w:rPr>
              <w:t xml:space="preserve"> </w:t>
            </w:r>
            <w:r w:rsidRPr="00205D4D">
              <w:rPr>
                <w:rFonts w:ascii="Calibri" w:hAnsi="Calibri" w:cs="Calibri"/>
                <w:sz w:val="22"/>
                <w:szCs w:val="22"/>
              </w:rPr>
              <w:t xml:space="preserve">pupils are more likely to have </w:t>
            </w:r>
            <w:r w:rsidRPr="00205D4D">
              <w:rPr>
                <w:rFonts w:ascii="Calibri" w:hAnsi="Calibri" w:cs="Calibri"/>
                <w:b/>
                <w:bCs/>
                <w:sz w:val="22"/>
                <w:szCs w:val="22"/>
              </w:rPr>
              <w:t>higher rates of absence</w:t>
            </w:r>
            <w:r w:rsidRPr="00205D4D">
              <w:rPr>
                <w:rFonts w:ascii="Calibri" w:hAnsi="Calibri" w:cs="Calibri"/>
                <w:sz w:val="22"/>
                <w:szCs w:val="22"/>
              </w:rPr>
              <w:t>, including persistent absenteeism,</w:t>
            </w:r>
            <w:r>
              <w:rPr>
                <w:rFonts w:ascii="Calibri" w:hAnsi="Calibri" w:cs="Calibri"/>
                <w:sz w:val="22"/>
                <w:szCs w:val="22"/>
              </w:rPr>
              <w:t xml:space="preserve"> </w:t>
            </w:r>
            <w:r w:rsidRPr="00205D4D">
              <w:rPr>
                <w:rFonts w:ascii="Calibri" w:hAnsi="Calibri" w:cs="Calibri"/>
                <w:sz w:val="22"/>
                <w:szCs w:val="22"/>
              </w:rPr>
              <w:t>which limits their access to consistent teaching and learning. Missed time in school affects</w:t>
            </w:r>
            <w:r>
              <w:rPr>
                <w:rFonts w:ascii="Calibri" w:hAnsi="Calibri" w:cs="Calibri"/>
                <w:sz w:val="22"/>
                <w:szCs w:val="22"/>
              </w:rPr>
              <w:t xml:space="preserve"> </w:t>
            </w:r>
            <w:r w:rsidRPr="00205D4D">
              <w:rPr>
                <w:rFonts w:ascii="Calibri" w:hAnsi="Calibri" w:cs="Calibri"/>
                <w:sz w:val="22"/>
                <w:szCs w:val="22"/>
              </w:rPr>
              <w:t>academic attainment, disrupts continuity, and can lead to gaps in knowledge and skills. It</w:t>
            </w:r>
            <w:r>
              <w:rPr>
                <w:rFonts w:ascii="Calibri" w:hAnsi="Calibri" w:cs="Calibri"/>
                <w:sz w:val="22"/>
                <w:szCs w:val="22"/>
              </w:rPr>
              <w:t xml:space="preserve"> </w:t>
            </w:r>
            <w:r w:rsidRPr="00205D4D">
              <w:rPr>
                <w:rFonts w:ascii="Calibri" w:hAnsi="Calibri" w:cs="Calibri"/>
                <w:sz w:val="22"/>
                <w:szCs w:val="22"/>
              </w:rPr>
              <w:t>also impacts social development and engagement, making it harder for pupils to build</w:t>
            </w:r>
            <w:r>
              <w:rPr>
                <w:rFonts w:ascii="Calibri" w:hAnsi="Calibri" w:cs="Calibri"/>
                <w:sz w:val="22"/>
                <w:szCs w:val="22"/>
              </w:rPr>
              <w:t xml:space="preserve"> </w:t>
            </w:r>
            <w:r w:rsidRPr="00205D4D">
              <w:rPr>
                <w:rFonts w:ascii="Calibri" w:hAnsi="Calibri" w:cs="Calibri"/>
                <w:sz w:val="22"/>
                <w:szCs w:val="22"/>
              </w:rPr>
              <w:t>relationships and feel connected to the school community.</w:t>
            </w:r>
          </w:p>
        </w:tc>
      </w:tr>
      <w:tr w:rsidR="000F1037" w:rsidRPr="007D777A" w14:paraId="397650A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CDEEC" w14:textId="5C37475D" w:rsidR="00B144A4" w:rsidRPr="007D777A" w:rsidRDefault="00B144A4">
            <w:pPr>
              <w:pStyle w:val="TableRow"/>
              <w:rPr>
                <w:rFonts w:asciiTheme="minorHAnsi" w:hAnsiTheme="minorHAnsi" w:cstheme="minorHAnsi"/>
                <w:color w:val="auto"/>
                <w:sz w:val="22"/>
                <w:szCs w:val="22"/>
              </w:rPr>
            </w:pPr>
            <w:r w:rsidRPr="007D777A">
              <w:rPr>
                <w:rFonts w:asciiTheme="minorHAnsi" w:hAnsiTheme="minorHAnsi" w:cstheme="minorHAnsi"/>
                <w:color w:val="auto"/>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40095" w14:textId="4E95B733" w:rsidR="00205D4D" w:rsidRPr="00205D4D" w:rsidRDefault="00205D4D" w:rsidP="00205D4D">
            <w:pPr>
              <w:pStyle w:val="p1"/>
              <w:rPr>
                <w:rFonts w:ascii="Calibri" w:hAnsi="Calibri" w:cs="Calibri"/>
                <w:color w:val="0C0C0C"/>
                <w:sz w:val="22"/>
                <w:szCs w:val="22"/>
              </w:rPr>
            </w:pPr>
            <w:r w:rsidRPr="00205D4D">
              <w:rPr>
                <w:rFonts w:ascii="Calibri" w:hAnsi="Calibri" w:cs="Calibri"/>
                <w:sz w:val="22"/>
                <w:szCs w:val="22"/>
              </w:rPr>
              <w:t xml:space="preserve">The academy has is a </w:t>
            </w:r>
            <w:r w:rsidRPr="00205D4D">
              <w:rPr>
                <w:rFonts w:ascii="Calibri" w:hAnsi="Calibri" w:cs="Calibri"/>
                <w:b/>
                <w:bCs/>
                <w:sz w:val="22"/>
                <w:szCs w:val="22"/>
              </w:rPr>
              <w:t>higher proportion of disadvantaged learners with SEN</w:t>
            </w:r>
            <w:r w:rsidR="003333F8">
              <w:rPr>
                <w:rFonts w:ascii="Calibri" w:hAnsi="Calibri" w:cs="Calibri"/>
                <w:b/>
                <w:bCs/>
                <w:sz w:val="22"/>
                <w:szCs w:val="22"/>
              </w:rPr>
              <w:t xml:space="preserve"> (36%)</w:t>
            </w:r>
          </w:p>
          <w:p w14:paraId="7240C299" w14:textId="11E6252E" w:rsidR="00FF3E95" w:rsidRPr="003333F8" w:rsidRDefault="00205D4D" w:rsidP="003333F8">
            <w:pPr>
              <w:pStyle w:val="p1"/>
              <w:rPr>
                <w:rFonts w:ascii="Calibri" w:hAnsi="Calibri" w:cs="Calibri"/>
                <w:sz w:val="22"/>
                <w:szCs w:val="22"/>
              </w:rPr>
            </w:pPr>
            <w:r w:rsidRPr="00205D4D">
              <w:rPr>
                <w:rFonts w:ascii="Calibri" w:hAnsi="Calibri" w:cs="Calibri"/>
                <w:sz w:val="22"/>
                <w:szCs w:val="22"/>
              </w:rPr>
              <w:t xml:space="preserve">compared to their peers, particularly </w:t>
            </w:r>
            <w:r>
              <w:rPr>
                <w:rFonts w:ascii="Calibri" w:hAnsi="Calibri" w:cs="Calibri"/>
                <w:b/>
                <w:bCs/>
                <w:sz w:val="22"/>
                <w:szCs w:val="22"/>
              </w:rPr>
              <w:t>Communication and Interaction</w:t>
            </w:r>
            <w:r w:rsidRPr="00205D4D">
              <w:rPr>
                <w:rFonts w:ascii="Calibri" w:hAnsi="Calibri" w:cs="Calibri"/>
                <w:b/>
                <w:bCs/>
                <w:sz w:val="22"/>
                <w:szCs w:val="22"/>
              </w:rPr>
              <w:t xml:space="preserve"> (</w:t>
            </w:r>
            <w:r>
              <w:rPr>
                <w:rFonts w:ascii="Calibri" w:hAnsi="Calibri" w:cs="Calibri"/>
                <w:b/>
                <w:bCs/>
                <w:sz w:val="22"/>
                <w:szCs w:val="22"/>
              </w:rPr>
              <w:t>CI</w:t>
            </w:r>
            <w:r w:rsidRPr="00205D4D">
              <w:rPr>
                <w:rFonts w:ascii="Calibri" w:hAnsi="Calibri" w:cs="Calibri"/>
                <w:b/>
                <w:bCs/>
                <w:sz w:val="22"/>
                <w:szCs w:val="22"/>
              </w:rPr>
              <w:t>) need</w:t>
            </w:r>
            <w:r w:rsidR="003333F8">
              <w:rPr>
                <w:rFonts w:ascii="Calibri" w:hAnsi="Calibri" w:cs="Calibri"/>
                <w:b/>
                <w:bCs/>
                <w:sz w:val="22"/>
                <w:szCs w:val="22"/>
              </w:rPr>
              <w:t xml:space="preserve">s - </w:t>
            </w:r>
            <w:r w:rsidR="003333F8">
              <w:rPr>
                <w:rFonts w:ascii="Calibri" w:hAnsi="Calibri" w:cs="Calibri"/>
                <w:sz w:val="22"/>
                <w:szCs w:val="22"/>
              </w:rPr>
              <w:t>16</w:t>
            </w:r>
            <w:r w:rsidRPr="00205D4D">
              <w:rPr>
                <w:rFonts w:ascii="Calibri" w:hAnsi="Calibri" w:cs="Calibri"/>
                <w:sz w:val="22"/>
                <w:szCs w:val="22"/>
              </w:rPr>
              <w:t>%</w:t>
            </w:r>
            <w:r w:rsidR="003333F8">
              <w:rPr>
                <w:rFonts w:ascii="Calibri" w:hAnsi="Calibri" w:cs="Calibri"/>
                <w:sz w:val="22"/>
                <w:szCs w:val="22"/>
              </w:rPr>
              <w:t xml:space="preserve"> and 12% </w:t>
            </w:r>
            <w:r w:rsidR="003333F8" w:rsidRPr="003333F8">
              <w:rPr>
                <w:rFonts w:ascii="Calibri" w:hAnsi="Calibri" w:cs="Calibri"/>
                <w:b/>
                <w:bCs/>
                <w:sz w:val="22"/>
                <w:szCs w:val="22"/>
              </w:rPr>
              <w:t>Cognition and Learning (C&amp;L</w:t>
            </w:r>
            <w:proofErr w:type="gramStart"/>
            <w:r w:rsidR="003333F8">
              <w:rPr>
                <w:rFonts w:ascii="Calibri" w:hAnsi="Calibri" w:cs="Calibri"/>
                <w:sz w:val="22"/>
                <w:szCs w:val="22"/>
              </w:rPr>
              <w:t>)</w:t>
            </w:r>
            <w:r w:rsidRPr="00205D4D">
              <w:rPr>
                <w:rFonts w:ascii="Calibri" w:hAnsi="Calibri" w:cs="Calibri"/>
                <w:sz w:val="22"/>
                <w:szCs w:val="22"/>
              </w:rPr>
              <w:t xml:space="preserve"> </w:t>
            </w:r>
            <w:r w:rsidR="003333F8">
              <w:rPr>
                <w:rFonts w:ascii="Calibri" w:hAnsi="Calibri" w:cs="Calibri"/>
                <w:sz w:val="22"/>
                <w:szCs w:val="22"/>
              </w:rPr>
              <w:t>.</w:t>
            </w:r>
            <w:proofErr w:type="gramEnd"/>
            <w:r w:rsidR="003333F8">
              <w:rPr>
                <w:rFonts w:ascii="Calibri" w:hAnsi="Calibri" w:cs="Calibri"/>
                <w:sz w:val="22"/>
                <w:szCs w:val="22"/>
              </w:rPr>
              <w:t xml:space="preserve"> 36% </w:t>
            </w:r>
            <w:r w:rsidRPr="00205D4D">
              <w:rPr>
                <w:rFonts w:ascii="Calibri" w:hAnsi="Calibri" w:cs="Calibri"/>
                <w:sz w:val="22"/>
                <w:szCs w:val="22"/>
              </w:rPr>
              <w:t>of our disadvantaged pupils are identified as having SEN. This disparity presents significant challenges for both academic</w:t>
            </w:r>
            <w:r>
              <w:rPr>
                <w:rFonts w:ascii="Calibri" w:hAnsi="Calibri" w:cs="Calibri"/>
                <w:sz w:val="22"/>
                <w:szCs w:val="22"/>
              </w:rPr>
              <w:t xml:space="preserve"> </w:t>
            </w:r>
            <w:r w:rsidRPr="00205D4D">
              <w:rPr>
                <w:rFonts w:ascii="Calibri" w:hAnsi="Calibri" w:cs="Calibri"/>
                <w:sz w:val="22"/>
                <w:szCs w:val="22"/>
              </w:rPr>
              <w:t xml:space="preserve">progress and wellbeing. Pupils with </w:t>
            </w:r>
            <w:r w:rsidR="003333F8">
              <w:rPr>
                <w:rFonts w:ascii="Calibri" w:hAnsi="Calibri" w:cs="Calibri"/>
                <w:sz w:val="22"/>
                <w:szCs w:val="22"/>
              </w:rPr>
              <w:t>C&amp;I and C&amp;L</w:t>
            </w:r>
            <w:r w:rsidRPr="00205D4D">
              <w:rPr>
                <w:rFonts w:ascii="Calibri" w:hAnsi="Calibri" w:cs="Calibri"/>
                <w:sz w:val="22"/>
                <w:szCs w:val="22"/>
              </w:rPr>
              <w:t xml:space="preserve"> needs often require highly individualised</w:t>
            </w:r>
            <w:r w:rsidR="003333F8">
              <w:rPr>
                <w:rFonts w:ascii="Calibri" w:hAnsi="Calibri" w:cs="Calibri"/>
                <w:sz w:val="22"/>
                <w:szCs w:val="22"/>
              </w:rPr>
              <w:t xml:space="preserve"> </w:t>
            </w:r>
            <w:r w:rsidRPr="00205D4D">
              <w:rPr>
                <w:rFonts w:ascii="Calibri" w:hAnsi="Calibri" w:cs="Calibri"/>
                <w:sz w:val="22"/>
                <w:szCs w:val="22"/>
              </w:rPr>
              <w:t>support, consistent routines, and specialist interventions. Without these, they may struggle</w:t>
            </w:r>
            <w:r w:rsidR="003333F8">
              <w:rPr>
                <w:rFonts w:ascii="Calibri" w:hAnsi="Calibri" w:cs="Calibri"/>
                <w:sz w:val="22"/>
                <w:szCs w:val="22"/>
              </w:rPr>
              <w:t xml:space="preserve"> </w:t>
            </w:r>
            <w:r w:rsidRPr="00205D4D">
              <w:rPr>
                <w:rFonts w:ascii="Calibri" w:hAnsi="Calibri" w:cs="Calibri"/>
                <w:sz w:val="22"/>
                <w:szCs w:val="22"/>
              </w:rPr>
              <w:t xml:space="preserve">with engagement, </w:t>
            </w:r>
            <w:r w:rsidR="003333F8">
              <w:rPr>
                <w:rFonts w:ascii="Calibri" w:hAnsi="Calibri" w:cs="Calibri"/>
                <w:sz w:val="22"/>
                <w:szCs w:val="22"/>
              </w:rPr>
              <w:t xml:space="preserve">behaviour and </w:t>
            </w:r>
            <w:r w:rsidRPr="00205D4D">
              <w:rPr>
                <w:rFonts w:ascii="Calibri" w:hAnsi="Calibri" w:cs="Calibri"/>
                <w:sz w:val="22"/>
                <w:szCs w:val="22"/>
              </w:rPr>
              <w:t>emotional regulation, which can impact their ability to</w:t>
            </w:r>
            <w:r w:rsidR="003333F8">
              <w:rPr>
                <w:rFonts w:ascii="Calibri" w:hAnsi="Calibri" w:cs="Calibri"/>
                <w:sz w:val="22"/>
                <w:szCs w:val="22"/>
              </w:rPr>
              <w:t xml:space="preserve"> </w:t>
            </w:r>
            <w:r w:rsidRPr="00205D4D">
              <w:rPr>
                <w:rFonts w:ascii="Calibri" w:hAnsi="Calibri" w:cs="Calibri"/>
                <w:sz w:val="22"/>
                <w:szCs w:val="22"/>
              </w:rPr>
              <w:t>access learning and thrive in the school environment</w:t>
            </w:r>
            <w:r w:rsidR="003333F8">
              <w:rPr>
                <w:rFonts w:ascii="Calibri" w:hAnsi="Calibri" w:cs="Calibri"/>
                <w:sz w:val="22"/>
                <w:szCs w:val="22"/>
              </w:rPr>
              <w:t xml:space="preserve">. </w:t>
            </w:r>
            <w:r w:rsidR="00494DB9">
              <w:rPr>
                <w:rFonts w:ascii="Calibri" w:hAnsi="Calibri" w:cs="Calibri"/>
                <w:sz w:val="22"/>
                <w:szCs w:val="22"/>
              </w:rPr>
              <w:t>We also have a</w:t>
            </w:r>
            <w:r w:rsidR="00A47D06">
              <w:rPr>
                <w:rFonts w:ascii="Calibri" w:hAnsi="Calibri" w:cs="Calibri"/>
                <w:sz w:val="22"/>
                <w:szCs w:val="22"/>
              </w:rPr>
              <w:t>n</w:t>
            </w:r>
            <w:r w:rsidR="00494DB9">
              <w:rPr>
                <w:rFonts w:ascii="Calibri" w:hAnsi="Calibri" w:cs="Calibri"/>
                <w:sz w:val="22"/>
                <w:szCs w:val="22"/>
              </w:rPr>
              <w:t xml:space="preserve"> 8 place Local Authority C&amp;I SEND base in school. </w:t>
            </w:r>
          </w:p>
        </w:tc>
      </w:tr>
      <w:tr w:rsidR="000F1037" w:rsidRPr="007D777A"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302E406E" w:rsidR="00E66558" w:rsidRPr="007D777A" w:rsidRDefault="00B144A4">
            <w:pPr>
              <w:pStyle w:val="TableRow"/>
              <w:rPr>
                <w:rFonts w:asciiTheme="minorHAnsi" w:hAnsiTheme="minorHAnsi" w:cstheme="minorHAnsi"/>
                <w:color w:val="auto"/>
                <w:sz w:val="22"/>
                <w:szCs w:val="22"/>
              </w:rPr>
            </w:pPr>
            <w:r w:rsidRPr="007D777A">
              <w:rPr>
                <w:rFonts w:asciiTheme="minorHAnsi" w:hAnsiTheme="minorHAnsi" w:cstheme="minorHAnsi"/>
                <w:color w:val="auto"/>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8E227" w14:textId="269D3152" w:rsidR="00524841" w:rsidRPr="00524841" w:rsidRDefault="00524841" w:rsidP="00524841">
            <w:pPr>
              <w:pStyle w:val="p1"/>
              <w:rPr>
                <w:rFonts w:ascii="Calibri" w:hAnsi="Calibri" w:cs="Calibri"/>
                <w:color w:val="0C0C0C"/>
                <w:sz w:val="22"/>
                <w:szCs w:val="22"/>
              </w:rPr>
            </w:pPr>
            <w:r w:rsidRPr="00524841">
              <w:rPr>
                <w:rFonts w:ascii="Calibri" w:hAnsi="Calibri" w:cs="Calibri"/>
                <w:b/>
                <w:bCs/>
                <w:sz w:val="22"/>
                <w:szCs w:val="22"/>
              </w:rPr>
              <w:t>Language difficulties and limited vocabulary</w:t>
            </w:r>
            <w:r w:rsidRPr="00524841">
              <w:rPr>
                <w:rFonts w:ascii="Calibri" w:hAnsi="Calibri" w:cs="Calibri"/>
                <w:sz w:val="22"/>
                <w:szCs w:val="22"/>
              </w:rPr>
              <w:t xml:space="preserve"> are prevalent among our disadvantaged</w:t>
            </w:r>
          </w:p>
          <w:p w14:paraId="1848EB08" w14:textId="77777777" w:rsidR="00524841" w:rsidRPr="00524841" w:rsidRDefault="00524841" w:rsidP="00524841">
            <w:pPr>
              <w:pStyle w:val="p1"/>
              <w:rPr>
                <w:rFonts w:ascii="Calibri" w:hAnsi="Calibri" w:cs="Calibri"/>
                <w:sz w:val="22"/>
                <w:szCs w:val="22"/>
              </w:rPr>
            </w:pPr>
            <w:r w:rsidRPr="00524841">
              <w:rPr>
                <w:rFonts w:ascii="Calibri" w:hAnsi="Calibri" w:cs="Calibri"/>
                <w:sz w:val="22"/>
                <w:szCs w:val="22"/>
              </w:rPr>
              <w:t>pupils. Assessments and observations from Reception to KS2 consistently show</w:t>
            </w:r>
          </w:p>
          <w:p w14:paraId="3AF7732E" w14:textId="3E43536A" w:rsidR="00524841" w:rsidRPr="00524841" w:rsidRDefault="00524841" w:rsidP="00524841">
            <w:pPr>
              <w:pStyle w:val="p1"/>
              <w:rPr>
                <w:rFonts w:ascii="Calibri" w:hAnsi="Calibri" w:cs="Calibri"/>
                <w:sz w:val="22"/>
                <w:szCs w:val="22"/>
              </w:rPr>
            </w:pPr>
            <w:r w:rsidRPr="00524841">
              <w:rPr>
                <w:rFonts w:ascii="Calibri" w:hAnsi="Calibri" w:cs="Calibri"/>
                <w:sz w:val="22"/>
                <w:szCs w:val="22"/>
              </w:rPr>
              <w:t>underdeveloped oral language skills and vocabulary gaps, which are more common in this</w:t>
            </w:r>
            <w:r>
              <w:rPr>
                <w:rFonts w:ascii="Calibri" w:hAnsi="Calibri" w:cs="Calibri"/>
                <w:sz w:val="22"/>
                <w:szCs w:val="22"/>
              </w:rPr>
              <w:t xml:space="preserve"> </w:t>
            </w:r>
            <w:r w:rsidRPr="00524841">
              <w:rPr>
                <w:rFonts w:ascii="Calibri" w:hAnsi="Calibri" w:cs="Calibri"/>
                <w:sz w:val="22"/>
                <w:szCs w:val="22"/>
              </w:rPr>
              <w:t>group than their peers. These gaps can hinder reading comprehension, writing</w:t>
            </w:r>
          </w:p>
          <w:p w14:paraId="2A7D54F7" w14:textId="1AF9F6B3" w:rsidR="0003275C" w:rsidRPr="00524841" w:rsidRDefault="00524841" w:rsidP="00524841">
            <w:pPr>
              <w:pStyle w:val="p1"/>
              <w:rPr>
                <w:rFonts w:ascii="Calibri" w:hAnsi="Calibri" w:cs="Calibri"/>
                <w:sz w:val="22"/>
                <w:szCs w:val="22"/>
              </w:rPr>
            </w:pPr>
            <w:r w:rsidRPr="00524841">
              <w:rPr>
                <w:rFonts w:ascii="Calibri" w:hAnsi="Calibri" w:cs="Calibri"/>
                <w:sz w:val="22"/>
                <w:szCs w:val="22"/>
              </w:rPr>
              <w:t>development, and overall access to the curriculum, impacting both academic progress and</w:t>
            </w:r>
            <w:r>
              <w:rPr>
                <w:rFonts w:ascii="Calibri" w:hAnsi="Calibri" w:cs="Calibri"/>
                <w:sz w:val="22"/>
                <w:szCs w:val="22"/>
              </w:rPr>
              <w:t xml:space="preserve"> </w:t>
            </w:r>
            <w:r w:rsidRPr="00524841">
              <w:rPr>
                <w:rFonts w:ascii="Calibri" w:hAnsi="Calibri" w:cs="Calibri"/>
                <w:sz w:val="22"/>
                <w:szCs w:val="22"/>
              </w:rPr>
              <w:t>confidence in communication</w:t>
            </w:r>
            <w:r>
              <w:rPr>
                <w:rFonts w:ascii="Calibri" w:hAnsi="Calibri" w:cs="Calibri"/>
                <w:sz w:val="22"/>
                <w:szCs w:val="22"/>
              </w:rPr>
              <w:t>.</w:t>
            </w:r>
          </w:p>
        </w:tc>
      </w:tr>
      <w:tr w:rsidR="00524841" w:rsidRPr="007D777A" w14:paraId="42426D27"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55CFC" w14:textId="6CA84FCE" w:rsidR="00524841" w:rsidRPr="007D777A" w:rsidRDefault="00494DB9">
            <w:pPr>
              <w:pStyle w:val="TableRow"/>
              <w:rPr>
                <w:rFonts w:asciiTheme="minorHAnsi" w:hAnsiTheme="minorHAnsi" w:cstheme="minorHAnsi"/>
                <w:color w:val="auto"/>
                <w:sz w:val="22"/>
                <w:szCs w:val="22"/>
              </w:rPr>
            </w:pPr>
            <w:bookmarkStart w:id="16" w:name="_Toc443397160"/>
            <w:r>
              <w:rPr>
                <w:rFonts w:asciiTheme="minorHAnsi" w:hAnsiTheme="minorHAnsi" w:cstheme="minorHAnsi"/>
                <w:color w:val="auto"/>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224FF" w14:textId="77777777" w:rsidR="00494DB9" w:rsidRPr="00494DB9" w:rsidRDefault="00494DB9" w:rsidP="00494DB9">
            <w:pPr>
              <w:pStyle w:val="p1"/>
              <w:rPr>
                <w:rFonts w:asciiTheme="minorHAnsi" w:hAnsiTheme="minorHAnsi" w:cstheme="minorHAnsi"/>
                <w:color w:val="0C0C0C"/>
                <w:sz w:val="21"/>
                <w:szCs w:val="21"/>
              </w:rPr>
            </w:pPr>
            <w:r w:rsidRPr="00494DB9">
              <w:rPr>
                <w:rFonts w:asciiTheme="minorHAnsi" w:hAnsiTheme="minorHAnsi" w:cstheme="minorHAnsi"/>
                <w:b/>
                <w:bCs/>
                <w:sz w:val="21"/>
                <w:szCs w:val="21"/>
              </w:rPr>
              <w:t>High levels of sustained and substantial Social Care involvement:</w:t>
            </w:r>
            <w:r w:rsidRPr="00494DB9">
              <w:rPr>
                <w:rFonts w:asciiTheme="minorHAnsi" w:hAnsiTheme="minorHAnsi" w:cstheme="minorHAnsi"/>
                <w:sz w:val="21"/>
                <w:szCs w:val="21"/>
              </w:rPr>
              <w:t xml:space="preserve"> Many of </w:t>
            </w:r>
            <w:proofErr w:type="gramStart"/>
            <w:r w:rsidRPr="00494DB9">
              <w:rPr>
                <w:rFonts w:asciiTheme="minorHAnsi" w:hAnsiTheme="minorHAnsi" w:cstheme="minorHAnsi"/>
                <w:sz w:val="21"/>
                <w:szCs w:val="21"/>
              </w:rPr>
              <w:t>our</w:t>
            </w:r>
            <w:proofErr w:type="gramEnd"/>
          </w:p>
          <w:p w14:paraId="64522DB1" w14:textId="77777777" w:rsidR="00494DB9" w:rsidRPr="00494DB9" w:rsidRDefault="00494DB9" w:rsidP="00494DB9">
            <w:pPr>
              <w:pStyle w:val="p1"/>
              <w:rPr>
                <w:rFonts w:asciiTheme="minorHAnsi" w:hAnsiTheme="minorHAnsi" w:cstheme="minorHAnsi"/>
                <w:sz w:val="21"/>
                <w:szCs w:val="21"/>
              </w:rPr>
            </w:pPr>
            <w:r w:rsidRPr="00494DB9">
              <w:rPr>
                <w:rFonts w:asciiTheme="minorHAnsi" w:hAnsiTheme="minorHAnsi" w:cstheme="minorHAnsi"/>
                <w:sz w:val="21"/>
                <w:szCs w:val="21"/>
              </w:rPr>
              <w:t>disadvantaged pupils experience sustained and substantial involvement with Social Care,</w:t>
            </w:r>
          </w:p>
          <w:p w14:paraId="3FAFBE16" w14:textId="77777777" w:rsidR="00494DB9" w:rsidRPr="00494DB9" w:rsidRDefault="00494DB9" w:rsidP="00494DB9">
            <w:pPr>
              <w:pStyle w:val="p1"/>
              <w:rPr>
                <w:rFonts w:asciiTheme="minorHAnsi" w:hAnsiTheme="minorHAnsi" w:cstheme="minorHAnsi"/>
                <w:sz w:val="21"/>
                <w:szCs w:val="21"/>
              </w:rPr>
            </w:pPr>
            <w:r w:rsidRPr="00494DB9">
              <w:rPr>
                <w:rFonts w:asciiTheme="minorHAnsi" w:hAnsiTheme="minorHAnsi" w:cstheme="minorHAnsi"/>
                <w:sz w:val="21"/>
                <w:szCs w:val="21"/>
              </w:rPr>
              <w:t>which often reflects complex family circumstances and safeguarding concerns. These</w:t>
            </w:r>
          </w:p>
          <w:p w14:paraId="541C2337" w14:textId="77777777" w:rsidR="00494DB9" w:rsidRPr="00494DB9" w:rsidRDefault="00494DB9" w:rsidP="00494DB9">
            <w:pPr>
              <w:pStyle w:val="p1"/>
              <w:rPr>
                <w:rFonts w:asciiTheme="minorHAnsi" w:hAnsiTheme="minorHAnsi" w:cstheme="minorHAnsi"/>
                <w:sz w:val="21"/>
                <w:szCs w:val="21"/>
              </w:rPr>
            </w:pPr>
            <w:r w:rsidRPr="00494DB9">
              <w:rPr>
                <w:rFonts w:asciiTheme="minorHAnsi" w:hAnsiTheme="minorHAnsi" w:cstheme="minorHAnsi"/>
                <w:sz w:val="21"/>
                <w:szCs w:val="21"/>
              </w:rPr>
              <w:t xml:space="preserve">pupils often face instability at home, emotional trauma, and inconsistent routines, </w:t>
            </w:r>
            <w:proofErr w:type="gramStart"/>
            <w:r w:rsidRPr="00494DB9">
              <w:rPr>
                <w:rFonts w:asciiTheme="minorHAnsi" w:hAnsiTheme="minorHAnsi" w:cstheme="minorHAnsi"/>
                <w:sz w:val="21"/>
                <w:szCs w:val="21"/>
              </w:rPr>
              <w:t>all of</w:t>
            </w:r>
            <w:proofErr w:type="gramEnd"/>
          </w:p>
          <w:p w14:paraId="0DAD0917" w14:textId="33C8AE61" w:rsidR="00524841" w:rsidRPr="00494DB9" w:rsidRDefault="00494DB9" w:rsidP="00524841">
            <w:pPr>
              <w:pStyle w:val="p1"/>
              <w:rPr>
                <w:rFonts w:asciiTheme="minorHAnsi" w:hAnsiTheme="minorHAnsi" w:cstheme="minorHAnsi"/>
                <w:sz w:val="21"/>
                <w:szCs w:val="21"/>
              </w:rPr>
            </w:pPr>
            <w:r w:rsidRPr="00494DB9">
              <w:rPr>
                <w:rFonts w:asciiTheme="minorHAnsi" w:hAnsiTheme="minorHAnsi" w:cstheme="minorHAnsi"/>
                <w:sz w:val="21"/>
                <w:szCs w:val="21"/>
              </w:rPr>
              <w:t>which can significantly impact their ability to engage with learning. This level of involvement</w:t>
            </w:r>
            <w:r>
              <w:rPr>
                <w:rFonts w:asciiTheme="minorHAnsi" w:hAnsiTheme="minorHAnsi" w:cstheme="minorHAnsi"/>
                <w:sz w:val="21"/>
                <w:szCs w:val="21"/>
              </w:rPr>
              <w:t xml:space="preserve"> </w:t>
            </w:r>
            <w:r w:rsidRPr="00494DB9">
              <w:rPr>
                <w:rFonts w:asciiTheme="minorHAnsi" w:hAnsiTheme="minorHAnsi" w:cstheme="minorHAnsi"/>
                <w:sz w:val="21"/>
                <w:szCs w:val="21"/>
              </w:rPr>
              <w:t>often requires close multi-agency collaboration and additional pastoral support within</w:t>
            </w:r>
            <w:r>
              <w:rPr>
                <w:rFonts w:asciiTheme="minorHAnsi" w:hAnsiTheme="minorHAnsi" w:cstheme="minorHAnsi"/>
                <w:sz w:val="21"/>
                <w:szCs w:val="21"/>
              </w:rPr>
              <w:t xml:space="preserve"> </w:t>
            </w:r>
            <w:r w:rsidRPr="00494DB9">
              <w:rPr>
                <w:rFonts w:asciiTheme="minorHAnsi" w:hAnsiTheme="minorHAnsi" w:cstheme="minorHAnsi"/>
                <w:sz w:val="21"/>
                <w:szCs w:val="21"/>
              </w:rPr>
              <w:t>school. Pupils often struggle with concentration, attendance, and emotional regulation, and</w:t>
            </w:r>
            <w:r>
              <w:rPr>
                <w:rFonts w:asciiTheme="minorHAnsi" w:hAnsiTheme="minorHAnsi" w:cstheme="minorHAnsi"/>
                <w:sz w:val="21"/>
                <w:szCs w:val="21"/>
              </w:rPr>
              <w:t xml:space="preserve"> </w:t>
            </w:r>
            <w:r w:rsidRPr="00494DB9">
              <w:rPr>
                <w:rFonts w:asciiTheme="minorHAnsi" w:hAnsiTheme="minorHAnsi" w:cstheme="minorHAnsi"/>
                <w:sz w:val="21"/>
                <w:szCs w:val="21"/>
              </w:rPr>
              <w:t>may need tailored interventions to help them feel safe, supported, and ready to learn.</w:t>
            </w:r>
          </w:p>
        </w:tc>
      </w:tr>
      <w:tr w:rsidR="00524841" w:rsidRPr="007D777A" w14:paraId="7175624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C700B" w14:textId="75D51F4A" w:rsidR="00524841" w:rsidRPr="007D777A" w:rsidRDefault="00494DB9">
            <w:pPr>
              <w:pStyle w:val="TableRow"/>
              <w:rPr>
                <w:rFonts w:asciiTheme="minorHAnsi" w:hAnsiTheme="minorHAnsi" w:cstheme="minorHAnsi"/>
                <w:color w:val="auto"/>
                <w:sz w:val="22"/>
                <w:szCs w:val="22"/>
              </w:rPr>
            </w:pPr>
            <w:r>
              <w:rPr>
                <w:rFonts w:asciiTheme="minorHAnsi" w:hAnsiTheme="minorHAnsi" w:cstheme="minorHAnsi"/>
                <w:color w:val="auto"/>
                <w:sz w:val="22"/>
                <w:szCs w:val="22"/>
              </w:rPr>
              <w:t>6</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B8542" w14:textId="77777777" w:rsidR="00524841" w:rsidRPr="00524841" w:rsidRDefault="00524841" w:rsidP="00524841">
            <w:pPr>
              <w:pStyle w:val="p1"/>
              <w:rPr>
                <w:rFonts w:ascii="Calibri" w:hAnsi="Calibri" w:cs="Calibri"/>
                <w:color w:val="0C0C0C"/>
                <w:sz w:val="22"/>
                <w:szCs w:val="22"/>
              </w:rPr>
            </w:pPr>
            <w:r w:rsidRPr="00524841">
              <w:rPr>
                <w:rFonts w:ascii="Calibri" w:hAnsi="Calibri" w:cs="Calibri"/>
                <w:sz w:val="22"/>
                <w:szCs w:val="22"/>
              </w:rPr>
              <w:t xml:space="preserve">Many disadvantaged pupils have </w:t>
            </w:r>
            <w:r w:rsidRPr="00524841">
              <w:rPr>
                <w:rFonts w:ascii="Calibri" w:hAnsi="Calibri" w:cs="Calibri"/>
                <w:b/>
                <w:bCs/>
                <w:sz w:val="22"/>
                <w:szCs w:val="22"/>
              </w:rPr>
              <w:t>limited access to wider life experiences and</w:t>
            </w:r>
          </w:p>
          <w:p w14:paraId="6CB3F650" w14:textId="77777777" w:rsidR="00524841" w:rsidRPr="00524841" w:rsidRDefault="00524841" w:rsidP="00524841">
            <w:pPr>
              <w:pStyle w:val="p1"/>
              <w:rPr>
                <w:rFonts w:ascii="Calibri" w:hAnsi="Calibri" w:cs="Calibri"/>
                <w:sz w:val="22"/>
                <w:szCs w:val="22"/>
              </w:rPr>
            </w:pPr>
            <w:r w:rsidRPr="00524841">
              <w:rPr>
                <w:rFonts w:ascii="Calibri" w:hAnsi="Calibri" w:cs="Calibri"/>
                <w:b/>
                <w:bCs/>
                <w:sz w:val="22"/>
                <w:szCs w:val="22"/>
              </w:rPr>
              <w:t>enrichment opportunities</w:t>
            </w:r>
            <w:r w:rsidRPr="00524841">
              <w:rPr>
                <w:rFonts w:ascii="Calibri" w:hAnsi="Calibri" w:cs="Calibri"/>
                <w:sz w:val="22"/>
                <w:szCs w:val="22"/>
              </w:rPr>
              <w:t xml:space="preserve"> beyond school. This lack of cultural capital can affect </w:t>
            </w:r>
            <w:proofErr w:type="gramStart"/>
            <w:r w:rsidRPr="00524841">
              <w:rPr>
                <w:rFonts w:ascii="Calibri" w:hAnsi="Calibri" w:cs="Calibri"/>
                <w:sz w:val="22"/>
                <w:szCs w:val="22"/>
              </w:rPr>
              <w:t>their</w:t>
            </w:r>
            <w:proofErr w:type="gramEnd"/>
          </w:p>
          <w:p w14:paraId="4EFD43E3" w14:textId="77777777" w:rsidR="00524841" w:rsidRPr="00524841" w:rsidRDefault="00524841" w:rsidP="00524841">
            <w:pPr>
              <w:pStyle w:val="p1"/>
              <w:rPr>
                <w:rFonts w:ascii="Calibri" w:hAnsi="Calibri" w:cs="Calibri"/>
                <w:sz w:val="22"/>
                <w:szCs w:val="22"/>
              </w:rPr>
            </w:pPr>
            <w:r w:rsidRPr="00524841">
              <w:rPr>
                <w:rFonts w:ascii="Calibri" w:hAnsi="Calibri" w:cs="Calibri"/>
                <w:sz w:val="22"/>
                <w:szCs w:val="22"/>
              </w:rPr>
              <w:t>confidence, engagement with learning, and ability to make connections across the</w:t>
            </w:r>
          </w:p>
          <w:p w14:paraId="6D103B3F" w14:textId="70D350F1" w:rsidR="00524841" w:rsidRPr="00524841" w:rsidRDefault="00524841" w:rsidP="00524841">
            <w:pPr>
              <w:pStyle w:val="p1"/>
              <w:rPr>
                <w:rFonts w:ascii="Calibri" w:hAnsi="Calibri" w:cs="Calibri"/>
                <w:sz w:val="22"/>
                <w:szCs w:val="22"/>
              </w:rPr>
            </w:pPr>
            <w:r w:rsidRPr="00524841">
              <w:rPr>
                <w:rFonts w:ascii="Calibri" w:hAnsi="Calibri" w:cs="Calibri"/>
                <w:sz w:val="22"/>
                <w:szCs w:val="22"/>
              </w:rPr>
              <w:t>curriculum. It may also contribute to lower aspirations for the future, making it essential to</w:t>
            </w:r>
            <w:r w:rsidR="00494DB9">
              <w:rPr>
                <w:rFonts w:ascii="Calibri" w:hAnsi="Calibri" w:cs="Calibri"/>
                <w:sz w:val="22"/>
                <w:szCs w:val="22"/>
              </w:rPr>
              <w:t xml:space="preserve"> </w:t>
            </w:r>
            <w:r w:rsidRPr="00524841">
              <w:rPr>
                <w:rFonts w:ascii="Calibri" w:hAnsi="Calibri" w:cs="Calibri"/>
                <w:sz w:val="22"/>
                <w:szCs w:val="22"/>
              </w:rPr>
              <w:t>provide meaningful opportunities that broaden horizons and raise ambition.</w:t>
            </w:r>
          </w:p>
          <w:p w14:paraId="7C234E07" w14:textId="77777777" w:rsidR="00524841" w:rsidRPr="00524841" w:rsidRDefault="00524841" w:rsidP="00524841">
            <w:pPr>
              <w:pStyle w:val="p1"/>
              <w:rPr>
                <w:rFonts w:ascii="Calibri" w:hAnsi="Calibri" w:cs="Calibri"/>
                <w:b/>
                <w:bCs/>
                <w:sz w:val="22"/>
                <w:szCs w:val="22"/>
              </w:rPr>
            </w:pPr>
          </w:p>
        </w:tc>
      </w:tr>
      <w:tr w:rsidR="00494DB9" w:rsidRPr="007D777A" w14:paraId="51C03A9C"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54E72" w14:textId="56955D38" w:rsidR="00494DB9" w:rsidRDefault="00494DB9">
            <w:pPr>
              <w:pStyle w:val="TableRow"/>
              <w:rPr>
                <w:rFonts w:asciiTheme="minorHAnsi" w:hAnsiTheme="minorHAnsi" w:cstheme="minorHAnsi"/>
                <w:color w:val="auto"/>
                <w:sz w:val="22"/>
                <w:szCs w:val="22"/>
              </w:rPr>
            </w:pPr>
            <w:r>
              <w:rPr>
                <w:rFonts w:asciiTheme="minorHAnsi" w:hAnsiTheme="minorHAnsi" w:cstheme="minorHAnsi"/>
                <w:color w:val="auto"/>
                <w:sz w:val="22"/>
                <w:szCs w:val="22"/>
              </w:rPr>
              <w:t>7</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E4D69" w14:textId="043D53FC" w:rsidR="00494DB9" w:rsidRPr="00494DB9" w:rsidRDefault="00494DB9" w:rsidP="00494DB9">
            <w:pPr>
              <w:pStyle w:val="p1"/>
              <w:rPr>
                <w:rFonts w:ascii="Calibri" w:hAnsi="Calibri" w:cs="Calibri"/>
                <w:color w:val="0C0C0C"/>
                <w:sz w:val="22"/>
                <w:szCs w:val="22"/>
              </w:rPr>
            </w:pPr>
            <w:r w:rsidRPr="00494DB9">
              <w:rPr>
                <w:rFonts w:ascii="Calibri" w:hAnsi="Calibri" w:cs="Calibri"/>
                <w:b/>
                <w:bCs/>
                <w:sz w:val="22"/>
                <w:szCs w:val="22"/>
              </w:rPr>
              <w:t>High pupil mobility</w:t>
            </w:r>
            <w:r w:rsidRPr="00494DB9">
              <w:rPr>
                <w:rFonts w:ascii="Calibri" w:hAnsi="Calibri" w:cs="Calibri"/>
                <w:sz w:val="22"/>
                <w:szCs w:val="22"/>
              </w:rPr>
              <w:t xml:space="preserve"> presents a significant challenge. An increasing number of our disadvantaged pupils join or leave the school at various points throughout the academic year. Frequent school moves disrupt learning continuity and make it harder for pupils to build relationships and feel secure. This affects both academic progress and emotional wellbeing, requiring tailored support to help pupils settle quickly and thrive.</w:t>
            </w:r>
          </w:p>
          <w:p w14:paraId="3ABF2376" w14:textId="77777777" w:rsidR="00494DB9" w:rsidRPr="00494DB9" w:rsidRDefault="00494DB9" w:rsidP="00524841">
            <w:pPr>
              <w:pStyle w:val="p1"/>
              <w:rPr>
                <w:rFonts w:ascii="Calibri" w:hAnsi="Calibri" w:cs="Calibri"/>
                <w:sz w:val="22"/>
                <w:szCs w:val="22"/>
              </w:rPr>
            </w:pPr>
          </w:p>
        </w:tc>
      </w:tr>
    </w:tbl>
    <w:p w14:paraId="2A7D54FF" w14:textId="210E6C23" w:rsidR="00E66558" w:rsidRPr="007D777A" w:rsidRDefault="009D71E8">
      <w:pPr>
        <w:pStyle w:val="Heading2"/>
        <w:spacing w:before="600"/>
        <w:rPr>
          <w:rFonts w:asciiTheme="minorHAnsi" w:hAnsiTheme="minorHAnsi" w:cstheme="minorHAnsi"/>
          <w:color w:val="auto"/>
        </w:rPr>
      </w:pPr>
      <w:r w:rsidRPr="007D777A">
        <w:rPr>
          <w:rFonts w:asciiTheme="minorHAnsi" w:hAnsiTheme="minorHAnsi" w:cstheme="minorHAnsi"/>
          <w:color w:val="auto"/>
        </w:rPr>
        <w:lastRenderedPageBreak/>
        <w:t xml:space="preserve">Intended outcomes </w:t>
      </w:r>
    </w:p>
    <w:p w14:paraId="2A7D5500" w14:textId="77777777" w:rsidR="00E66558" w:rsidRPr="007D777A" w:rsidRDefault="009D71E8">
      <w:pPr>
        <w:rPr>
          <w:rFonts w:asciiTheme="minorHAnsi" w:hAnsiTheme="minorHAnsi" w:cstheme="minorHAnsi"/>
          <w:color w:val="auto"/>
        </w:rPr>
      </w:pPr>
      <w:r w:rsidRPr="007D777A">
        <w:rPr>
          <w:rFonts w:asciiTheme="minorHAnsi" w:hAnsiTheme="minorHAnsi" w:cstheme="minorHAnsi"/>
          <w:color w:val="auto"/>
        </w:rPr>
        <w:t xml:space="preserve">This explains the outcomes we are aiming for </w:t>
      </w:r>
      <w:r w:rsidRPr="007D777A">
        <w:rPr>
          <w:rFonts w:asciiTheme="minorHAnsi" w:hAnsiTheme="minorHAnsi" w:cstheme="minorHAnsi"/>
          <w:b/>
          <w:bCs/>
          <w:color w:val="auto"/>
        </w:rPr>
        <w:t>by the end of our current strategy plan</w:t>
      </w:r>
      <w:r w:rsidRPr="007D777A">
        <w:rPr>
          <w:rFonts w:asciiTheme="minorHAnsi" w:hAnsiTheme="minorHAnsi" w:cstheme="minorHAnsi"/>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604"/>
        <w:gridCol w:w="5167"/>
      </w:tblGrid>
      <w:tr w:rsidR="000F1037" w:rsidRPr="007D777A" w14:paraId="2A7D5503" w14:textId="77777777" w:rsidTr="00072D3D">
        <w:trPr>
          <w:trHeight w:val="161"/>
        </w:trPr>
        <w:tc>
          <w:tcPr>
            <w:tcW w:w="44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Intended outcome</w:t>
            </w:r>
          </w:p>
        </w:tc>
        <w:tc>
          <w:tcPr>
            <w:tcW w:w="50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Success criteria</w:t>
            </w:r>
          </w:p>
        </w:tc>
      </w:tr>
      <w:tr w:rsidR="000F1037" w:rsidRPr="007D777A" w14:paraId="5975DA79" w14:textId="77777777" w:rsidTr="00072D3D">
        <w:trPr>
          <w:trHeight w:val="161"/>
        </w:trPr>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31A8E" w14:textId="42A59A1A" w:rsidR="00494DB9" w:rsidRPr="00494DB9" w:rsidRDefault="00494DB9" w:rsidP="00494DB9">
            <w:pPr>
              <w:pStyle w:val="p1"/>
              <w:rPr>
                <w:rFonts w:ascii="Calibri" w:hAnsi="Calibri" w:cs="Calibri"/>
                <w:sz w:val="22"/>
                <w:szCs w:val="22"/>
              </w:rPr>
            </w:pPr>
            <w:bookmarkStart w:id="17" w:name="_Hlk156995252"/>
            <w:r w:rsidRPr="00494DB9">
              <w:rPr>
                <w:rFonts w:ascii="Calibri" w:hAnsi="Calibri" w:cs="Calibri"/>
                <w:sz w:val="22"/>
                <w:szCs w:val="22"/>
              </w:rPr>
              <w:t>To achieve and sustain</w:t>
            </w:r>
            <w:r>
              <w:rPr>
                <w:rFonts w:ascii="Calibri" w:hAnsi="Calibri" w:cs="Calibri"/>
                <w:sz w:val="22"/>
                <w:szCs w:val="22"/>
              </w:rPr>
              <w:t xml:space="preserve"> </w:t>
            </w:r>
            <w:r w:rsidRPr="00494DB9">
              <w:rPr>
                <w:rFonts w:ascii="Calibri" w:hAnsi="Calibri" w:cs="Calibri"/>
                <w:sz w:val="22"/>
                <w:szCs w:val="22"/>
              </w:rPr>
              <w:t>improved attendance and</w:t>
            </w:r>
            <w:r>
              <w:rPr>
                <w:rFonts w:ascii="Calibri" w:hAnsi="Calibri" w:cs="Calibri"/>
                <w:sz w:val="22"/>
                <w:szCs w:val="22"/>
              </w:rPr>
              <w:t xml:space="preserve"> </w:t>
            </w:r>
            <w:r w:rsidRPr="00494DB9">
              <w:rPr>
                <w:rFonts w:ascii="Calibri" w:hAnsi="Calibri" w:cs="Calibri"/>
                <w:sz w:val="22"/>
                <w:szCs w:val="22"/>
              </w:rPr>
              <w:t>punctuality for all pupils,</w:t>
            </w:r>
            <w:r>
              <w:rPr>
                <w:rFonts w:ascii="Calibri" w:hAnsi="Calibri" w:cs="Calibri"/>
                <w:sz w:val="22"/>
                <w:szCs w:val="22"/>
              </w:rPr>
              <w:t xml:space="preserve"> </w:t>
            </w:r>
            <w:r w:rsidRPr="00494DB9">
              <w:rPr>
                <w:rFonts w:ascii="Calibri" w:hAnsi="Calibri" w:cs="Calibri"/>
                <w:sz w:val="22"/>
                <w:szCs w:val="22"/>
              </w:rPr>
              <w:t>particularly our disadvantaged</w:t>
            </w:r>
            <w:r>
              <w:rPr>
                <w:rFonts w:ascii="Calibri" w:hAnsi="Calibri" w:cs="Calibri"/>
                <w:sz w:val="22"/>
                <w:szCs w:val="22"/>
              </w:rPr>
              <w:t xml:space="preserve"> </w:t>
            </w:r>
            <w:r w:rsidRPr="00494DB9">
              <w:rPr>
                <w:rFonts w:ascii="Calibri" w:hAnsi="Calibri" w:cs="Calibri"/>
                <w:sz w:val="22"/>
                <w:szCs w:val="22"/>
              </w:rPr>
              <w:t>pupils</w:t>
            </w:r>
            <w:r>
              <w:t>.</w:t>
            </w:r>
          </w:p>
          <w:p w14:paraId="2C24E3D4" w14:textId="457F41B8" w:rsidR="00276A69" w:rsidRPr="00771776" w:rsidRDefault="00276A69" w:rsidP="00771776">
            <w:pPr>
              <w:spacing w:after="0" w:line="240" w:lineRule="auto"/>
              <w:rPr>
                <w:rFonts w:asciiTheme="minorHAnsi" w:hAnsiTheme="minorHAnsi" w:cstheme="minorHAnsi"/>
                <w:color w:val="auto"/>
                <w:sz w:val="22"/>
                <w:szCs w:val="22"/>
              </w:rPr>
            </w:pPr>
          </w:p>
        </w:tc>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3A858" w14:textId="70A1D170" w:rsidR="00494DB9" w:rsidRPr="00494DB9" w:rsidRDefault="00494DB9" w:rsidP="00494DB9">
            <w:pPr>
              <w:pStyle w:val="p1"/>
              <w:rPr>
                <w:rFonts w:ascii="Calibri" w:hAnsi="Calibri" w:cs="Calibri"/>
                <w:sz w:val="22"/>
                <w:szCs w:val="22"/>
              </w:rPr>
            </w:pPr>
            <w:r w:rsidRPr="00494DB9">
              <w:rPr>
                <w:rFonts w:ascii="Calibri" w:hAnsi="Calibri" w:cs="Calibri"/>
                <w:sz w:val="22"/>
                <w:szCs w:val="22"/>
              </w:rPr>
              <w:t>A sustained increase in the attendance of disadvantaged pupils by</w:t>
            </w:r>
            <w:r>
              <w:rPr>
                <w:rFonts w:ascii="Calibri" w:hAnsi="Calibri" w:cs="Calibri"/>
                <w:sz w:val="22"/>
                <w:szCs w:val="22"/>
              </w:rPr>
              <w:t xml:space="preserve"> </w:t>
            </w:r>
            <w:r w:rsidRPr="00494DB9">
              <w:rPr>
                <w:rFonts w:ascii="Calibri" w:hAnsi="Calibri" w:cs="Calibri"/>
                <w:sz w:val="22"/>
                <w:szCs w:val="22"/>
              </w:rPr>
              <w:t>the</w:t>
            </w:r>
            <w:r w:rsidR="0060002F">
              <w:rPr>
                <w:rFonts w:ascii="Calibri" w:hAnsi="Calibri" w:cs="Calibri"/>
                <w:sz w:val="22"/>
                <w:szCs w:val="22"/>
              </w:rPr>
              <w:t xml:space="preserve"> end</w:t>
            </w:r>
            <w:r w:rsidRPr="00494DB9">
              <w:rPr>
                <w:rFonts w:ascii="Calibri" w:hAnsi="Calibri" w:cs="Calibri"/>
                <w:sz w:val="22"/>
                <w:szCs w:val="22"/>
              </w:rPr>
              <w:t xml:space="preserve"> of academic year 2027/28 demonstrated by:</w:t>
            </w:r>
          </w:p>
          <w:p w14:paraId="3502C0AA" w14:textId="0C631D60" w:rsidR="00494DB9" w:rsidRPr="00494DB9" w:rsidRDefault="00494DB9" w:rsidP="00494DB9">
            <w:pPr>
              <w:pStyle w:val="p2"/>
              <w:rPr>
                <w:rFonts w:ascii="Calibri" w:hAnsi="Calibri" w:cs="Calibri"/>
                <w:sz w:val="22"/>
                <w:szCs w:val="22"/>
              </w:rPr>
            </w:pPr>
            <w:r w:rsidRPr="00494DB9">
              <w:rPr>
                <w:rStyle w:val="s1"/>
                <w:rFonts w:ascii="Calibri" w:hAnsi="Calibri" w:cs="Calibri"/>
                <w:sz w:val="22"/>
                <w:szCs w:val="22"/>
              </w:rPr>
              <w:t>•</w:t>
            </w:r>
            <w:r w:rsidRPr="00494DB9">
              <w:rPr>
                <w:rFonts w:ascii="Calibri" w:hAnsi="Calibri" w:cs="Calibri"/>
                <w:sz w:val="22"/>
                <w:szCs w:val="22"/>
              </w:rPr>
              <w:t xml:space="preserve"> The overall absence rate for all pupils being no more than 5% and there will be</w:t>
            </w:r>
            <w:r>
              <w:rPr>
                <w:rFonts w:ascii="Calibri" w:hAnsi="Calibri" w:cs="Calibri"/>
                <w:sz w:val="22"/>
                <w:szCs w:val="22"/>
              </w:rPr>
              <w:t xml:space="preserve"> </w:t>
            </w:r>
            <w:r w:rsidRPr="00494DB9">
              <w:rPr>
                <w:rFonts w:ascii="Calibri" w:hAnsi="Calibri" w:cs="Calibri"/>
                <w:b/>
                <w:bCs/>
                <w:sz w:val="22"/>
                <w:szCs w:val="22"/>
              </w:rPr>
              <w:t>no</w:t>
            </w:r>
            <w:r w:rsidRPr="00494DB9">
              <w:rPr>
                <w:rFonts w:ascii="Calibri" w:hAnsi="Calibri" w:cs="Calibri"/>
                <w:sz w:val="22"/>
                <w:szCs w:val="22"/>
              </w:rPr>
              <w:t xml:space="preserve"> gap in attendance for our disadvantaged pupils.</w:t>
            </w:r>
          </w:p>
          <w:p w14:paraId="1E4508F8" w14:textId="3D0EC8A2" w:rsidR="004674D9" w:rsidRPr="003C2FAA" w:rsidRDefault="00494DB9" w:rsidP="003C2FAA">
            <w:pPr>
              <w:pStyle w:val="p2"/>
              <w:rPr>
                <w:rFonts w:ascii="Calibri" w:hAnsi="Calibri" w:cs="Calibri"/>
                <w:sz w:val="22"/>
                <w:szCs w:val="22"/>
              </w:rPr>
            </w:pPr>
            <w:r w:rsidRPr="00494DB9">
              <w:rPr>
                <w:rStyle w:val="s1"/>
                <w:rFonts w:ascii="Calibri" w:hAnsi="Calibri" w:cs="Calibri"/>
                <w:sz w:val="22"/>
                <w:szCs w:val="22"/>
              </w:rPr>
              <w:t>•</w:t>
            </w:r>
            <w:r w:rsidRPr="00494DB9">
              <w:rPr>
                <w:rFonts w:ascii="Calibri" w:hAnsi="Calibri" w:cs="Calibri"/>
                <w:sz w:val="22"/>
                <w:szCs w:val="22"/>
              </w:rPr>
              <w:t xml:space="preserve"> The percentage of all pupils who are persistently absent being</w:t>
            </w:r>
            <w:r>
              <w:rPr>
                <w:rFonts w:ascii="Calibri" w:hAnsi="Calibri" w:cs="Calibri"/>
                <w:sz w:val="22"/>
                <w:szCs w:val="22"/>
              </w:rPr>
              <w:t xml:space="preserve"> </w:t>
            </w:r>
            <w:r w:rsidRPr="00494DB9">
              <w:rPr>
                <w:rFonts w:ascii="Calibri" w:hAnsi="Calibri" w:cs="Calibri"/>
                <w:sz w:val="22"/>
                <w:szCs w:val="22"/>
              </w:rPr>
              <w:t xml:space="preserve">below </w:t>
            </w:r>
            <w:r w:rsidR="003C2FAA">
              <w:rPr>
                <w:rFonts w:ascii="Calibri" w:hAnsi="Calibri" w:cs="Calibri"/>
                <w:sz w:val="22"/>
                <w:szCs w:val="22"/>
              </w:rPr>
              <w:t>15</w:t>
            </w:r>
            <w:r w:rsidRPr="00494DB9">
              <w:rPr>
                <w:rFonts w:ascii="Calibri" w:hAnsi="Calibri" w:cs="Calibri"/>
                <w:sz w:val="22"/>
                <w:szCs w:val="22"/>
              </w:rPr>
              <w:t>% (provisional national average) and the figure</w:t>
            </w:r>
            <w:r w:rsidR="003C2FAA">
              <w:rPr>
                <w:rFonts w:ascii="Calibri" w:hAnsi="Calibri" w:cs="Calibri"/>
                <w:sz w:val="22"/>
                <w:szCs w:val="22"/>
              </w:rPr>
              <w:t xml:space="preserve"> </w:t>
            </w:r>
            <w:r w:rsidRPr="00494DB9">
              <w:rPr>
                <w:rFonts w:ascii="Calibri" w:hAnsi="Calibri" w:cs="Calibri"/>
                <w:sz w:val="22"/>
                <w:szCs w:val="22"/>
              </w:rPr>
              <w:t>among disadvantaged pupils being no lower than their peers</w:t>
            </w:r>
          </w:p>
        </w:tc>
      </w:tr>
      <w:tr w:rsidR="00B102B9" w:rsidRPr="007D777A" w14:paraId="49C3A987" w14:textId="77777777" w:rsidTr="003C2FAA">
        <w:trPr>
          <w:trHeight w:val="1118"/>
        </w:trPr>
        <w:tc>
          <w:tcPr>
            <w:tcW w:w="4470" w:type="dxa"/>
            <w:tcBorders>
              <w:top w:val="single" w:sz="4" w:space="0" w:color="000000"/>
              <w:left w:val="single" w:sz="4" w:space="0" w:color="000000"/>
              <w:right w:val="single" w:sz="4" w:space="0" w:color="000000"/>
            </w:tcBorders>
            <w:tcMar>
              <w:top w:w="0" w:type="dxa"/>
              <w:left w:w="108" w:type="dxa"/>
              <w:bottom w:w="0" w:type="dxa"/>
              <w:right w:w="108" w:type="dxa"/>
            </w:tcMar>
          </w:tcPr>
          <w:p w14:paraId="1F2859E3" w14:textId="6A4DF981" w:rsidR="003C2FAA" w:rsidRPr="003C2FAA" w:rsidRDefault="003C2FAA" w:rsidP="003C2FAA">
            <w:pPr>
              <w:pStyle w:val="p1"/>
              <w:rPr>
                <w:rFonts w:ascii="Calibri" w:hAnsi="Calibri" w:cs="Calibri"/>
                <w:color w:val="0C0C0C"/>
                <w:sz w:val="22"/>
                <w:szCs w:val="22"/>
              </w:rPr>
            </w:pPr>
            <w:r w:rsidRPr="003C2FAA">
              <w:rPr>
                <w:rFonts w:ascii="Calibri" w:hAnsi="Calibri" w:cs="Calibri"/>
                <w:b/>
                <w:color w:val="auto"/>
                <w:sz w:val="22"/>
                <w:szCs w:val="22"/>
              </w:rPr>
              <w:t>Im</w:t>
            </w:r>
            <w:r>
              <w:rPr>
                <w:rFonts w:ascii="Calibri" w:hAnsi="Calibri" w:cs="Calibri"/>
                <w:b/>
                <w:sz w:val="22"/>
                <w:szCs w:val="22"/>
              </w:rPr>
              <w:t xml:space="preserve">prove </w:t>
            </w:r>
            <w:r w:rsidRPr="003C2FAA">
              <w:rPr>
                <w:rFonts w:ascii="Calibri" w:hAnsi="Calibri" w:cs="Calibri"/>
                <w:sz w:val="22"/>
                <w:szCs w:val="22"/>
              </w:rPr>
              <w:t>attainment for</w:t>
            </w:r>
            <w:r>
              <w:rPr>
                <w:rFonts w:ascii="Calibri" w:hAnsi="Calibri" w:cs="Calibri"/>
                <w:sz w:val="22"/>
                <w:szCs w:val="22"/>
              </w:rPr>
              <w:t xml:space="preserve"> </w:t>
            </w:r>
            <w:r w:rsidRPr="003C2FAA">
              <w:rPr>
                <w:rFonts w:ascii="Calibri" w:hAnsi="Calibri" w:cs="Calibri"/>
                <w:sz w:val="22"/>
                <w:szCs w:val="22"/>
              </w:rPr>
              <w:t>disadvantaged pupils at the end</w:t>
            </w:r>
            <w:r>
              <w:rPr>
                <w:rFonts w:ascii="Calibri" w:hAnsi="Calibri" w:cs="Calibri"/>
                <w:sz w:val="22"/>
                <w:szCs w:val="22"/>
              </w:rPr>
              <w:t xml:space="preserve"> </w:t>
            </w:r>
            <w:r w:rsidRPr="003C2FAA">
              <w:rPr>
                <w:rFonts w:ascii="Calibri" w:hAnsi="Calibri" w:cs="Calibri"/>
                <w:sz w:val="22"/>
                <w:szCs w:val="22"/>
              </w:rPr>
              <w:t>of Reception</w:t>
            </w:r>
            <w:r>
              <w:rPr>
                <w:rFonts w:ascii="Calibri" w:hAnsi="Calibri" w:cs="Calibri"/>
                <w:sz w:val="22"/>
                <w:szCs w:val="22"/>
              </w:rPr>
              <w:t xml:space="preserve"> so that</w:t>
            </w:r>
          </w:p>
          <w:p w14:paraId="4C8DDB04" w14:textId="6A0D2630" w:rsidR="00B102B9" w:rsidRPr="00BF0BB4" w:rsidRDefault="00B102B9">
            <w:pPr>
              <w:pStyle w:val="TableHeader"/>
              <w:jc w:val="left"/>
              <w:rPr>
                <w:rFonts w:asciiTheme="minorHAnsi" w:hAnsiTheme="minorHAnsi" w:cstheme="minorHAnsi"/>
                <w:b w:val="0"/>
                <w:color w:val="auto"/>
                <w:sz w:val="22"/>
                <w:szCs w:val="22"/>
              </w:rPr>
            </w:pPr>
          </w:p>
          <w:p w14:paraId="5E0031DC" w14:textId="659A7B72" w:rsidR="00B102B9" w:rsidRPr="00BF0BB4" w:rsidRDefault="00B102B9" w:rsidP="003C2FAA">
            <w:pPr>
              <w:pStyle w:val="TableHeader"/>
              <w:ind w:left="0"/>
              <w:jc w:val="left"/>
              <w:rPr>
                <w:rFonts w:asciiTheme="minorHAnsi" w:hAnsiTheme="minorHAnsi" w:cstheme="minorHAnsi"/>
                <w:b w:val="0"/>
                <w:color w:val="auto"/>
                <w:sz w:val="22"/>
                <w:szCs w:val="22"/>
              </w:rPr>
            </w:pPr>
          </w:p>
        </w:tc>
        <w:tc>
          <w:tcPr>
            <w:tcW w:w="5016" w:type="dxa"/>
            <w:tcBorders>
              <w:top w:val="single" w:sz="4" w:space="0" w:color="000000"/>
              <w:left w:val="single" w:sz="4" w:space="0" w:color="000000"/>
              <w:right w:val="single" w:sz="4" w:space="0" w:color="000000"/>
            </w:tcBorders>
            <w:tcMar>
              <w:top w:w="0" w:type="dxa"/>
              <w:left w:w="108" w:type="dxa"/>
              <w:bottom w:w="0" w:type="dxa"/>
              <w:right w:w="108" w:type="dxa"/>
            </w:tcMar>
          </w:tcPr>
          <w:p w14:paraId="4885A2CF" w14:textId="74AB0146" w:rsidR="00B73AA9" w:rsidRPr="003C2FAA" w:rsidRDefault="003C2FAA" w:rsidP="003C2FAA">
            <w:pPr>
              <w:pStyle w:val="p1"/>
              <w:rPr>
                <w:rFonts w:ascii="Calibri" w:hAnsi="Calibri" w:cs="Calibri"/>
                <w:color w:val="0C0C0C"/>
                <w:sz w:val="22"/>
                <w:szCs w:val="22"/>
              </w:rPr>
            </w:pPr>
            <w:r w:rsidRPr="003C2FAA">
              <w:rPr>
                <w:rFonts w:ascii="Calibri" w:hAnsi="Calibri" w:cs="Calibri"/>
                <w:sz w:val="22"/>
                <w:szCs w:val="22"/>
              </w:rPr>
              <w:t>Over the three-year period to 2027/28, EYFS profile outcomes</w:t>
            </w:r>
            <w:r>
              <w:rPr>
                <w:rFonts w:ascii="Calibri" w:hAnsi="Calibri" w:cs="Calibri"/>
                <w:sz w:val="22"/>
                <w:szCs w:val="22"/>
              </w:rPr>
              <w:t xml:space="preserve"> </w:t>
            </w:r>
            <w:r w:rsidRPr="003C2FAA">
              <w:rPr>
                <w:rFonts w:ascii="Calibri" w:hAnsi="Calibri" w:cs="Calibri"/>
                <w:b/>
                <w:bCs/>
                <w:sz w:val="22"/>
                <w:szCs w:val="22"/>
              </w:rPr>
              <w:t>continue to show</w:t>
            </w:r>
            <w:r w:rsidRPr="003C2FAA">
              <w:rPr>
                <w:rFonts w:ascii="Calibri" w:hAnsi="Calibri" w:cs="Calibri"/>
                <w:sz w:val="22"/>
                <w:szCs w:val="22"/>
              </w:rPr>
              <w:t xml:space="preserve"> that at least </w:t>
            </w:r>
            <w:r>
              <w:rPr>
                <w:rFonts w:ascii="Calibri" w:hAnsi="Calibri" w:cs="Calibri"/>
                <w:sz w:val="22"/>
                <w:szCs w:val="22"/>
              </w:rPr>
              <w:t>60</w:t>
            </w:r>
            <w:r w:rsidRPr="003C2FAA">
              <w:rPr>
                <w:rFonts w:ascii="Calibri" w:hAnsi="Calibri" w:cs="Calibri"/>
                <w:sz w:val="22"/>
                <w:szCs w:val="22"/>
              </w:rPr>
              <w:t>% of disadvantaged pupils</w:t>
            </w:r>
            <w:r>
              <w:rPr>
                <w:rFonts w:ascii="Calibri" w:hAnsi="Calibri" w:cs="Calibri"/>
                <w:sz w:val="22"/>
                <w:szCs w:val="22"/>
              </w:rPr>
              <w:t xml:space="preserve"> </w:t>
            </w:r>
            <w:r w:rsidRPr="003C2FAA">
              <w:rPr>
                <w:rFonts w:ascii="Calibri" w:hAnsi="Calibri" w:cs="Calibri"/>
                <w:sz w:val="22"/>
                <w:szCs w:val="22"/>
              </w:rPr>
              <w:t>achieve a GLD (latest national average for disadvantaged –51.5%)</w:t>
            </w:r>
          </w:p>
        </w:tc>
      </w:tr>
      <w:tr w:rsidR="00115632" w:rsidRPr="007D777A" w14:paraId="121AF5AC" w14:textId="77777777" w:rsidTr="00072D3D">
        <w:trPr>
          <w:trHeight w:val="161"/>
        </w:trPr>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1AD94" w14:textId="08BF1F83" w:rsidR="003C2FAA" w:rsidRPr="003C2FAA" w:rsidRDefault="003C2FAA" w:rsidP="003C2FAA">
            <w:pPr>
              <w:pStyle w:val="p1"/>
              <w:rPr>
                <w:rFonts w:asciiTheme="minorHAnsi" w:hAnsiTheme="minorHAnsi" w:cstheme="minorHAnsi"/>
                <w:color w:val="0C0C0C"/>
                <w:sz w:val="22"/>
                <w:szCs w:val="22"/>
              </w:rPr>
            </w:pPr>
            <w:r>
              <w:rPr>
                <w:rFonts w:asciiTheme="minorHAnsi" w:hAnsiTheme="minorHAnsi" w:cstheme="minorHAnsi"/>
                <w:sz w:val="22"/>
                <w:szCs w:val="22"/>
              </w:rPr>
              <w:t>Improve</w:t>
            </w:r>
            <w:r w:rsidRPr="003C2FAA">
              <w:rPr>
                <w:rFonts w:asciiTheme="minorHAnsi" w:hAnsiTheme="minorHAnsi" w:cstheme="minorHAnsi"/>
                <w:sz w:val="22"/>
                <w:szCs w:val="22"/>
              </w:rPr>
              <w:t xml:space="preserve"> attainment in</w:t>
            </w:r>
            <w:r>
              <w:rPr>
                <w:rFonts w:asciiTheme="minorHAnsi" w:hAnsiTheme="minorHAnsi" w:cstheme="minorHAnsi"/>
                <w:sz w:val="22"/>
                <w:szCs w:val="22"/>
              </w:rPr>
              <w:t xml:space="preserve"> </w:t>
            </w:r>
            <w:r w:rsidRPr="003C2FAA">
              <w:rPr>
                <w:rFonts w:asciiTheme="minorHAnsi" w:hAnsiTheme="minorHAnsi" w:cstheme="minorHAnsi"/>
                <w:sz w:val="22"/>
                <w:szCs w:val="22"/>
              </w:rPr>
              <w:t>phonics for disadvantaged pupils</w:t>
            </w:r>
            <w:r>
              <w:rPr>
                <w:rFonts w:asciiTheme="minorHAnsi" w:hAnsiTheme="minorHAnsi" w:cstheme="minorHAnsi"/>
                <w:sz w:val="22"/>
                <w:szCs w:val="22"/>
              </w:rPr>
              <w:t xml:space="preserve"> </w:t>
            </w:r>
            <w:r w:rsidRPr="003C2FAA">
              <w:rPr>
                <w:rFonts w:asciiTheme="minorHAnsi" w:hAnsiTheme="minorHAnsi" w:cstheme="minorHAnsi"/>
                <w:sz w:val="22"/>
                <w:szCs w:val="22"/>
              </w:rPr>
              <w:t>at the end of Year 1</w:t>
            </w:r>
          </w:p>
          <w:p w14:paraId="342AE000" w14:textId="1E7522C8" w:rsidR="00B671B1" w:rsidRPr="00F672D8" w:rsidRDefault="00B671B1" w:rsidP="00F672D8">
            <w:pPr>
              <w:pStyle w:val="TableHeader"/>
              <w:jc w:val="left"/>
              <w:rPr>
                <w:rFonts w:asciiTheme="minorHAnsi" w:hAnsiTheme="minorHAnsi" w:cstheme="minorHAnsi"/>
                <w:b w:val="0"/>
                <w:color w:val="auto"/>
                <w:sz w:val="22"/>
                <w:szCs w:val="22"/>
              </w:rPr>
            </w:pPr>
          </w:p>
        </w:tc>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02C93" w14:textId="740AF45E" w:rsidR="00115632" w:rsidRPr="003C2FAA" w:rsidRDefault="003C2FAA" w:rsidP="003C2FAA">
            <w:pPr>
              <w:pStyle w:val="p1"/>
              <w:rPr>
                <w:rFonts w:asciiTheme="minorHAnsi" w:hAnsiTheme="minorHAnsi" w:cstheme="minorHAnsi"/>
                <w:color w:val="0C0C0C"/>
                <w:sz w:val="22"/>
                <w:szCs w:val="22"/>
              </w:rPr>
            </w:pPr>
            <w:r w:rsidRPr="003C2FAA">
              <w:rPr>
                <w:rFonts w:asciiTheme="minorHAnsi" w:hAnsiTheme="minorHAnsi" w:cstheme="minorHAnsi"/>
                <w:sz w:val="22"/>
                <w:szCs w:val="22"/>
              </w:rPr>
              <w:t>Over the three-year period to 2027/28, Y1 PSC outcomes</w:t>
            </w:r>
            <w:r>
              <w:rPr>
                <w:rFonts w:asciiTheme="minorHAnsi" w:hAnsiTheme="minorHAnsi" w:cstheme="minorHAnsi"/>
                <w:sz w:val="22"/>
                <w:szCs w:val="22"/>
              </w:rPr>
              <w:t xml:space="preserve"> </w:t>
            </w:r>
            <w:r w:rsidRPr="003C2FAA">
              <w:rPr>
                <w:rFonts w:asciiTheme="minorHAnsi" w:hAnsiTheme="minorHAnsi" w:cstheme="minorHAnsi"/>
                <w:b/>
                <w:bCs/>
                <w:sz w:val="22"/>
                <w:szCs w:val="22"/>
              </w:rPr>
              <w:t>continue to show</w:t>
            </w:r>
            <w:r w:rsidRPr="003C2FAA">
              <w:rPr>
                <w:rFonts w:asciiTheme="minorHAnsi" w:hAnsiTheme="minorHAnsi" w:cstheme="minorHAnsi"/>
                <w:sz w:val="22"/>
                <w:szCs w:val="22"/>
              </w:rPr>
              <w:t xml:space="preserve"> that at least 80% of disadvantaged pupils pass</w:t>
            </w:r>
            <w:r>
              <w:rPr>
                <w:rFonts w:asciiTheme="minorHAnsi" w:hAnsiTheme="minorHAnsi" w:cstheme="minorHAnsi"/>
                <w:sz w:val="22"/>
                <w:szCs w:val="22"/>
              </w:rPr>
              <w:t xml:space="preserve"> </w:t>
            </w:r>
            <w:r w:rsidRPr="003C2FAA">
              <w:rPr>
                <w:rFonts w:asciiTheme="minorHAnsi" w:hAnsiTheme="minorHAnsi" w:cstheme="minorHAnsi"/>
                <w:sz w:val="22"/>
                <w:szCs w:val="22"/>
              </w:rPr>
              <w:t>the phonics screening check (latest national average for</w:t>
            </w:r>
            <w:r>
              <w:rPr>
                <w:rFonts w:asciiTheme="minorHAnsi" w:hAnsiTheme="minorHAnsi" w:cstheme="minorHAnsi"/>
                <w:sz w:val="22"/>
                <w:szCs w:val="22"/>
              </w:rPr>
              <w:t xml:space="preserve"> </w:t>
            </w:r>
            <w:r w:rsidRPr="003C2FAA">
              <w:rPr>
                <w:rFonts w:asciiTheme="minorHAnsi" w:hAnsiTheme="minorHAnsi" w:cstheme="minorHAnsi"/>
                <w:sz w:val="22"/>
                <w:szCs w:val="22"/>
              </w:rPr>
              <w:t>disadvantaged – 68%).</w:t>
            </w:r>
          </w:p>
        </w:tc>
      </w:tr>
      <w:tr w:rsidR="000F1037" w:rsidRPr="007D777A" w14:paraId="041A556A" w14:textId="77777777" w:rsidTr="00072D3D">
        <w:trPr>
          <w:trHeight w:val="161"/>
        </w:trPr>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0E3A" w14:textId="71B1C3FC" w:rsidR="003C2FAA" w:rsidRPr="003C2FAA" w:rsidRDefault="003C2FAA" w:rsidP="003C2FAA">
            <w:pPr>
              <w:pStyle w:val="p1"/>
              <w:rPr>
                <w:rFonts w:asciiTheme="minorHAnsi" w:hAnsiTheme="minorHAnsi" w:cstheme="minorHAnsi"/>
                <w:color w:val="0C0C0C"/>
                <w:sz w:val="22"/>
                <w:szCs w:val="22"/>
              </w:rPr>
            </w:pPr>
            <w:r w:rsidRPr="003C2FAA">
              <w:rPr>
                <w:rFonts w:asciiTheme="minorHAnsi" w:hAnsiTheme="minorHAnsi" w:cstheme="minorHAnsi"/>
                <w:sz w:val="22"/>
                <w:szCs w:val="22"/>
              </w:rPr>
              <w:t>Improved attainment in reading,</w:t>
            </w:r>
            <w:r>
              <w:rPr>
                <w:rFonts w:asciiTheme="minorHAnsi" w:hAnsiTheme="minorHAnsi" w:cstheme="minorHAnsi"/>
                <w:sz w:val="22"/>
                <w:szCs w:val="22"/>
              </w:rPr>
              <w:t xml:space="preserve"> </w:t>
            </w:r>
            <w:r w:rsidRPr="003C2FAA">
              <w:rPr>
                <w:rFonts w:asciiTheme="minorHAnsi" w:hAnsiTheme="minorHAnsi" w:cstheme="minorHAnsi"/>
                <w:sz w:val="22"/>
                <w:szCs w:val="22"/>
              </w:rPr>
              <w:t>writing and maths for</w:t>
            </w:r>
            <w:r>
              <w:rPr>
                <w:rFonts w:asciiTheme="minorHAnsi" w:hAnsiTheme="minorHAnsi" w:cstheme="minorHAnsi"/>
                <w:sz w:val="22"/>
                <w:szCs w:val="22"/>
              </w:rPr>
              <w:t xml:space="preserve"> </w:t>
            </w:r>
            <w:r w:rsidRPr="003C2FAA">
              <w:rPr>
                <w:rFonts w:asciiTheme="minorHAnsi" w:hAnsiTheme="minorHAnsi" w:cstheme="minorHAnsi"/>
                <w:sz w:val="22"/>
                <w:szCs w:val="22"/>
              </w:rPr>
              <w:t>disadvantaged pupils at the end</w:t>
            </w:r>
          </w:p>
          <w:p w14:paraId="04AA7EBF" w14:textId="77777777" w:rsidR="003C2FAA" w:rsidRPr="003C2FAA" w:rsidRDefault="003C2FAA" w:rsidP="003C2FAA">
            <w:pPr>
              <w:pStyle w:val="p1"/>
              <w:rPr>
                <w:rFonts w:asciiTheme="minorHAnsi" w:hAnsiTheme="minorHAnsi" w:cstheme="minorHAnsi"/>
                <w:sz w:val="22"/>
                <w:szCs w:val="22"/>
              </w:rPr>
            </w:pPr>
            <w:r w:rsidRPr="003C2FAA">
              <w:rPr>
                <w:rFonts w:asciiTheme="minorHAnsi" w:hAnsiTheme="minorHAnsi" w:cstheme="minorHAnsi"/>
                <w:sz w:val="22"/>
                <w:szCs w:val="22"/>
              </w:rPr>
              <w:t>of KS1 &amp; KS2.</w:t>
            </w:r>
          </w:p>
          <w:p w14:paraId="0018CEFA" w14:textId="1726BD1D" w:rsidR="006A5AEB" w:rsidRPr="00F672D8" w:rsidRDefault="006A5AEB" w:rsidP="00F672D8">
            <w:pPr>
              <w:pStyle w:val="TableHeader"/>
              <w:jc w:val="left"/>
              <w:rPr>
                <w:rFonts w:asciiTheme="minorHAnsi" w:hAnsiTheme="minorHAnsi" w:cstheme="minorHAnsi"/>
                <w:b w:val="0"/>
                <w:color w:val="auto"/>
                <w:sz w:val="22"/>
                <w:szCs w:val="22"/>
              </w:rPr>
            </w:pPr>
          </w:p>
        </w:tc>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DFD9" w14:textId="792BA0F4" w:rsidR="003C2FAA" w:rsidRPr="003C2FAA" w:rsidRDefault="003C2FAA" w:rsidP="003C2FAA">
            <w:pPr>
              <w:pStyle w:val="p1"/>
              <w:rPr>
                <w:rFonts w:asciiTheme="minorHAnsi" w:hAnsiTheme="minorHAnsi" w:cstheme="minorHAnsi"/>
                <w:color w:val="0C0C0C"/>
                <w:sz w:val="22"/>
                <w:szCs w:val="22"/>
              </w:rPr>
            </w:pPr>
            <w:r w:rsidRPr="003C2FAA">
              <w:rPr>
                <w:rFonts w:asciiTheme="minorHAnsi" w:hAnsiTheme="minorHAnsi" w:cstheme="minorHAnsi"/>
                <w:sz w:val="22"/>
                <w:szCs w:val="22"/>
              </w:rPr>
              <w:t xml:space="preserve">KS2 reading and writing outcomes by 2027/28 show that </w:t>
            </w:r>
            <w:r w:rsidRPr="003C2FAA">
              <w:rPr>
                <w:rFonts w:asciiTheme="minorHAnsi" w:hAnsiTheme="minorHAnsi" w:cstheme="minorHAnsi"/>
                <w:b/>
                <w:bCs/>
                <w:sz w:val="22"/>
                <w:szCs w:val="22"/>
              </w:rPr>
              <w:t>more</w:t>
            </w:r>
            <w:r>
              <w:rPr>
                <w:rFonts w:asciiTheme="minorHAnsi" w:hAnsiTheme="minorHAnsi" w:cstheme="minorHAnsi"/>
                <w:b/>
                <w:bCs/>
                <w:sz w:val="22"/>
                <w:szCs w:val="22"/>
              </w:rPr>
              <w:t xml:space="preserve"> </w:t>
            </w:r>
            <w:r w:rsidRPr="003C2FAA">
              <w:rPr>
                <w:rFonts w:asciiTheme="minorHAnsi" w:hAnsiTheme="minorHAnsi" w:cstheme="minorHAnsi"/>
                <w:b/>
                <w:bCs/>
                <w:sz w:val="22"/>
                <w:szCs w:val="22"/>
              </w:rPr>
              <w:t>than 55% of disadvantaged pupils met the expected standard</w:t>
            </w:r>
            <w:r>
              <w:rPr>
                <w:rFonts w:asciiTheme="minorHAnsi" w:hAnsiTheme="minorHAnsi" w:cstheme="minorHAnsi"/>
                <w:b/>
                <w:bCs/>
                <w:sz w:val="22"/>
                <w:szCs w:val="22"/>
              </w:rPr>
              <w:t xml:space="preserve"> </w:t>
            </w:r>
            <w:r w:rsidRPr="003C2FAA">
              <w:rPr>
                <w:rFonts w:asciiTheme="minorHAnsi" w:hAnsiTheme="minorHAnsi" w:cstheme="minorHAnsi"/>
                <w:b/>
                <w:bCs/>
                <w:sz w:val="22"/>
                <w:szCs w:val="22"/>
              </w:rPr>
              <w:t xml:space="preserve">in reading, writing and maths </w:t>
            </w:r>
            <w:r w:rsidRPr="003C2FAA">
              <w:rPr>
                <w:rFonts w:asciiTheme="minorHAnsi" w:hAnsiTheme="minorHAnsi" w:cstheme="minorHAnsi"/>
                <w:sz w:val="22"/>
                <w:szCs w:val="22"/>
              </w:rPr>
              <w:t>(last national data for</w:t>
            </w:r>
            <w:r>
              <w:rPr>
                <w:rFonts w:asciiTheme="minorHAnsi" w:hAnsiTheme="minorHAnsi" w:cstheme="minorHAnsi"/>
                <w:sz w:val="22"/>
                <w:szCs w:val="22"/>
              </w:rPr>
              <w:t xml:space="preserve"> </w:t>
            </w:r>
            <w:r w:rsidRPr="003C2FAA">
              <w:rPr>
                <w:rFonts w:asciiTheme="minorHAnsi" w:hAnsiTheme="minorHAnsi" w:cstheme="minorHAnsi"/>
                <w:sz w:val="22"/>
                <w:szCs w:val="22"/>
              </w:rPr>
              <w:t>disadvantaged - 47%).</w:t>
            </w:r>
          </w:p>
          <w:p w14:paraId="52C90038" w14:textId="4F4E6ADE" w:rsidR="001123C5" w:rsidRPr="003C2FAA" w:rsidRDefault="003C2FAA" w:rsidP="003C2FAA">
            <w:pPr>
              <w:pStyle w:val="p1"/>
              <w:rPr>
                <w:rFonts w:asciiTheme="minorHAnsi" w:hAnsiTheme="minorHAnsi" w:cstheme="minorHAnsi"/>
                <w:sz w:val="22"/>
                <w:szCs w:val="22"/>
              </w:rPr>
            </w:pPr>
            <w:r w:rsidRPr="003C2FAA">
              <w:rPr>
                <w:rFonts w:asciiTheme="minorHAnsi" w:hAnsiTheme="minorHAnsi" w:cstheme="minorHAnsi"/>
                <w:sz w:val="22"/>
                <w:szCs w:val="22"/>
              </w:rPr>
              <w:t>In each individual subject (reading, writing and mathematics), at</w:t>
            </w:r>
            <w:r>
              <w:rPr>
                <w:rFonts w:asciiTheme="minorHAnsi" w:hAnsiTheme="minorHAnsi" w:cstheme="minorHAnsi"/>
                <w:sz w:val="22"/>
                <w:szCs w:val="22"/>
              </w:rPr>
              <w:t xml:space="preserve"> l</w:t>
            </w:r>
            <w:r w:rsidRPr="003C2FAA">
              <w:rPr>
                <w:rFonts w:asciiTheme="minorHAnsi" w:hAnsiTheme="minorHAnsi" w:cstheme="minorHAnsi"/>
                <w:sz w:val="22"/>
                <w:szCs w:val="22"/>
              </w:rPr>
              <w:t>east 6</w:t>
            </w:r>
            <w:r>
              <w:rPr>
                <w:rFonts w:asciiTheme="minorHAnsi" w:hAnsiTheme="minorHAnsi" w:cstheme="minorHAnsi"/>
                <w:sz w:val="22"/>
                <w:szCs w:val="22"/>
              </w:rPr>
              <w:t>0</w:t>
            </w:r>
            <w:r w:rsidRPr="003C2FAA">
              <w:rPr>
                <w:rFonts w:asciiTheme="minorHAnsi" w:hAnsiTheme="minorHAnsi" w:cstheme="minorHAnsi"/>
                <w:sz w:val="22"/>
                <w:szCs w:val="22"/>
              </w:rPr>
              <w:t>% of disadvantaged pupils reach the expected standard.</w:t>
            </w:r>
          </w:p>
        </w:tc>
      </w:tr>
      <w:tr w:rsidR="003C2FAA" w:rsidRPr="007D777A" w14:paraId="7DC8E4CB" w14:textId="77777777" w:rsidTr="00072D3D">
        <w:trPr>
          <w:trHeight w:val="161"/>
        </w:trPr>
        <w:tc>
          <w:tcPr>
            <w:tcW w:w="4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8B561" w14:textId="1D944D71" w:rsidR="003C2FAA" w:rsidRPr="003C2FAA" w:rsidRDefault="003C2FAA" w:rsidP="003C2FAA">
            <w:pPr>
              <w:pStyle w:val="p1"/>
              <w:rPr>
                <w:rFonts w:asciiTheme="minorHAnsi" w:hAnsiTheme="minorHAnsi" w:cstheme="minorHAnsi"/>
                <w:sz w:val="22"/>
                <w:szCs w:val="22"/>
              </w:rPr>
            </w:pPr>
            <w:r w:rsidRPr="003C2FAA">
              <w:rPr>
                <w:rFonts w:asciiTheme="minorHAnsi" w:hAnsiTheme="minorHAnsi" w:cstheme="minorHAnsi"/>
                <w:sz w:val="22"/>
                <w:szCs w:val="22"/>
              </w:rPr>
              <w:t>To achieve and sustain</w:t>
            </w:r>
            <w:r>
              <w:rPr>
                <w:rFonts w:asciiTheme="minorHAnsi" w:hAnsiTheme="minorHAnsi" w:cstheme="minorHAnsi"/>
                <w:sz w:val="22"/>
                <w:szCs w:val="22"/>
              </w:rPr>
              <w:t xml:space="preserve"> </w:t>
            </w:r>
            <w:r w:rsidRPr="003C2FAA">
              <w:rPr>
                <w:rFonts w:asciiTheme="minorHAnsi" w:hAnsiTheme="minorHAnsi" w:cstheme="minorHAnsi"/>
                <w:sz w:val="22"/>
                <w:szCs w:val="22"/>
              </w:rPr>
              <w:t>improved wellbeing for all pupils</w:t>
            </w:r>
            <w:r>
              <w:rPr>
                <w:rFonts w:asciiTheme="minorHAnsi" w:hAnsiTheme="minorHAnsi" w:cstheme="minorHAnsi"/>
                <w:sz w:val="22"/>
                <w:szCs w:val="22"/>
              </w:rPr>
              <w:t xml:space="preserve"> </w:t>
            </w:r>
            <w:r w:rsidRPr="003C2FAA">
              <w:rPr>
                <w:rFonts w:asciiTheme="minorHAnsi" w:hAnsiTheme="minorHAnsi" w:cstheme="minorHAnsi"/>
                <w:sz w:val="22"/>
                <w:szCs w:val="22"/>
              </w:rPr>
              <w:t xml:space="preserve">in our school, particularly </w:t>
            </w:r>
            <w:proofErr w:type="gramStart"/>
            <w:r w:rsidRPr="003C2FAA">
              <w:rPr>
                <w:rFonts w:asciiTheme="minorHAnsi" w:hAnsiTheme="minorHAnsi" w:cstheme="minorHAnsi"/>
                <w:sz w:val="22"/>
                <w:szCs w:val="22"/>
              </w:rPr>
              <w:t>our</w:t>
            </w:r>
            <w:proofErr w:type="gramEnd"/>
          </w:p>
          <w:p w14:paraId="45630EF3" w14:textId="77777777" w:rsidR="003C2FAA" w:rsidRPr="003C2FAA" w:rsidRDefault="003C2FAA" w:rsidP="003C2FAA">
            <w:pPr>
              <w:pStyle w:val="p1"/>
              <w:rPr>
                <w:rFonts w:asciiTheme="minorHAnsi" w:hAnsiTheme="minorHAnsi" w:cstheme="minorHAnsi"/>
                <w:sz w:val="22"/>
                <w:szCs w:val="22"/>
              </w:rPr>
            </w:pPr>
            <w:r w:rsidRPr="003C2FAA">
              <w:rPr>
                <w:rFonts w:asciiTheme="minorHAnsi" w:hAnsiTheme="minorHAnsi" w:cstheme="minorHAnsi"/>
                <w:sz w:val="22"/>
                <w:szCs w:val="22"/>
              </w:rPr>
              <w:t>disadvantaged pupils.</w:t>
            </w:r>
          </w:p>
          <w:p w14:paraId="24F488E5" w14:textId="77777777" w:rsidR="003C2FAA" w:rsidRPr="003C2FAA" w:rsidRDefault="003C2FAA" w:rsidP="003C2FAA">
            <w:pPr>
              <w:pStyle w:val="p1"/>
              <w:rPr>
                <w:rFonts w:asciiTheme="minorHAnsi" w:hAnsiTheme="minorHAnsi" w:cstheme="minorHAnsi"/>
                <w:sz w:val="22"/>
                <w:szCs w:val="22"/>
              </w:rPr>
            </w:pPr>
          </w:p>
        </w:tc>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782A3" w14:textId="77777777" w:rsidR="003C2FAA" w:rsidRPr="003C2FAA" w:rsidRDefault="003C2FAA" w:rsidP="003C2FAA">
            <w:pPr>
              <w:pStyle w:val="p1"/>
              <w:rPr>
                <w:rFonts w:ascii="Calibri" w:hAnsi="Calibri" w:cs="Calibri"/>
                <w:sz w:val="22"/>
                <w:szCs w:val="22"/>
              </w:rPr>
            </w:pPr>
            <w:r w:rsidRPr="003C2FAA">
              <w:rPr>
                <w:rFonts w:ascii="Calibri" w:hAnsi="Calibri" w:cs="Calibri"/>
                <w:sz w:val="22"/>
                <w:szCs w:val="22"/>
              </w:rPr>
              <w:t>Sustained high levels of wellbeing by 2027/28 demonstrated by:</w:t>
            </w:r>
          </w:p>
          <w:p w14:paraId="304B5460" w14:textId="7F5F039D" w:rsidR="003C2FAA" w:rsidRPr="003C2FAA" w:rsidRDefault="003C2FAA" w:rsidP="003C2FAA">
            <w:pPr>
              <w:pStyle w:val="p1"/>
              <w:rPr>
                <w:rFonts w:ascii="Calibri" w:hAnsi="Calibri" w:cs="Calibri"/>
                <w:sz w:val="22"/>
                <w:szCs w:val="22"/>
              </w:rPr>
            </w:pPr>
            <w:r w:rsidRPr="003C2FAA">
              <w:rPr>
                <w:rStyle w:val="s1"/>
                <w:rFonts w:ascii="Calibri" w:hAnsi="Calibri" w:cs="Calibri"/>
                <w:sz w:val="22"/>
                <w:szCs w:val="22"/>
              </w:rPr>
              <w:t>•</w:t>
            </w:r>
            <w:r w:rsidRPr="003C2FAA">
              <w:rPr>
                <w:rFonts w:ascii="Calibri" w:hAnsi="Calibri" w:cs="Calibri"/>
                <w:sz w:val="22"/>
                <w:szCs w:val="22"/>
              </w:rPr>
              <w:t xml:space="preserve"> qualitative data from student voice, student and parent surveys and teacher observations</w:t>
            </w:r>
          </w:p>
          <w:p w14:paraId="54F0C090" w14:textId="1F3CC5FA" w:rsidR="003C2FAA" w:rsidRPr="003C2FAA" w:rsidRDefault="003C2FAA" w:rsidP="003C2FAA">
            <w:pPr>
              <w:pStyle w:val="p2"/>
              <w:rPr>
                <w:rFonts w:ascii="Calibri" w:hAnsi="Calibri" w:cs="Calibri"/>
                <w:sz w:val="22"/>
                <w:szCs w:val="22"/>
              </w:rPr>
            </w:pPr>
            <w:r w:rsidRPr="003C2FAA">
              <w:rPr>
                <w:rStyle w:val="s1"/>
                <w:rFonts w:ascii="Calibri" w:hAnsi="Calibri" w:cs="Calibri"/>
                <w:sz w:val="22"/>
                <w:szCs w:val="22"/>
              </w:rPr>
              <w:t>•</w:t>
            </w:r>
            <w:r w:rsidRPr="003C2FAA">
              <w:rPr>
                <w:rFonts w:ascii="Calibri" w:hAnsi="Calibri" w:cs="Calibri"/>
                <w:sz w:val="22"/>
                <w:szCs w:val="22"/>
              </w:rPr>
              <w:t xml:space="preserve"> a fall in the </w:t>
            </w:r>
            <w:r>
              <w:rPr>
                <w:rFonts w:ascii="Calibri" w:hAnsi="Calibri" w:cs="Calibri"/>
                <w:sz w:val="22"/>
                <w:szCs w:val="22"/>
              </w:rPr>
              <w:t xml:space="preserve">number of </w:t>
            </w:r>
            <w:proofErr w:type="gramStart"/>
            <w:r>
              <w:rPr>
                <w:rFonts w:ascii="Calibri" w:hAnsi="Calibri" w:cs="Calibri"/>
                <w:sz w:val="22"/>
                <w:szCs w:val="22"/>
              </w:rPr>
              <w:t>low level</w:t>
            </w:r>
            <w:proofErr w:type="gramEnd"/>
            <w:r>
              <w:rPr>
                <w:rFonts w:ascii="Calibri" w:hAnsi="Calibri" w:cs="Calibri"/>
                <w:sz w:val="22"/>
                <w:szCs w:val="22"/>
              </w:rPr>
              <w:t xml:space="preserve"> behaviour incidents</w:t>
            </w:r>
          </w:p>
          <w:p w14:paraId="5434846B" w14:textId="22E1135C" w:rsidR="003C2FAA" w:rsidRPr="003C2FAA" w:rsidRDefault="003C2FAA" w:rsidP="003C2FAA">
            <w:pPr>
              <w:pStyle w:val="p2"/>
              <w:rPr>
                <w:rFonts w:asciiTheme="minorHAnsi" w:hAnsiTheme="minorHAnsi" w:cstheme="minorHAnsi"/>
                <w:sz w:val="22"/>
                <w:szCs w:val="22"/>
              </w:rPr>
            </w:pPr>
            <w:r w:rsidRPr="003C2FAA">
              <w:rPr>
                <w:rFonts w:ascii="Calibri" w:hAnsi="Calibri" w:cs="Calibri"/>
                <w:sz w:val="22"/>
                <w:szCs w:val="22"/>
              </w:rPr>
              <w:t>compared to over the previous strategy</w:t>
            </w:r>
            <w:r>
              <w:rPr>
                <w:rFonts w:ascii="Calibri" w:hAnsi="Calibri" w:cs="Calibri"/>
                <w:sz w:val="22"/>
                <w:szCs w:val="22"/>
              </w:rPr>
              <w:t xml:space="preserve">. (There </w:t>
            </w:r>
            <w:proofErr w:type="gramStart"/>
            <w:r>
              <w:rPr>
                <w:rFonts w:ascii="Calibri" w:hAnsi="Calibri" w:cs="Calibri"/>
                <w:sz w:val="22"/>
                <w:szCs w:val="22"/>
              </w:rPr>
              <w:t>was</w:t>
            </w:r>
            <w:proofErr w:type="gramEnd"/>
            <w:r>
              <w:rPr>
                <w:rFonts w:ascii="Calibri" w:hAnsi="Calibri" w:cs="Calibri"/>
                <w:sz w:val="22"/>
                <w:szCs w:val="22"/>
              </w:rPr>
              <w:t xml:space="preserve"> 41 low level incidents in 2024-2025). </w:t>
            </w:r>
          </w:p>
        </w:tc>
      </w:tr>
      <w:bookmarkEnd w:id="17"/>
    </w:tbl>
    <w:p w14:paraId="300BBFFB" w14:textId="77777777" w:rsidR="009C62A7" w:rsidRDefault="009C62A7" w:rsidP="009C62A7">
      <w:pPr>
        <w:pStyle w:val="Heading2"/>
        <w:spacing w:before="0" w:after="0"/>
        <w:rPr>
          <w:rFonts w:asciiTheme="minorHAnsi" w:hAnsiTheme="minorHAnsi" w:cstheme="minorHAnsi"/>
          <w:b w:val="0"/>
          <w:color w:val="auto"/>
          <w:u w:val="single"/>
        </w:rPr>
      </w:pPr>
    </w:p>
    <w:p w14:paraId="6006A74D" w14:textId="77777777" w:rsidR="00B63571" w:rsidRDefault="00B63571" w:rsidP="00B63571"/>
    <w:p w14:paraId="7B20FD81" w14:textId="77777777" w:rsidR="00B63571" w:rsidRDefault="00B63571" w:rsidP="00B63571"/>
    <w:p w14:paraId="0CCB678C" w14:textId="77777777" w:rsidR="00B63571" w:rsidRDefault="00B63571" w:rsidP="00B63571"/>
    <w:p w14:paraId="06EE5E26" w14:textId="77777777" w:rsidR="00B63571" w:rsidRDefault="00B63571" w:rsidP="00B63571"/>
    <w:p w14:paraId="3B8E4C9A" w14:textId="77777777" w:rsidR="00B63571" w:rsidRPr="00B63571" w:rsidRDefault="00B63571" w:rsidP="00B63571"/>
    <w:p w14:paraId="2A7D5512" w14:textId="18F953AD" w:rsidR="00E66558" w:rsidRPr="00EA021B" w:rsidRDefault="001E2B50" w:rsidP="009C62A7">
      <w:pPr>
        <w:pStyle w:val="Heading2"/>
        <w:spacing w:before="0" w:after="0"/>
        <w:rPr>
          <w:rFonts w:asciiTheme="minorHAnsi" w:hAnsiTheme="minorHAnsi" w:cstheme="minorHAnsi"/>
          <w:color w:val="auto"/>
          <w:u w:val="single"/>
        </w:rPr>
      </w:pPr>
      <w:r w:rsidRPr="00EA021B">
        <w:rPr>
          <w:rFonts w:asciiTheme="minorHAnsi" w:hAnsiTheme="minorHAnsi" w:cstheme="minorHAnsi"/>
          <w:color w:val="auto"/>
          <w:u w:val="single"/>
        </w:rPr>
        <w:lastRenderedPageBreak/>
        <w:t>A</w:t>
      </w:r>
      <w:r w:rsidR="009D71E8" w:rsidRPr="00EA021B">
        <w:rPr>
          <w:rFonts w:asciiTheme="minorHAnsi" w:hAnsiTheme="minorHAnsi" w:cstheme="minorHAnsi"/>
          <w:color w:val="auto"/>
          <w:u w:val="single"/>
        </w:rPr>
        <w:t>ctivity in this academic year</w:t>
      </w:r>
    </w:p>
    <w:p w14:paraId="6D488B4E" w14:textId="01017886" w:rsidR="009C62A7" w:rsidRDefault="009D71E8" w:rsidP="009C62A7">
      <w:pPr>
        <w:spacing w:after="0"/>
        <w:rPr>
          <w:rFonts w:asciiTheme="minorHAnsi" w:hAnsiTheme="minorHAnsi" w:cstheme="minorHAnsi"/>
          <w:color w:val="auto"/>
        </w:rPr>
      </w:pPr>
      <w:r w:rsidRPr="007D777A">
        <w:rPr>
          <w:rFonts w:asciiTheme="minorHAnsi" w:hAnsiTheme="minorHAnsi" w:cstheme="minorHAnsi"/>
          <w:color w:val="auto"/>
        </w:rPr>
        <w:t xml:space="preserve">This details how we intend to spend our pupil premium (and recovery premium funding) </w:t>
      </w:r>
      <w:r w:rsidRPr="007D777A">
        <w:rPr>
          <w:rFonts w:asciiTheme="minorHAnsi" w:hAnsiTheme="minorHAnsi" w:cstheme="minorHAnsi"/>
          <w:b/>
          <w:bCs/>
          <w:color w:val="auto"/>
        </w:rPr>
        <w:t>this academic year</w:t>
      </w:r>
      <w:r w:rsidRPr="007D777A">
        <w:rPr>
          <w:rFonts w:asciiTheme="minorHAnsi" w:hAnsiTheme="minorHAnsi" w:cstheme="minorHAnsi"/>
          <w:color w:val="auto"/>
        </w:rPr>
        <w:t xml:space="preserve"> to address the challenges listed above.</w:t>
      </w:r>
    </w:p>
    <w:p w14:paraId="2A7D5514" w14:textId="1193E6B9" w:rsidR="00E66558" w:rsidRPr="007D777A" w:rsidRDefault="009D71E8" w:rsidP="009C62A7">
      <w:pPr>
        <w:spacing w:after="0"/>
        <w:rPr>
          <w:rFonts w:asciiTheme="minorHAnsi" w:hAnsiTheme="minorHAnsi" w:cstheme="minorHAnsi"/>
          <w:b/>
          <w:color w:val="auto"/>
          <w:u w:val="single"/>
        </w:rPr>
      </w:pPr>
      <w:r w:rsidRPr="007D777A">
        <w:rPr>
          <w:rFonts w:asciiTheme="minorHAnsi" w:hAnsiTheme="minorHAnsi" w:cstheme="minorHAnsi"/>
          <w:color w:val="auto"/>
          <w:u w:val="single"/>
        </w:rPr>
        <w:t xml:space="preserve">Teaching </w:t>
      </w:r>
    </w:p>
    <w:p w14:paraId="2A7D5515" w14:textId="6D2568E7" w:rsidR="00E66558" w:rsidRPr="007D777A" w:rsidRDefault="008B5209" w:rsidP="009C62A7">
      <w:pPr>
        <w:spacing w:after="0"/>
        <w:rPr>
          <w:rFonts w:asciiTheme="minorHAnsi" w:hAnsiTheme="minorHAnsi" w:cstheme="minorHAnsi"/>
          <w:color w:val="auto"/>
        </w:rPr>
      </w:pPr>
      <w:r w:rsidRPr="007D777A">
        <w:rPr>
          <w:rFonts w:asciiTheme="minorHAnsi" w:hAnsiTheme="minorHAnsi" w:cstheme="minorHAnsi"/>
          <w:color w:val="auto"/>
        </w:rPr>
        <w:t xml:space="preserve">Budgeted cost: </w:t>
      </w:r>
      <w:r w:rsidR="00025CA8" w:rsidRPr="00C0314B">
        <w:rPr>
          <w:rFonts w:asciiTheme="minorHAnsi" w:hAnsiTheme="minorHAnsi" w:cstheme="minorHAnsi"/>
          <w:color w:val="auto"/>
        </w:rPr>
        <w:t xml:space="preserve"> </w:t>
      </w:r>
      <w:r w:rsidRPr="00B63571">
        <w:rPr>
          <w:rFonts w:asciiTheme="minorHAnsi" w:hAnsiTheme="minorHAnsi" w:cstheme="minorHAnsi"/>
          <w:b/>
          <w:bCs/>
          <w:color w:val="auto"/>
        </w:rPr>
        <w:t>£</w:t>
      </w:r>
      <w:r w:rsidR="009F4FD7" w:rsidRPr="00B63571">
        <w:rPr>
          <w:rFonts w:asciiTheme="minorHAnsi" w:hAnsiTheme="minorHAnsi" w:cstheme="minorHAnsi"/>
          <w:b/>
          <w:bCs/>
          <w:color w:val="auto"/>
        </w:rPr>
        <w:t>19,625</w:t>
      </w:r>
    </w:p>
    <w:tbl>
      <w:tblPr>
        <w:tblW w:w="5000" w:type="pct"/>
        <w:tblCellMar>
          <w:left w:w="10" w:type="dxa"/>
          <w:right w:w="10" w:type="dxa"/>
        </w:tblCellMar>
        <w:tblLook w:val="04A0" w:firstRow="1" w:lastRow="0" w:firstColumn="1" w:lastColumn="0" w:noHBand="0" w:noVBand="1"/>
      </w:tblPr>
      <w:tblGrid>
        <w:gridCol w:w="2576"/>
        <w:gridCol w:w="5780"/>
        <w:gridCol w:w="1415"/>
      </w:tblGrid>
      <w:tr w:rsidR="000F1037" w:rsidRPr="007D777A" w14:paraId="2A7D5519" w14:textId="77777777" w:rsidTr="005957A1">
        <w:tc>
          <w:tcPr>
            <w:tcW w:w="25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Activity</w:t>
            </w:r>
          </w:p>
        </w:tc>
        <w:tc>
          <w:tcPr>
            <w:tcW w:w="56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Evidence that supports this approach</w:t>
            </w:r>
          </w:p>
        </w:tc>
        <w:tc>
          <w:tcPr>
            <w:tcW w:w="1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Challenge number(s) addressed</w:t>
            </w:r>
          </w:p>
        </w:tc>
      </w:tr>
      <w:tr w:rsidR="000F1037" w:rsidRPr="007D777A" w14:paraId="2A7D551D" w14:textId="77777777" w:rsidTr="005957A1">
        <w:tc>
          <w:tcPr>
            <w:tcW w:w="2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471E4" w14:textId="77777777" w:rsidR="00E560E8" w:rsidRDefault="00E560E8" w:rsidP="00755BDA">
            <w:pPr>
              <w:pStyle w:val="TableRowCentered"/>
              <w:ind w:left="0"/>
              <w:jc w:val="left"/>
              <w:rPr>
                <w:rFonts w:asciiTheme="minorHAnsi" w:hAnsiTheme="minorHAnsi" w:cstheme="minorHAnsi"/>
                <w:color w:val="auto"/>
                <w:sz w:val="22"/>
                <w:szCs w:val="22"/>
              </w:rPr>
            </w:pPr>
            <w:r w:rsidRPr="00E560E8">
              <w:rPr>
                <w:rFonts w:asciiTheme="minorHAnsi" w:hAnsiTheme="minorHAnsi" w:cstheme="minorHAnsi"/>
                <w:color w:val="auto"/>
                <w:sz w:val="22"/>
                <w:szCs w:val="22"/>
              </w:rPr>
              <w:t>Provide an extensive CPD programme to continue to develop quality first teaching across the whole school. This to include:</w:t>
            </w:r>
          </w:p>
          <w:p w14:paraId="56CA5828" w14:textId="387CF4FD" w:rsidR="00E560E8" w:rsidRDefault="00E560E8" w:rsidP="00755BDA">
            <w:pPr>
              <w:pStyle w:val="TableRowCentered"/>
              <w:ind w:left="0"/>
              <w:jc w:val="left"/>
              <w:rPr>
                <w:rFonts w:asciiTheme="minorHAnsi" w:hAnsiTheme="minorHAnsi" w:cstheme="minorHAnsi"/>
                <w:color w:val="auto"/>
                <w:sz w:val="22"/>
                <w:szCs w:val="22"/>
              </w:rPr>
            </w:pPr>
            <w:r w:rsidRPr="00E560E8">
              <w:rPr>
                <w:rFonts w:asciiTheme="minorHAnsi" w:hAnsiTheme="minorHAnsi" w:cstheme="minorHAnsi"/>
                <w:color w:val="auto"/>
                <w:sz w:val="22"/>
                <w:szCs w:val="22"/>
              </w:rPr>
              <w:t xml:space="preserve"> • Voice 21 Oracy Project </w:t>
            </w:r>
          </w:p>
          <w:p w14:paraId="7226B6C3" w14:textId="39933831" w:rsidR="00C11962" w:rsidRDefault="00C11962" w:rsidP="00755BDA">
            <w:pPr>
              <w:pStyle w:val="TableRowCentered"/>
              <w:ind w:left="0"/>
              <w:jc w:val="left"/>
              <w:rPr>
                <w:rFonts w:asciiTheme="minorHAnsi" w:hAnsiTheme="minorHAnsi" w:cstheme="minorHAnsi"/>
                <w:color w:val="auto"/>
                <w:sz w:val="22"/>
                <w:szCs w:val="22"/>
              </w:rPr>
            </w:pPr>
            <w:r>
              <w:rPr>
                <w:rFonts w:asciiTheme="minorHAnsi" w:hAnsiTheme="minorHAnsi" w:cstheme="minorHAnsi"/>
                <w:color w:val="auto"/>
                <w:sz w:val="22"/>
                <w:szCs w:val="22"/>
              </w:rPr>
              <w:t>Cost - £1100</w:t>
            </w:r>
          </w:p>
          <w:p w14:paraId="50FA965E" w14:textId="77777777" w:rsidR="00D145FF" w:rsidRDefault="00E560E8" w:rsidP="00755BDA">
            <w:pPr>
              <w:pStyle w:val="TableRowCentered"/>
              <w:ind w:left="0"/>
              <w:jc w:val="left"/>
              <w:rPr>
                <w:rFonts w:asciiTheme="minorHAnsi" w:hAnsiTheme="minorHAnsi" w:cstheme="minorHAnsi"/>
                <w:color w:val="auto"/>
                <w:sz w:val="22"/>
                <w:szCs w:val="22"/>
              </w:rPr>
            </w:pPr>
            <w:r w:rsidRPr="00E560E8">
              <w:rPr>
                <w:rFonts w:asciiTheme="minorHAnsi" w:hAnsiTheme="minorHAnsi" w:cstheme="minorHAnsi"/>
                <w:color w:val="auto"/>
                <w:sz w:val="22"/>
                <w:szCs w:val="22"/>
              </w:rPr>
              <w:t xml:space="preserve">• Early Reading – Full RWI training for new staff, and those new / returning to KS1. Ongoing RWI training from the ‘portal’ and the partner development days </w:t>
            </w:r>
          </w:p>
          <w:p w14:paraId="4560D8E2" w14:textId="77777777" w:rsidR="00541393" w:rsidRDefault="00541393" w:rsidP="00755BDA">
            <w:pPr>
              <w:pStyle w:val="TableRowCentered"/>
              <w:ind w:left="0"/>
              <w:jc w:val="left"/>
              <w:rPr>
                <w:rFonts w:asciiTheme="minorHAnsi" w:hAnsiTheme="minorHAnsi" w:cstheme="minorHAnsi"/>
                <w:color w:val="auto"/>
                <w:sz w:val="22"/>
                <w:szCs w:val="22"/>
              </w:rPr>
            </w:pPr>
            <w:r>
              <w:rPr>
                <w:rFonts w:asciiTheme="minorHAnsi" w:hAnsiTheme="minorHAnsi" w:cstheme="minorHAnsi"/>
                <w:color w:val="auto"/>
                <w:sz w:val="22"/>
                <w:szCs w:val="22"/>
              </w:rPr>
              <w:t>Cost - £</w:t>
            </w:r>
            <w:r w:rsidR="00870C08">
              <w:rPr>
                <w:rFonts w:asciiTheme="minorHAnsi" w:hAnsiTheme="minorHAnsi" w:cstheme="minorHAnsi"/>
                <w:color w:val="auto"/>
                <w:sz w:val="22"/>
                <w:szCs w:val="22"/>
              </w:rPr>
              <w:t>2,440</w:t>
            </w:r>
          </w:p>
          <w:p w14:paraId="2A7D551A" w14:textId="3B40A0FF" w:rsidR="00D563B0" w:rsidRPr="00755BDA" w:rsidRDefault="00D563B0" w:rsidP="00755BDA">
            <w:pPr>
              <w:pStyle w:val="TableRowCentered"/>
              <w:ind w:left="0"/>
              <w:jc w:val="left"/>
              <w:rPr>
                <w:rFonts w:asciiTheme="minorHAnsi" w:hAnsiTheme="minorHAnsi" w:cstheme="minorHAnsi"/>
                <w:color w:val="auto"/>
                <w:sz w:val="22"/>
                <w:szCs w:val="22"/>
              </w:rPr>
            </w:pPr>
            <w:r>
              <w:rPr>
                <w:rFonts w:asciiTheme="minorHAnsi" w:hAnsiTheme="minorHAnsi" w:cstheme="minorHAnsi"/>
                <w:color w:val="auto"/>
                <w:sz w:val="22"/>
                <w:szCs w:val="22"/>
              </w:rPr>
              <w:t xml:space="preserve">Total cost - </w:t>
            </w:r>
            <w:r w:rsidR="00334C5B">
              <w:rPr>
                <w:rFonts w:asciiTheme="minorHAnsi" w:hAnsiTheme="minorHAnsi" w:cstheme="minorHAnsi"/>
                <w:color w:val="auto"/>
                <w:sz w:val="22"/>
                <w:szCs w:val="22"/>
              </w:rPr>
              <w:t>3540</w:t>
            </w:r>
          </w:p>
        </w:tc>
        <w:tc>
          <w:tcPr>
            <w:tcW w:w="5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460B7" w14:textId="34625BA6" w:rsidR="00A13428" w:rsidRDefault="00A13428" w:rsidP="00A16176">
            <w:pPr>
              <w:pStyle w:val="TableRowCentered"/>
              <w:spacing w:before="0" w:after="0"/>
              <w:ind w:right="0"/>
              <w:jc w:val="left"/>
              <w:rPr>
                <w:rFonts w:asciiTheme="minorHAnsi" w:hAnsiTheme="minorHAnsi" w:cstheme="minorHAnsi"/>
                <w:color w:val="auto"/>
                <w:sz w:val="22"/>
              </w:rPr>
            </w:pPr>
            <w:r>
              <w:rPr>
                <w:rFonts w:asciiTheme="minorHAnsi" w:hAnsiTheme="minorHAnsi" w:cstheme="minorHAnsi"/>
                <w:color w:val="auto"/>
                <w:sz w:val="22"/>
              </w:rPr>
              <w:t>T</w:t>
            </w:r>
            <w:r w:rsidRPr="00A13428">
              <w:rPr>
                <w:rFonts w:asciiTheme="minorHAnsi" w:hAnsiTheme="minorHAnsi" w:cstheme="minorHAnsi"/>
                <w:color w:val="auto"/>
                <w:sz w:val="22"/>
              </w:rPr>
              <w:t xml:space="preserve">he EEF Pupil premium guide states that improving quality first teaching should be the </w:t>
            </w:r>
            <w:proofErr w:type="gramStart"/>
            <w:r w:rsidRPr="00A13428">
              <w:rPr>
                <w:rFonts w:asciiTheme="minorHAnsi" w:hAnsiTheme="minorHAnsi" w:cstheme="minorHAnsi"/>
                <w:color w:val="auto"/>
                <w:sz w:val="22"/>
              </w:rPr>
              <w:t>first priority</w:t>
            </w:r>
            <w:proofErr w:type="gramEnd"/>
          </w:p>
          <w:p w14:paraId="145CA1EF" w14:textId="421F9282" w:rsidR="00A16176" w:rsidRDefault="000927CF" w:rsidP="00A16176">
            <w:pPr>
              <w:pStyle w:val="TableRowCentered"/>
              <w:spacing w:before="0" w:after="0"/>
              <w:ind w:right="0"/>
              <w:jc w:val="left"/>
              <w:rPr>
                <w:rFonts w:asciiTheme="minorHAnsi" w:hAnsiTheme="minorHAnsi" w:cstheme="minorHAnsi"/>
                <w:color w:val="auto"/>
                <w:sz w:val="22"/>
              </w:rPr>
            </w:pPr>
            <w:r>
              <w:rPr>
                <w:rFonts w:asciiTheme="minorHAnsi" w:hAnsiTheme="minorHAnsi" w:cstheme="minorHAnsi"/>
                <w:color w:val="auto"/>
                <w:sz w:val="22"/>
              </w:rPr>
              <w:t>EEF – Teaching Assistant Interventions (+4)</w:t>
            </w:r>
          </w:p>
          <w:p w14:paraId="0FC5E9B2" w14:textId="77777777" w:rsidR="00863ABE" w:rsidRDefault="000927CF" w:rsidP="00EA021B">
            <w:pPr>
              <w:pStyle w:val="TableRowCentered"/>
              <w:spacing w:before="0" w:after="0"/>
              <w:ind w:right="0"/>
              <w:jc w:val="left"/>
              <w:rPr>
                <w:rStyle w:val="Hyperlink"/>
                <w:rFonts w:asciiTheme="minorHAnsi" w:hAnsiTheme="minorHAnsi" w:cstheme="minorHAnsi"/>
                <w:sz w:val="22"/>
              </w:rPr>
            </w:pPr>
            <w:hyperlink r:id="rId12" w:history="1">
              <w:r w:rsidRPr="00C878DB">
                <w:rPr>
                  <w:rStyle w:val="Hyperlink"/>
                  <w:rFonts w:asciiTheme="minorHAnsi" w:hAnsiTheme="minorHAnsi" w:cstheme="minorHAnsi"/>
                  <w:sz w:val="22"/>
                </w:rPr>
                <w:t>https://educationendowmentfoundation.org.uk/education-evidence/teaching-learning-toolkit/teaching-assistant-interventions</w:t>
              </w:r>
            </w:hyperlink>
          </w:p>
          <w:p w14:paraId="48D22F74" w14:textId="77777777" w:rsidR="00B23988" w:rsidRDefault="00B23988" w:rsidP="00EA021B">
            <w:pPr>
              <w:pStyle w:val="TableRowCentered"/>
              <w:spacing w:before="0" w:after="0"/>
              <w:ind w:right="0"/>
              <w:jc w:val="left"/>
              <w:rPr>
                <w:rFonts w:asciiTheme="minorHAnsi" w:hAnsiTheme="minorHAnsi" w:cstheme="minorHAnsi"/>
                <w:color w:val="auto"/>
                <w:sz w:val="22"/>
              </w:rPr>
            </w:pPr>
            <w:r w:rsidRPr="00B23988">
              <w:rPr>
                <w:rFonts w:asciiTheme="minorHAnsi" w:hAnsiTheme="minorHAnsi" w:cstheme="minorHAnsi"/>
                <w:color w:val="auto"/>
                <w:sz w:val="22"/>
              </w:rPr>
              <w:t>Specific courses are also backed up by evidence e.g. for RWI phonics training, phonics is stated by the EEF as having a significantly positive impact on attainment (+5 months).</w:t>
            </w:r>
          </w:p>
          <w:p w14:paraId="2A7D551B" w14:textId="4FD4ADDD" w:rsidR="003C2FAA" w:rsidRPr="007D777A" w:rsidRDefault="003C2FAA" w:rsidP="00EA021B">
            <w:pPr>
              <w:pStyle w:val="TableRowCentered"/>
              <w:spacing w:before="0" w:after="0"/>
              <w:ind w:right="0"/>
              <w:jc w:val="left"/>
              <w:rPr>
                <w:rFonts w:asciiTheme="minorHAnsi" w:hAnsiTheme="minorHAnsi" w:cstheme="minorHAnsi"/>
                <w:color w:val="auto"/>
                <w:sz w:val="22"/>
                <w:highlight w:val="yellow"/>
              </w:rPr>
            </w:pPr>
            <w:r w:rsidRPr="003C2FAA">
              <w:rPr>
                <w:rFonts w:asciiTheme="minorHAnsi" w:hAnsiTheme="minorHAnsi" w:cstheme="minorHAnsi"/>
                <w:color w:val="auto"/>
                <w:sz w:val="22"/>
              </w:rPr>
              <w:t>Ongoing CPD from ELT for all staff re narrowing the gap, and the core subjects.</w:t>
            </w: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275E1146" w:rsidR="00E66558" w:rsidRPr="007D777A" w:rsidRDefault="00E73C96" w:rsidP="0053606E">
            <w:pPr>
              <w:pStyle w:val="TableRowCentered"/>
              <w:spacing w:before="0" w:after="0"/>
              <w:ind w:right="0"/>
              <w:jc w:val="left"/>
              <w:rPr>
                <w:rFonts w:asciiTheme="minorHAnsi" w:hAnsiTheme="minorHAnsi" w:cstheme="minorHAnsi"/>
                <w:color w:val="auto"/>
                <w:sz w:val="22"/>
              </w:rPr>
            </w:pPr>
            <w:r>
              <w:rPr>
                <w:rFonts w:asciiTheme="minorHAnsi" w:hAnsiTheme="minorHAnsi" w:cstheme="minorHAnsi"/>
                <w:color w:val="auto"/>
                <w:sz w:val="22"/>
              </w:rPr>
              <w:t>1,</w:t>
            </w:r>
            <w:r w:rsidR="00D04A81">
              <w:rPr>
                <w:rFonts w:asciiTheme="minorHAnsi" w:hAnsiTheme="minorHAnsi" w:cstheme="minorHAnsi"/>
                <w:color w:val="auto"/>
                <w:sz w:val="22"/>
              </w:rPr>
              <w:t>3,4</w:t>
            </w:r>
          </w:p>
        </w:tc>
      </w:tr>
      <w:tr w:rsidR="000F1037" w:rsidRPr="007D777A" w14:paraId="2A7D5521" w14:textId="77777777" w:rsidTr="005957A1">
        <w:trPr>
          <w:trHeight w:val="355"/>
        </w:trPr>
        <w:tc>
          <w:tcPr>
            <w:tcW w:w="2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D60D8" w14:textId="77777777" w:rsidR="00E66558" w:rsidRDefault="000927CF" w:rsidP="0053606E">
            <w:pPr>
              <w:pStyle w:val="TableRow"/>
              <w:spacing w:before="0" w:after="0"/>
              <w:ind w:right="0"/>
              <w:rPr>
                <w:rFonts w:asciiTheme="minorHAnsi" w:hAnsiTheme="minorHAnsi" w:cstheme="minorHAnsi"/>
                <w:iCs/>
                <w:color w:val="auto"/>
                <w:sz w:val="22"/>
              </w:rPr>
            </w:pPr>
            <w:r w:rsidRPr="00EB376D">
              <w:rPr>
                <w:rFonts w:asciiTheme="minorHAnsi" w:hAnsiTheme="minorHAnsi" w:cstheme="minorHAnsi"/>
                <w:iCs/>
                <w:color w:val="auto"/>
                <w:sz w:val="22"/>
              </w:rPr>
              <w:t>Same day interventions</w:t>
            </w:r>
            <w:r w:rsidR="00EB376D" w:rsidRPr="00EB376D">
              <w:rPr>
                <w:rFonts w:asciiTheme="minorHAnsi" w:hAnsiTheme="minorHAnsi" w:cstheme="minorHAnsi"/>
                <w:iCs/>
                <w:color w:val="auto"/>
                <w:sz w:val="22"/>
              </w:rPr>
              <w:t>/feedback</w:t>
            </w:r>
            <w:r w:rsidRPr="00EB376D">
              <w:rPr>
                <w:rFonts w:asciiTheme="minorHAnsi" w:hAnsiTheme="minorHAnsi" w:cstheme="minorHAnsi"/>
                <w:iCs/>
                <w:color w:val="auto"/>
                <w:sz w:val="22"/>
              </w:rPr>
              <w:t xml:space="preserve"> delivered by quality first teaching from teachers.</w:t>
            </w:r>
          </w:p>
          <w:p w14:paraId="46E0DC20" w14:textId="0FC32881" w:rsidR="004766EC" w:rsidRDefault="008068B3" w:rsidP="0053606E">
            <w:pPr>
              <w:pStyle w:val="TableRow"/>
              <w:spacing w:before="0" w:after="0"/>
              <w:ind w:right="0"/>
              <w:rPr>
                <w:rFonts w:asciiTheme="minorHAnsi" w:hAnsiTheme="minorHAnsi" w:cstheme="minorHAnsi"/>
                <w:iCs/>
                <w:color w:val="auto"/>
                <w:sz w:val="22"/>
              </w:rPr>
            </w:pPr>
            <w:r>
              <w:rPr>
                <w:rFonts w:asciiTheme="minorHAnsi" w:hAnsiTheme="minorHAnsi" w:cstheme="minorHAnsi"/>
                <w:iCs/>
                <w:color w:val="auto"/>
                <w:sz w:val="22"/>
              </w:rPr>
              <w:t>Cost - £3000</w:t>
            </w:r>
          </w:p>
          <w:p w14:paraId="2A7D551E" w14:textId="0D78ADAC" w:rsidR="005957A1" w:rsidRPr="00EB376D" w:rsidRDefault="005957A1" w:rsidP="0053606E">
            <w:pPr>
              <w:pStyle w:val="TableRow"/>
              <w:spacing w:before="0" w:after="0"/>
              <w:ind w:right="0"/>
              <w:rPr>
                <w:rFonts w:asciiTheme="minorHAnsi" w:hAnsiTheme="minorHAnsi" w:cstheme="minorHAnsi"/>
                <w:iCs/>
                <w:color w:val="auto"/>
                <w:sz w:val="22"/>
              </w:rPr>
            </w:pPr>
          </w:p>
        </w:tc>
        <w:tc>
          <w:tcPr>
            <w:tcW w:w="5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AD949" w14:textId="7650819F" w:rsidR="00E66558" w:rsidRDefault="00EB376D" w:rsidP="0053606E">
            <w:pPr>
              <w:pStyle w:val="TableRowCentered"/>
              <w:spacing w:before="0" w:after="0"/>
              <w:ind w:right="0"/>
              <w:jc w:val="left"/>
              <w:rPr>
                <w:rFonts w:asciiTheme="minorHAnsi" w:hAnsiTheme="minorHAnsi" w:cstheme="minorHAnsi"/>
                <w:color w:val="auto"/>
                <w:sz w:val="22"/>
              </w:rPr>
            </w:pPr>
            <w:r w:rsidRPr="00EB376D">
              <w:rPr>
                <w:rFonts w:asciiTheme="minorHAnsi" w:hAnsiTheme="minorHAnsi" w:cstheme="minorHAnsi"/>
                <w:color w:val="auto"/>
                <w:sz w:val="22"/>
              </w:rPr>
              <w:t xml:space="preserve">EEF Feedback and Interventions </w:t>
            </w:r>
            <w:r>
              <w:rPr>
                <w:rFonts w:asciiTheme="minorHAnsi" w:hAnsiTheme="minorHAnsi" w:cstheme="minorHAnsi"/>
                <w:color w:val="auto"/>
                <w:sz w:val="22"/>
              </w:rPr>
              <w:t>(+4-6)</w:t>
            </w:r>
          </w:p>
          <w:p w14:paraId="0989AB59" w14:textId="15B03443" w:rsidR="00EB376D" w:rsidRDefault="00EB376D" w:rsidP="0053606E">
            <w:pPr>
              <w:pStyle w:val="TableRowCentered"/>
              <w:spacing w:before="0" w:after="0"/>
              <w:ind w:right="0"/>
              <w:jc w:val="left"/>
              <w:rPr>
                <w:rFonts w:asciiTheme="minorHAnsi" w:hAnsiTheme="minorHAnsi" w:cstheme="minorHAnsi"/>
                <w:color w:val="auto"/>
                <w:sz w:val="22"/>
              </w:rPr>
            </w:pPr>
            <w:hyperlink r:id="rId13" w:history="1">
              <w:r w:rsidRPr="00C878DB">
                <w:rPr>
                  <w:rStyle w:val="Hyperlink"/>
                  <w:rFonts w:asciiTheme="minorHAnsi" w:hAnsiTheme="minorHAnsi" w:cstheme="minorHAnsi"/>
                  <w:sz w:val="22"/>
                </w:rPr>
                <w:t>https://educationendowmentfoundation.org.uk/education-evidence/teaching-learning-toolkit/feedback</w:t>
              </w:r>
            </w:hyperlink>
          </w:p>
          <w:p w14:paraId="1A6FCFD7" w14:textId="77777777" w:rsidR="00EB376D" w:rsidRDefault="00EB376D" w:rsidP="0053606E">
            <w:pPr>
              <w:pStyle w:val="TableRowCentered"/>
              <w:spacing w:before="0" w:after="0"/>
              <w:ind w:right="0"/>
              <w:jc w:val="left"/>
              <w:rPr>
                <w:rFonts w:asciiTheme="minorHAnsi" w:hAnsiTheme="minorHAnsi" w:cstheme="minorHAnsi"/>
                <w:color w:val="auto"/>
                <w:sz w:val="22"/>
              </w:rPr>
            </w:pPr>
          </w:p>
          <w:p w14:paraId="2A7D551F" w14:textId="779CD02A" w:rsidR="00EB376D" w:rsidRPr="00EB376D" w:rsidRDefault="00EB376D" w:rsidP="0053606E">
            <w:pPr>
              <w:pStyle w:val="TableRowCentered"/>
              <w:spacing w:before="0" w:after="0"/>
              <w:ind w:right="0"/>
              <w:jc w:val="left"/>
              <w:rPr>
                <w:rFonts w:asciiTheme="minorHAnsi" w:hAnsiTheme="minorHAnsi" w:cstheme="minorHAnsi"/>
                <w:color w:val="auto"/>
                <w:sz w:val="22"/>
              </w:rPr>
            </w:pP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61DF90A6" w:rsidR="00E66558" w:rsidRPr="007D777A" w:rsidRDefault="00E73C96" w:rsidP="0053606E">
            <w:pPr>
              <w:pStyle w:val="TableRowCentered"/>
              <w:spacing w:before="0" w:after="0"/>
              <w:ind w:right="0"/>
              <w:jc w:val="left"/>
              <w:rPr>
                <w:rFonts w:asciiTheme="minorHAnsi" w:hAnsiTheme="minorHAnsi" w:cstheme="minorHAnsi"/>
                <w:color w:val="auto"/>
                <w:sz w:val="22"/>
              </w:rPr>
            </w:pPr>
            <w:r>
              <w:rPr>
                <w:rFonts w:asciiTheme="minorHAnsi" w:hAnsiTheme="minorHAnsi" w:cstheme="minorHAnsi"/>
                <w:color w:val="auto"/>
                <w:sz w:val="22"/>
              </w:rPr>
              <w:t>1,</w:t>
            </w:r>
            <w:r w:rsidR="00EB376D">
              <w:rPr>
                <w:rFonts w:asciiTheme="minorHAnsi" w:hAnsiTheme="minorHAnsi" w:cstheme="minorHAnsi"/>
                <w:color w:val="auto"/>
                <w:sz w:val="22"/>
              </w:rPr>
              <w:t>3,4</w:t>
            </w:r>
          </w:p>
        </w:tc>
      </w:tr>
      <w:tr w:rsidR="005957A1" w:rsidRPr="007D777A" w14:paraId="7B535233" w14:textId="77777777" w:rsidTr="005957A1">
        <w:trPr>
          <w:trHeight w:val="355"/>
        </w:trPr>
        <w:tc>
          <w:tcPr>
            <w:tcW w:w="2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3BF3F" w14:textId="50655351" w:rsidR="008068B3" w:rsidRDefault="009D7A78" w:rsidP="005957A1">
            <w:pPr>
              <w:pStyle w:val="TableRow"/>
              <w:spacing w:before="0" w:after="0"/>
              <w:ind w:right="0"/>
              <w:rPr>
                <w:rFonts w:asciiTheme="minorHAnsi" w:hAnsiTheme="minorHAnsi" w:cstheme="minorHAnsi"/>
                <w:iCs/>
                <w:color w:val="auto"/>
                <w:sz w:val="22"/>
              </w:rPr>
            </w:pPr>
            <w:r w:rsidRPr="009D7A78">
              <w:rPr>
                <w:rFonts w:asciiTheme="minorHAnsi" w:hAnsiTheme="minorHAnsi" w:cstheme="minorHAnsi"/>
                <w:iCs/>
                <w:color w:val="auto"/>
                <w:sz w:val="22"/>
              </w:rPr>
              <w:t xml:space="preserve">Provide </w:t>
            </w:r>
            <w:r w:rsidR="009C007B">
              <w:rPr>
                <w:rFonts w:asciiTheme="minorHAnsi" w:hAnsiTheme="minorHAnsi" w:cstheme="minorHAnsi"/>
                <w:b/>
                <w:iCs/>
                <w:color w:val="auto"/>
                <w:sz w:val="22"/>
              </w:rPr>
              <w:t xml:space="preserve">weekly </w:t>
            </w:r>
            <w:r w:rsidRPr="009C007B">
              <w:rPr>
                <w:rFonts w:asciiTheme="minorHAnsi" w:hAnsiTheme="minorHAnsi" w:cstheme="minorHAnsi"/>
                <w:b/>
                <w:bCs/>
                <w:iCs/>
                <w:color w:val="auto"/>
                <w:sz w:val="22"/>
              </w:rPr>
              <w:t>release time</w:t>
            </w:r>
            <w:r w:rsidRPr="009D7A78">
              <w:rPr>
                <w:rFonts w:asciiTheme="minorHAnsi" w:hAnsiTheme="minorHAnsi" w:cstheme="minorHAnsi"/>
                <w:iCs/>
                <w:color w:val="auto"/>
                <w:sz w:val="22"/>
              </w:rPr>
              <w:t xml:space="preserve"> for the Early Reading </w:t>
            </w:r>
            <w:proofErr w:type="gramStart"/>
            <w:r w:rsidRPr="009D7A78">
              <w:rPr>
                <w:rFonts w:asciiTheme="minorHAnsi" w:hAnsiTheme="minorHAnsi" w:cstheme="minorHAnsi"/>
                <w:iCs/>
                <w:color w:val="auto"/>
                <w:sz w:val="22"/>
              </w:rPr>
              <w:t>lead</w:t>
            </w:r>
            <w:proofErr w:type="gramEnd"/>
            <w:r w:rsidRPr="009D7A78">
              <w:rPr>
                <w:rFonts w:asciiTheme="minorHAnsi" w:hAnsiTheme="minorHAnsi" w:cstheme="minorHAnsi"/>
                <w:iCs/>
                <w:color w:val="auto"/>
                <w:sz w:val="22"/>
              </w:rPr>
              <w:t xml:space="preserve"> to allow them to provide support to teachers to improve the quality of teaching across school.</w:t>
            </w:r>
          </w:p>
          <w:p w14:paraId="1DB5CE7F" w14:textId="677853B6" w:rsidR="0066280F" w:rsidRPr="00EB376D" w:rsidRDefault="0066280F" w:rsidP="006F7576">
            <w:pPr>
              <w:pStyle w:val="TableRow"/>
              <w:spacing w:before="0" w:after="0"/>
              <w:ind w:right="0"/>
              <w:rPr>
                <w:rFonts w:asciiTheme="minorHAnsi" w:hAnsiTheme="minorHAnsi" w:cstheme="minorHAnsi"/>
                <w:iCs/>
                <w:color w:val="auto"/>
                <w:sz w:val="22"/>
              </w:rPr>
            </w:pPr>
            <w:r>
              <w:rPr>
                <w:rFonts w:asciiTheme="minorHAnsi" w:hAnsiTheme="minorHAnsi" w:cstheme="minorHAnsi"/>
                <w:iCs/>
                <w:color w:val="auto"/>
                <w:sz w:val="22"/>
              </w:rPr>
              <w:t>Cost - £</w:t>
            </w:r>
            <w:r w:rsidR="0081058E">
              <w:rPr>
                <w:rFonts w:asciiTheme="minorHAnsi" w:hAnsiTheme="minorHAnsi" w:cstheme="minorHAnsi"/>
                <w:iCs/>
                <w:color w:val="auto"/>
                <w:sz w:val="22"/>
              </w:rPr>
              <w:t>3000</w:t>
            </w:r>
          </w:p>
        </w:tc>
        <w:tc>
          <w:tcPr>
            <w:tcW w:w="5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FAB9C" w14:textId="2FA6B692" w:rsidR="005957A1" w:rsidRPr="005957A1" w:rsidRDefault="009C007B" w:rsidP="005957A1">
            <w:pPr>
              <w:pStyle w:val="TableRowCentered"/>
              <w:spacing w:before="0" w:after="0"/>
              <w:ind w:right="0"/>
              <w:jc w:val="left"/>
              <w:rPr>
                <w:rFonts w:asciiTheme="minorHAnsi" w:hAnsiTheme="minorHAnsi" w:cstheme="minorHAnsi"/>
                <w:iCs/>
                <w:color w:val="auto"/>
                <w:sz w:val="22"/>
                <w:szCs w:val="24"/>
              </w:rPr>
            </w:pPr>
            <w:r w:rsidRPr="009C007B">
              <w:rPr>
                <w:rFonts w:asciiTheme="minorHAnsi" w:hAnsiTheme="minorHAnsi" w:cstheme="minorHAnsi"/>
                <w:iCs/>
                <w:color w:val="auto"/>
                <w:sz w:val="22"/>
                <w:szCs w:val="24"/>
              </w:rPr>
              <w:t xml:space="preserve">Building on the above evidence base, phonics is also stated by the EEF as having a significantly positive impact on attainment (+5 months). The Early Reading lead provides </w:t>
            </w:r>
            <w:r w:rsidR="00A4646F">
              <w:rPr>
                <w:rFonts w:asciiTheme="minorHAnsi" w:hAnsiTheme="minorHAnsi" w:cstheme="minorHAnsi"/>
                <w:iCs/>
                <w:color w:val="auto"/>
                <w:sz w:val="22"/>
                <w:szCs w:val="24"/>
              </w:rPr>
              <w:t>weekly</w:t>
            </w:r>
            <w:r w:rsidRPr="009C007B">
              <w:rPr>
                <w:rFonts w:asciiTheme="minorHAnsi" w:hAnsiTheme="minorHAnsi" w:cstheme="minorHAnsi"/>
                <w:iCs/>
                <w:color w:val="auto"/>
                <w:sz w:val="22"/>
                <w:szCs w:val="24"/>
              </w:rPr>
              <w:t xml:space="preserve"> phonics training for all staff in line with the guidance in our SSP scheme (Read Write Inc). This ensures that we are following the scheme with fidelity (which is also </w:t>
            </w:r>
            <w:proofErr w:type="gramStart"/>
            <w:r w:rsidRPr="009C007B">
              <w:rPr>
                <w:rFonts w:asciiTheme="minorHAnsi" w:hAnsiTheme="minorHAnsi" w:cstheme="minorHAnsi"/>
                <w:iCs/>
                <w:color w:val="auto"/>
                <w:sz w:val="22"/>
                <w:szCs w:val="24"/>
              </w:rPr>
              <w:t>an evidence</w:t>
            </w:r>
            <w:proofErr w:type="gramEnd"/>
            <w:r w:rsidR="00DA31A8">
              <w:rPr>
                <w:rFonts w:asciiTheme="minorHAnsi" w:hAnsiTheme="minorHAnsi" w:cstheme="minorHAnsi"/>
                <w:iCs/>
                <w:color w:val="auto"/>
                <w:sz w:val="22"/>
                <w:szCs w:val="24"/>
              </w:rPr>
              <w:t xml:space="preserve"> </w:t>
            </w:r>
            <w:r w:rsidRPr="009C007B">
              <w:rPr>
                <w:rFonts w:asciiTheme="minorHAnsi" w:hAnsiTheme="minorHAnsi" w:cstheme="minorHAnsi"/>
                <w:iCs/>
                <w:color w:val="auto"/>
                <w:sz w:val="22"/>
                <w:szCs w:val="24"/>
              </w:rPr>
              <w:t>informed recommendation</w:t>
            </w: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778D4" w14:textId="614A5754" w:rsidR="005957A1" w:rsidRPr="005957A1" w:rsidRDefault="009C007B" w:rsidP="005957A1">
            <w:pPr>
              <w:pStyle w:val="TableRowCentered"/>
              <w:spacing w:before="0" w:after="0"/>
              <w:ind w:right="0"/>
              <w:jc w:val="left"/>
              <w:rPr>
                <w:rFonts w:asciiTheme="minorHAnsi" w:hAnsiTheme="minorHAnsi" w:cstheme="minorHAnsi"/>
                <w:iCs/>
                <w:color w:val="auto"/>
                <w:sz w:val="22"/>
                <w:szCs w:val="24"/>
              </w:rPr>
            </w:pPr>
            <w:r w:rsidRPr="009C007B">
              <w:rPr>
                <w:rFonts w:asciiTheme="minorHAnsi" w:hAnsiTheme="minorHAnsi" w:cstheme="minorHAnsi"/>
                <w:iCs/>
                <w:color w:val="auto"/>
                <w:sz w:val="22"/>
                <w:szCs w:val="24"/>
              </w:rPr>
              <w:t>1, 2, 3</w:t>
            </w:r>
          </w:p>
        </w:tc>
      </w:tr>
      <w:tr w:rsidR="000C53AA" w:rsidRPr="007D777A" w14:paraId="39F3C829" w14:textId="77777777" w:rsidTr="005957A1">
        <w:trPr>
          <w:trHeight w:val="355"/>
        </w:trPr>
        <w:tc>
          <w:tcPr>
            <w:tcW w:w="2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51020" w14:textId="77777777" w:rsidR="000C53AA" w:rsidRDefault="000C53AA" w:rsidP="0053606E">
            <w:pPr>
              <w:pStyle w:val="TableRow"/>
              <w:spacing w:before="0" w:after="0"/>
              <w:ind w:right="0"/>
              <w:rPr>
                <w:rFonts w:asciiTheme="minorHAnsi" w:hAnsiTheme="minorHAnsi" w:cstheme="minorHAnsi"/>
                <w:color w:val="auto"/>
                <w:sz w:val="22"/>
                <w:szCs w:val="22"/>
              </w:rPr>
            </w:pPr>
            <w:r w:rsidRPr="000C53AA">
              <w:rPr>
                <w:rFonts w:asciiTheme="minorHAnsi" w:hAnsiTheme="minorHAnsi" w:cstheme="minorHAnsi"/>
                <w:color w:val="auto"/>
                <w:sz w:val="22"/>
                <w:szCs w:val="22"/>
              </w:rPr>
              <w:t xml:space="preserve">CPD for staff on language development and </w:t>
            </w:r>
            <w:r w:rsidR="006274AD">
              <w:rPr>
                <w:rFonts w:asciiTheme="minorHAnsi" w:hAnsiTheme="minorHAnsi" w:cstheme="minorHAnsi"/>
                <w:color w:val="auto"/>
                <w:sz w:val="22"/>
                <w:szCs w:val="22"/>
              </w:rPr>
              <w:t>oracy</w:t>
            </w:r>
            <w:r w:rsidRPr="000C53AA">
              <w:rPr>
                <w:rFonts w:asciiTheme="minorHAnsi" w:hAnsiTheme="minorHAnsi" w:cstheme="minorHAnsi"/>
                <w:color w:val="auto"/>
                <w:sz w:val="22"/>
                <w:szCs w:val="22"/>
              </w:rPr>
              <w:t>. ‘</w:t>
            </w:r>
            <w:r w:rsidR="006274AD">
              <w:rPr>
                <w:rFonts w:asciiTheme="minorHAnsi" w:hAnsiTheme="minorHAnsi" w:cstheme="minorHAnsi"/>
                <w:color w:val="auto"/>
                <w:sz w:val="22"/>
                <w:szCs w:val="22"/>
              </w:rPr>
              <w:t>Voice 21’</w:t>
            </w:r>
            <w:r w:rsidRPr="000C53AA">
              <w:rPr>
                <w:rFonts w:asciiTheme="minorHAnsi" w:hAnsiTheme="minorHAnsi" w:cstheme="minorHAnsi"/>
                <w:color w:val="auto"/>
                <w:sz w:val="22"/>
                <w:szCs w:val="22"/>
              </w:rPr>
              <w:t xml:space="preserve">. </w:t>
            </w:r>
          </w:p>
          <w:p w14:paraId="1FB10EB3" w14:textId="3426CAC4" w:rsidR="00C77637" w:rsidRPr="00EB376D" w:rsidRDefault="0014591D" w:rsidP="0053606E">
            <w:pPr>
              <w:pStyle w:val="TableRow"/>
              <w:spacing w:before="0" w:after="0"/>
              <w:ind w:right="0"/>
              <w:rPr>
                <w:rFonts w:asciiTheme="minorHAnsi" w:hAnsiTheme="minorHAnsi" w:cstheme="minorHAnsi"/>
                <w:iCs/>
                <w:color w:val="auto"/>
                <w:sz w:val="22"/>
              </w:rPr>
            </w:pPr>
            <w:r>
              <w:rPr>
                <w:rFonts w:asciiTheme="minorHAnsi" w:hAnsiTheme="minorHAnsi" w:cstheme="minorHAnsi"/>
                <w:iCs/>
                <w:color w:val="auto"/>
                <w:sz w:val="22"/>
              </w:rPr>
              <w:t>Cost - £</w:t>
            </w:r>
            <w:r w:rsidR="0081058E">
              <w:rPr>
                <w:rFonts w:asciiTheme="minorHAnsi" w:hAnsiTheme="minorHAnsi" w:cstheme="minorHAnsi"/>
                <w:iCs/>
                <w:color w:val="auto"/>
                <w:sz w:val="22"/>
              </w:rPr>
              <w:t>4500</w:t>
            </w:r>
          </w:p>
        </w:tc>
        <w:tc>
          <w:tcPr>
            <w:tcW w:w="5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DB899" w14:textId="719EA195" w:rsidR="000C53AA" w:rsidRPr="00EB376D" w:rsidRDefault="000C53AA" w:rsidP="0053606E">
            <w:pPr>
              <w:pStyle w:val="TableRowCentered"/>
              <w:spacing w:before="0" w:after="0"/>
              <w:ind w:right="0"/>
              <w:jc w:val="left"/>
              <w:rPr>
                <w:rFonts w:asciiTheme="minorHAnsi" w:hAnsiTheme="minorHAnsi" w:cstheme="minorHAnsi"/>
                <w:color w:val="auto"/>
                <w:sz w:val="22"/>
              </w:rPr>
            </w:pPr>
            <w:r w:rsidRPr="000C53AA">
              <w:rPr>
                <w:rFonts w:asciiTheme="minorHAnsi" w:hAnsiTheme="minorHAnsi" w:cstheme="minorHAnsi"/>
                <w:color w:val="auto"/>
                <w:sz w:val="22"/>
                <w:szCs w:val="22"/>
              </w:rPr>
              <w:t>EEF SEN research – ‘build an ongoing holistic understanding of your pupils and their needs’.</w:t>
            </w: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FC209" w14:textId="082EF9F4" w:rsidR="000C53AA" w:rsidRDefault="00454754" w:rsidP="0053606E">
            <w:pPr>
              <w:pStyle w:val="TableRowCentered"/>
              <w:spacing w:before="0" w:after="0"/>
              <w:ind w:right="0"/>
              <w:jc w:val="left"/>
              <w:rPr>
                <w:rFonts w:asciiTheme="minorHAnsi" w:hAnsiTheme="minorHAnsi" w:cstheme="minorHAnsi"/>
                <w:color w:val="auto"/>
                <w:sz w:val="22"/>
              </w:rPr>
            </w:pPr>
            <w:r>
              <w:rPr>
                <w:rFonts w:asciiTheme="minorHAnsi" w:hAnsiTheme="minorHAnsi" w:cstheme="minorHAnsi"/>
                <w:color w:val="auto"/>
                <w:sz w:val="22"/>
              </w:rPr>
              <w:t>1,</w:t>
            </w:r>
            <w:r w:rsidR="005C24F9">
              <w:rPr>
                <w:rFonts w:asciiTheme="minorHAnsi" w:hAnsiTheme="minorHAnsi" w:cstheme="minorHAnsi"/>
                <w:color w:val="auto"/>
                <w:sz w:val="22"/>
              </w:rPr>
              <w:t>4</w:t>
            </w:r>
          </w:p>
        </w:tc>
      </w:tr>
      <w:tr w:rsidR="000927CF" w:rsidRPr="007D777A" w14:paraId="7743F86D" w14:textId="77777777" w:rsidTr="005957A1">
        <w:trPr>
          <w:trHeight w:val="355"/>
        </w:trPr>
        <w:tc>
          <w:tcPr>
            <w:tcW w:w="2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F3BFE" w14:textId="77777777" w:rsidR="000927CF" w:rsidRDefault="000927CF" w:rsidP="0053606E">
            <w:pPr>
              <w:pStyle w:val="TableRow"/>
              <w:spacing w:before="0" w:after="0"/>
              <w:ind w:right="0"/>
              <w:rPr>
                <w:rFonts w:asciiTheme="minorHAnsi" w:hAnsiTheme="minorHAnsi" w:cstheme="minorHAnsi"/>
                <w:iCs/>
                <w:color w:val="auto"/>
                <w:sz w:val="22"/>
              </w:rPr>
            </w:pPr>
            <w:r>
              <w:rPr>
                <w:rFonts w:asciiTheme="minorHAnsi" w:hAnsiTheme="minorHAnsi" w:cstheme="minorHAnsi"/>
                <w:iCs/>
                <w:color w:val="auto"/>
                <w:sz w:val="22"/>
              </w:rPr>
              <w:t xml:space="preserve">Employ a specialist music teacher </w:t>
            </w:r>
            <w:r w:rsidR="00DC5607">
              <w:rPr>
                <w:rFonts w:asciiTheme="minorHAnsi" w:hAnsiTheme="minorHAnsi" w:cstheme="minorHAnsi"/>
                <w:iCs/>
                <w:color w:val="auto"/>
                <w:sz w:val="22"/>
              </w:rPr>
              <w:t xml:space="preserve">to </w:t>
            </w:r>
            <w:r w:rsidR="00DC5607" w:rsidRPr="00DC5607">
              <w:rPr>
                <w:rFonts w:asciiTheme="minorHAnsi" w:hAnsiTheme="minorHAnsi" w:cstheme="minorHAnsi"/>
                <w:iCs/>
                <w:color w:val="auto"/>
                <w:sz w:val="22"/>
              </w:rPr>
              <w:t>have a positive impact on academic outcomes in other areas of the curriculum</w:t>
            </w:r>
            <w:r w:rsidR="00EB376D">
              <w:rPr>
                <w:rFonts w:asciiTheme="minorHAnsi" w:hAnsiTheme="minorHAnsi" w:cstheme="minorHAnsi"/>
                <w:iCs/>
                <w:color w:val="auto"/>
                <w:sz w:val="22"/>
              </w:rPr>
              <w:t>.</w:t>
            </w:r>
          </w:p>
          <w:p w14:paraId="16AED2CC" w14:textId="6A32FBC3" w:rsidR="0014591D" w:rsidRDefault="0014591D" w:rsidP="0053606E">
            <w:pPr>
              <w:pStyle w:val="TableRow"/>
              <w:spacing w:before="0" w:after="0"/>
              <w:ind w:right="0"/>
              <w:rPr>
                <w:rFonts w:asciiTheme="minorHAnsi" w:hAnsiTheme="minorHAnsi" w:cstheme="minorHAnsi"/>
                <w:iCs/>
                <w:color w:val="auto"/>
                <w:sz w:val="22"/>
              </w:rPr>
            </w:pPr>
            <w:r>
              <w:rPr>
                <w:rFonts w:asciiTheme="minorHAnsi" w:hAnsiTheme="minorHAnsi" w:cstheme="minorHAnsi"/>
                <w:iCs/>
                <w:color w:val="auto"/>
                <w:sz w:val="22"/>
              </w:rPr>
              <w:t>Cost - £</w:t>
            </w:r>
            <w:r w:rsidR="00EB553F">
              <w:rPr>
                <w:rFonts w:asciiTheme="minorHAnsi" w:hAnsiTheme="minorHAnsi" w:cstheme="minorHAnsi"/>
                <w:iCs/>
                <w:color w:val="auto"/>
                <w:sz w:val="22"/>
              </w:rPr>
              <w:t>5585</w:t>
            </w:r>
          </w:p>
        </w:tc>
        <w:tc>
          <w:tcPr>
            <w:tcW w:w="5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7156" w14:textId="77777777" w:rsidR="000927CF" w:rsidRDefault="00EB376D" w:rsidP="00EB376D">
            <w:pPr>
              <w:pStyle w:val="TableRowCentered"/>
              <w:spacing w:before="0" w:after="0"/>
              <w:ind w:left="0" w:right="0"/>
              <w:jc w:val="left"/>
              <w:rPr>
                <w:rFonts w:asciiTheme="minorHAnsi" w:hAnsiTheme="minorHAnsi" w:cstheme="minorHAnsi"/>
                <w:color w:val="auto"/>
                <w:sz w:val="22"/>
              </w:rPr>
            </w:pPr>
            <w:r w:rsidRPr="00EB376D">
              <w:rPr>
                <w:rFonts w:asciiTheme="minorHAnsi" w:hAnsiTheme="minorHAnsi" w:cstheme="minorHAnsi"/>
                <w:color w:val="auto"/>
                <w:sz w:val="22"/>
              </w:rPr>
              <w:t>E</w:t>
            </w:r>
            <w:r>
              <w:rPr>
                <w:rFonts w:asciiTheme="minorHAnsi" w:hAnsiTheme="minorHAnsi" w:cstheme="minorHAnsi"/>
                <w:color w:val="auto"/>
                <w:sz w:val="22"/>
              </w:rPr>
              <w:t>EF – Arts participation (+3)</w:t>
            </w:r>
          </w:p>
          <w:p w14:paraId="3FC73DBA" w14:textId="68BD0BBB" w:rsidR="00EB376D" w:rsidRDefault="00EB376D" w:rsidP="00EB376D">
            <w:pPr>
              <w:pStyle w:val="TableRowCentered"/>
              <w:spacing w:before="0" w:after="0"/>
              <w:ind w:left="0" w:right="0"/>
              <w:jc w:val="left"/>
              <w:rPr>
                <w:rFonts w:asciiTheme="minorHAnsi" w:hAnsiTheme="minorHAnsi" w:cstheme="minorHAnsi"/>
                <w:color w:val="auto"/>
                <w:sz w:val="22"/>
              </w:rPr>
            </w:pPr>
            <w:hyperlink r:id="rId14" w:history="1">
              <w:r w:rsidRPr="00C878DB">
                <w:rPr>
                  <w:rStyle w:val="Hyperlink"/>
                  <w:rFonts w:asciiTheme="minorHAnsi" w:hAnsiTheme="minorHAnsi" w:cstheme="minorHAnsi"/>
                  <w:sz w:val="22"/>
                </w:rPr>
                <w:t>https://educationendowmentfoundation.org.uk/education-evidence/teaching-learning-toolkit/arts-participation</w:t>
              </w:r>
            </w:hyperlink>
          </w:p>
          <w:p w14:paraId="4BD9ABD5" w14:textId="3DF6CA9A" w:rsidR="00EB376D" w:rsidRPr="007D777A" w:rsidRDefault="00EB376D" w:rsidP="00EB376D">
            <w:pPr>
              <w:pStyle w:val="TableRowCentered"/>
              <w:spacing w:before="0" w:after="0"/>
              <w:ind w:left="0" w:right="0"/>
              <w:jc w:val="left"/>
              <w:rPr>
                <w:rFonts w:asciiTheme="minorHAnsi" w:hAnsiTheme="minorHAnsi" w:cstheme="minorHAnsi"/>
                <w:color w:val="auto"/>
                <w:sz w:val="22"/>
                <w:highlight w:val="yellow"/>
              </w:rPr>
            </w:pPr>
          </w:p>
        </w:tc>
        <w:tc>
          <w:tcPr>
            <w:tcW w:w="1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1EE68" w14:textId="7105081B" w:rsidR="000927CF" w:rsidRDefault="00E73C96" w:rsidP="00E73C96">
            <w:pPr>
              <w:pStyle w:val="TableRowCentered"/>
              <w:spacing w:before="0" w:after="0"/>
              <w:ind w:right="0"/>
              <w:jc w:val="left"/>
              <w:rPr>
                <w:rFonts w:asciiTheme="minorHAnsi" w:hAnsiTheme="minorHAnsi" w:cstheme="minorHAnsi"/>
                <w:color w:val="auto"/>
                <w:sz w:val="22"/>
              </w:rPr>
            </w:pPr>
            <w:r>
              <w:rPr>
                <w:rFonts w:asciiTheme="minorHAnsi" w:hAnsiTheme="minorHAnsi" w:cstheme="minorHAnsi"/>
                <w:color w:val="auto"/>
                <w:sz w:val="22"/>
              </w:rPr>
              <w:t>1,</w:t>
            </w:r>
            <w:r w:rsidR="00EB376D">
              <w:rPr>
                <w:rFonts w:asciiTheme="minorHAnsi" w:hAnsiTheme="minorHAnsi" w:cstheme="minorHAnsi"/>
                <w:color w:val="auto"/>
                <w:sz w:val="22"/>
              </w:rPr>
              <w:t>3,4</w:t>
            </w:r>
          </w:p>
        </w:tc>
      </w:tr>
    </w:tbl>
    <w:p w14:paraId="2A7D5523" w14:textId="25C58343" w:rsidR="00E66558" w:rsidRPr="007D777A" w:rsidRDefault="009D71E8" w:rsidP="008B1D6F">
      <w:pPr>
        <w:spacing w:after="0" w:line="240" w:lineRule="auto"/>
        <w:rPr>
          <w:rFonts w:asciiTheme="minorHAnsi" w:hAnsiTheme="minorHAnsi" w:cstheme="minorHAnsi"/>
          <w:b/>
          <w:bCs/>
          <w:color w:val="auto"/>
          <w:sz w:val="28"/>
          <w:szCs w:val="28"/>
        </w:rPr>
      </w:pPr>
      <w:r w:rsidRPr="007D777A">
        <w:rPr>
          <w:rFonts w:asciiTheme="minorHAnsi" w:hAnsiTheme="minorHAnsi" w:cstheme="minorHAnsi"/>
          <w:b/>
          <w:bCs/>
          <w:color w:val="auto"/>
          <w:sz w:val="28"/>
          <w:szCs w:val="28"/>
        </w:rPr>
        <w:lastRenderedPageBreak/>
        <w:t xml:space="preserve">Targeted academic support (for example, </w:t>
      </w:r>
      <w:r w:rsidR="00D33FE5" w:rsidRPr="007D777A">
        <w:rPr>
          <w:rFonts w:asciiTheme="minorHAnsi" w:hAnsiTheme="minorHAnsi" w:cstheme="minorHAnsi"/>
          <w:b/>
          <w:bCs/>
          <w:color w:val="auto"/>
          <w:sz w:val="28"/>
          <w:szCs w:val="28"/>
        </w:rPr>
        <w:t xml:space="preserve">tutoring, one-to-one support </w:t>
      </w:r>
      <w:r w:rsidRPr="007D777A">
        <w:rPr>
          <w:rFonts w:asciiTheme="minorHAnsi" w:hAnsiTheme="minorHAnsi" w:cstheme="minorHAnsi"/>
          <w:b/>
          <w:bCs/>
          <w:color w:val="auto"/>
          <w:sz w:val="28"/>
          <w:szCs w:val="28"/>
        </w:rPr>
        <w:t xml:space="preserve">structured interventions) </w:t>
      </w:r>
    </w:p>
    <w:p w14:paraId="2A7D5524" w14:textId="6CDBE64C" w:rsidR="00E66558" w:rsidRPr="008B1D6F" w:rsidRDefault="009D6DB8" w:rsidP="008B1D6F">
      <w:pPr>
        <w:spacing w:after="0" w:line="240" w:lineRule="auto"/>
        <w:rPr>
          <w:rFonts w:asciiTheme="minorHAnsi" w:hAnsiTheme="minorHAnsi" w:cstheme="minorHAnsi"/>
          <w:color w:val="auto"/>
        </w:rPr>
      </w:pPr>
      <w:r>
        <w:rPr>
          <w:rFonts w:asciiTheme="minorHAnsi" w:hAnsiTheme="minorHAnsi" w:cstheme="minorHAnsi"/>
          <w:color w:val="auto"/>
        </w:rPr>
        <w:t>Budgeted cost:</w:t>
      </w:r>
      <w:r w:rsidR="00EB3FE5" w:rsidRPr="008B1D6F">
        <w:rPr>
          <w:rFonts w:asciiTheme="minorHAnsi" w:hAnsiTheme="minorHAnsi" w:cstheme="minorHAnsi"/>
          <w:color w:val="auto"/>
        </w:rPr>
        <w:t xml:space="preserve"> </w:t>
      </w:r>
      <w:r w:rsidR="00A24FC2">
        <w:rPr>
          <w:rFonts w:asciiTheme="minorHAnsi" w:hAnsiTheme="minorHAnsi" w:cstheme="minorHAnsi"/>
          <w:color w:val="C00000"/>
        </w:rPr>
        <w:t xml:space="preserve"> </w:t>
      </w:r>
      <w:r w:rsidR="00033CE7" w:rsidRPr="006F7576">
        <w:rPr>
          <w:rFonts w:asciiTheme="minorHAnsi" w:hAnsiTheme="minorHAnsi" w:cstheme="minorHAnsi"/>
          <w:b/>
          <w:bCs/>
          <w:color w:val="auto"/>
        </w:rPr>
        <w:t>£</w:t>
      </w:r>
      <w:r w:rsidR="00AE6F59" w:rsidRPr="006F7576">
        <w:rPr>
          <w:rFonts w:asciiTheme="minorHAnsi" w:hAnsiTheme="minorHAnsi" w:cstheme="minorHAnsi"/>
          <w:b/>
          <w:bCs/>
          <w:color w:val="auto"/>
        </w:rPr>
        <w:t>20,</w:t>
      </w:r>
      <w:r w:rsidR="00A05F58" w:rsidRPr="006F7576">
        <w:rPr>
          <w:rFonts w:asciiTheme="minorHAnsi" w:hAnsiTheme="minorHAnsi" w:cstheme="minorHAnsi"/>
          <w:b/>
          <w:bCs/>
          <w:color w:val="auto"/>
        </w:rPr>
        <w:t>567</w:t>
      </w:r>
    </w:p>
    <w:tbl>
      <w:tblPr>
        <w:tblW w:w="5000" w:type="pct"/>
        <w:tblCellMar>
          <w:left w:w="10" w:type="dxa"/>
          <w:right w:w="10" w:type="dxa"/>
        </w:tblCellMar>
        <w:tblLook w:val="04A0" w:firstRow="1" w:lastRow="0" w:firstColumn="1" w:lastColumn="0" w:noHBand="0" w:noVBand="1"/>
      </w:tblPr>
      <w:tblGrid>
        <w:gridCol w:w="2074"/>
        <w:gridCol w:w="6143"/>
        <w:gridCol w:w="1554"/>
      </w:tblGrid>
      <w:tr w:rsidR="000F1037" w:rsidRPr="007D777A" w14:paraId="2A7D5528" w14:textId="77777777" w:rsidTr="006F7576">
        <w:tc>
          <w:tcPr>
            <w:tcW w:w="20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Activity</w:t>
            </w:r>
          </w:p>
        </w:tc>
        <w:tc>
          <w:tcPr>
            <w:tcW w:w="614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Evidence that supports this approach</w:t>
            </w:r>
          </w:p>
        </w:tc>
        <w:tc>
          <w:tcPr>
            <w:tcW w:w="15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Challenge number(s) addressed</w:t>
            </w:r>
          </w:p>
        </w:tc>
      </w:tr>
      <w:tr w:rsidR="00C82B7E" w:rsidRPr="007D777A" w14:paraId="58959F45" w14:textId="77777777" w:rsidTr="006F7576">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FD3EE" w14:textId="77777777" w:rsidR="00C82B7E" w:rsidRDefault="0001487E">
            <w:pPr>
              <w:pStyle w:val="TableRow"/>
              <w:rPr>
                <w:rFonts w:asciiTheme="minorHAnsi" w:hAnsiTheme="minorHAnsi" w:cstheme="minorHAnsi"/>
                <w:iCs/>
                <w:color w:val="auto"/>
                <w:sz w:val="22"/>
                <w:szCs w:val="22"/>
              </w:rPr>
            </w:pPr>
            <w:r w:rsidRPr="0001487E">
              <w:rPr>
                <w:rFonts w:asciiTheme="minorHAnsi" w:hAnsiTheme="minorHAnsi" w:cstheme="minorHAnsi"/>
                <w:iCs/>
                <w:color w:val="auto"/>
                <w:sz w:val="22"/>
                <w:szCs w:val="22"/>
              </w:rPr>
              <w:t xml:space="preserve">Continue to provide Reading Plus as effective targeted support in reading comprehension </w:t>
            </w:r>
            <w:r>
              <w:rPr>
                <w:rFonts w:asciiTheme="minorHAnsi" w:hAnsiTheme="minorHAnsi" w:cstheme="minorHAnsi"/>
                <w:iCs/>
                <w:color w:val="auto"/>
                <w:sz w:val="22"/>
                <w:szCs w:val="22"/>
              </w:rPr>
              <w:t>Y2-</w:t>
            </w:r>
            <w:r w:rsidRPr="0001487E">
              <w:rPr>
                <w:rFonts w:asciiTheme="minorHAnsi" w:hAnsiTheme="minorHAnsi" w:cstheme="minorHAnsi"/>
                <w:iCs/>
                <w:color w:val="auto"/>
                <w:sz w:val="22"/>
                <w:szCs w:val="22"/>
              </w:rPr>
              <w:t xml:space="preserve"> KS2</w:t>
            </w:r>
          </w:p>
          <w:p w14:paraId="113A025E" w14:textId="4641EC30" w:rsidR="002A0D34" w:rsidRPr="007D777A" w:rsidRDefault="002A0D34" w:rsidP="002A0D34">
            <w:pPr>
              <w:pStyle w:val="TableRow"/>
              <w:ind w:left="0"/>
              <w:rPr>
                <w:rFonts w:asciiTheme="minorHAnsi" w:hAnsiTheme="minorHAnsi" w:cstheme="minorHAnsi"/>
                <w:iCs/>
                <w:color w:val="auto"/>
                <w:sz w:val="22"/>
                <w:szCs w:val="22"/>
              </w:rPr>
            </w:pPr>
            <w:r>
              <w:rPr>
                <w:rFonts w:asciiTheme="minorHAnsi" w:hAnsiTheme="minorHAnsi" w:cstheme="minorHAnsi"/>
                <w:iCs/>
                <w:color w:val="auto"/>
                <w:sz w:val="22"/>
                <w:szCs w:val="22"/>
              </w:rPr>
              <w:t xml:space="preserve">Cost - </w:t>
            </w:r>
            <w:r w:rsidR="00BB2BE5">
              <w:rPr>
                <w:rFonts w:asciiTheme="minorHAnsi" w:hAnsiTheme="minorHAnsi" w:cstheme="minorHAnsi"/>
                <w:iCs/>
                <w:color w:val="auto"/>
                <w:sz w:val="22"/>
                <w:szCs w:val="22"/>
              </w:rPr>
              <w:t>£1,864</w:t>
            </w:r>
          </w:p>
        </w:tc>
        <w:tc>
          <w:tcPr>
            <w:tcW w:w="6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84C1" w14:textId="77777777" w:rsidR="0096762F" w:rsidRDefault="0096762F" w:rsidP="00FF4B84">
            <w:pPr>
              <w:pStyle w:val="TableRowCentered"/>
              <w:spacing w:before="0" w:after="0"/>
              <w:ind w:right="0"/>
              <w:jc w:val="left"/>
              <w:rPr>
                <w:rFonts w:asciiTheme="minorHAnsi" w:hAnsiTheme="minorHAnsi" w:cstheme="minorHAnsi"/>
                <w:iCs/>
                <w:color w:val="auto"/>
                <w:sz w:val="22"/>
                <w:szCs w:val="22"/>
              </w:rPr>
            </w:pPr>
            <w:r w:rsidRPr="0096762F">
              <w:rPr>
                <w:rFonts w:asciiTheme="minorHAnsi" w:hAnsiTheme="minorHAnsi" w:cstheme="minorHAnsi"/>
                <w:iCs/>
                <w:color w:val="auto"/>
                <w:sz w:val="22"/>
                <w:szCs w:val="22"/>
              </w:rPr>
              <w:t xml:space="preserve">Reading Comprehension strategies are highlighted by the EEF as having a significant positive impact on pupil attainment (+6 months). </w:t>
            </w:r>
          </w:p>
          <w:p w14:paraId="3C00D44C" w14:textId="77777777" w:rsidR="0096762F" w:rsidRDefault="0096762F" w:rsidP="00FF4B84">
            <w:pPr>
              <w:pStyle w:val="TableRowCentered"/>
              <w:spacing w:before="0" w:after="0"/>
              <w:ind w:right="0"/>
              <w:jc w:val="left"/>
              <w:rPr>
                <w:rFonts w:asciiTheme="minorHAnsi" w:hAnsiTheme="minorHAnsi" w:cstheme="minorHAnsi"/>
                <w:iCs/>
                <w:color w:val="auto"/>
                <w:sz w:val="22"/>
                <w:szCs w:val="22"/>
              </w:rPr>
            </w:pPr>
            <w:r w:rsidRPr="0096762F">
              <w:rPr>
                <w:rFonts w:asciiTheme="minorHAnsi" w:hAnsiTheme="minorHAnsi" w:cstheme="minorHAnsi"/>
                <w:iCs/>
                <w:color w:val="auto"/>
                <w:sz w:val="22"/>
                <w:szCs w:val="22"/>
              </w:rPr>
              <w:t xml:space="preserve">Using Reading Plus to deliver this intervention keeps costs low as school already has a significant number of iPads, on which the application can be used. It also allows whole classes the opportunity to access the intervention, rather than just groups. </w:t>
            </w:r>
          </w:p>
          <w:p w14:paraId="79797D07" w14:textId="7D3D8413" w:rsidR="00C82B7E" w:rsidRDefault="0096762F" w:rsidP="00FF4B84">
            <w:pPr>
              <w:pStyle w:val="TableRowCentered"/>
              <w:spacing w:before="0" w:after="0"/>
              <w:ind w:right="0"/>
              <w:jc w:val="left"/>
              <w:rPr>
                <w:rFonts w:asciiTheme="minorHAnsi" w:hAnsiTheme="minorHAnsi" w:cstheme="minorHAnsi"/>
                <w:color w:val="auto"/>
                <w:sz w:val="22"/>
              </w:rPr>
            </w:pPr>
            <w:r w:rsidRPr="0096762F">
              <w:rPr>
                <w:rFonts w:asciiTheme="minorHAnsi" w:hAnsiTheme="minorHAnsi" w:cstheme="minorHAnsi"/>
                <w:iCs/>
                <w:color w:val="auto"/>
                <w:sz w:val="22"/>
                <w:szCs w:val="22"/>
              </w:rPr>
              <w:t>Reading Plus also offer case studies to support the efficacy of their intervention here.</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E6E2D" w14:textId="27FEB272" w:rsidR="00C82B7E" w:rsidRDefault="00D17FBB">
            <w:pPr>
              <w:pStyle w:val="TableRowCentered"/>
              <w:jc w:val="left"/>
              <w:rPr>
                <w:rFonts w:asciiTheme="minorHAnsi" w:hAnsiTheme="minorHAnsi" w:cstheme="minorHAnsi"/>
                <w:color w:val="auto"/>
                <w:sz w:val="22"/>
              </w:rPr>
            </w:pPr>
            <w:r>
              <w:rPr>
                <w:rFonts w:asciiTheme="minorHAnsi" w:hAnsiTheme="minorHAnsi" w:cstheme="minorHAnsi"/>
                <w:color w:val="auto"/>
                <w:sz w:val="22"/>
              </w:rPr>
              <w:t>1</w:t>
            </w:r>
            <w:r w:rsidR="0096762F">
              <w:rPr>
                <w:rFonts w:asciiTheme="minorHAnsi" w:hAnsiTheme="minorHAnsi" w:cstheme="minorHAnsi"/>
                <w:color w:val="auto"/>
                <w:sz w:val="22"/>
              </w:rPr>
              <w:t>,2,3</w:t>
            </w:r>
          </w:p>
        </w:tc>
      </w:tr>
      <w:tr w:rsidR="000F1037" w:rsidRPr="007D777A" w14:paraId="7D83B6EC" w14:textId="77777777" w:rsidTr="006F7576">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4F809" w14:textId="77777777" w:rsidR="00DD3E12" w:rsidRDefault="00A257C7" w:rsidP="00EB3FE5">
            <w:pPr>
              <w:pStyle w:val="TableRow"/>
              <w:rPr>
                <w:rFonts w:asciiTheme="minorHAnsi" w:hAnsiTheme="minorHAnsi" w:cstheme="minorHAnsi"/>
                <w:iCs/>
                <w:color w:val="auto"/>
                <w:sz w:val="22"/>
              </w:rPr>
            </w:pPr>
            <w:r w:rsidRPr="007D777A">
              <w:rPr>
                <w:rFonts w:asciiTheme="minorHAnsi" w:hAnsiTheme="minorHAnsi" w:cstheme="minorHAnsi"/>
                <w:iCs/>
                <w:color w:val="auto"/>
                <w:sz w:val="22"/>
              </w:rPr>
              <w:t>Targeted tuition in key areas</w:t>
            </w:r>
            <w:r w:rsidR="008B5209" w:rsidRPr="007D777A">
              <w:rPr>
                <w:rFonts w:asciiTheme="minorHAnsi" w:hAnsiTheme="minorHAnsi" w:cstheme="minorHAnsi"/>
                <w:iCs/>
                <w:color w:val="auto"/>
                <w:sz w:val="22"/>
              </w:rPr>
              <w:t xml:space="preserve"> for specific children/small groups</w:t>
            </w:r>
            <w:r w:rsidR="00EB3FE5" w:rsidRPr="007D777A">
              <w:rPr>
                <w:rFonts w:asciiTheme="minorHAnsi" w:hAnsiTheme="minorHAnsi" w:cstheme="minorHAnsi"/>
                <w:iCs/>
                <w:color w:val="auto"/>
                <w:sz w:val="22"/>
              </w:rPr>
              <w:t>. This includes after school tuition.</w:t>
            </w:r>
          </w:p>
          <w:p w14:paraId="71DDCCEF" w14:textId="407DB6ED" w:rsidR="00386AE5" w:rsidRPr="007D777A" w:rsidRDefault="00386AE5" w:rsidP="00EB3FE5">
            <w:pPr>
              <w:pStyle w:val="TableRow"/>
              <w:rPr>
                <w:rFonts w:asciiTheme="minorHAnsi" w:hAnsiTheme="minorHAnsi" w:cstheme="minorHAnsi"/>
                <w:iCs/>
                <w:color w:val="auto"/>
                <w:sz w:val="22"/>
              </w:rPr>
            </w:pPr>
            <w:r>
              <w:rPr>
                <w:rFonts w:asciiTheme="minorHAnsi" w:hAnsiTheme="minorHAnsi" w:cstheme="minorHAnsi"/>
                <w:iCs/>
                <w:color w:val="auto"/>
                <w:sz w:val="22"/>
              </w:rPr>
              <w:t xml:space="preserve">Cost - </w:t>
            </w:r>
            <w:r w:rsidR="0089374E">
              <w:rPr>
                <w:rFonts w:asciiTheme="minorHAnsi" w:hAnsiTheme="minorHAnsi" w:cstheme="minorHAnsi"/>
                <w:iCs/>
                <w:color w:val="auto"/>
                <w:sz w:val="22"/>
              </w:rPr>
              <w:t>£6,300</w:t>
            </w:r>
          </w:p>
        </w:tc>
        <w:tc>
          <w:tcPr>
            <w:tcW w:w="6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2F737" w14:textId="375EB90C" w:rsidR="00A35157" w:rsidRPr="007D777A" w:rsidRDefault="00A35157" w:rsidP="002B5CF6">
            <w:pPr>
              <w:pStyle w:val="TableRowCentered"/>
              <w:jc w:val="left"/>
              <w:rPr>
                <w:rFonts w:asciiTheme="minorHAnsi" w:hAnsiTheme="minorHAnsi" w:cstheme="minorHAnsi"/>
                <w:color w:val="auto"/>
                <w:sz w:val="22"/>
              </w:rPr>
            </w:pPr>
            <w:r w:rsidRPr="007D777A">
              <w:rPr>
                <w:rFonts w:asciiTheme="minorHAnsi" w:hAnsiTheme="minorHAnsi" w:cstheme="minorHAnsi"/>
                <w:color w:val="auto"/>
                <w:sz w:val="22"/>
              </w:rPr>
              <w:t>Endowment Foundation EEF</w:t>
            </w:r>
            <w:r w:rsidR="00FF4B84">
              <w:rPr>
                <w:rFonts w:asciiTheme="minorHAnsi" w:hAnsiTheme="minorHAnsi" w:cstheme="minorHAnsi"/>
                <w:color w:val="auto"/>
                <w:sz w:val="22"/>
              </w:rPr>
              <w:t xml:space="preserve"> (+5)</w:t>
            </w:r>
          </w:p>
          <w:p w14:paraId="1F036D34" w14:textId="0EA1430C" w:rsidR="00A257C7" w:rsidRDefault="00FF4B84" w:rsidP="002B5CF6">
            <w:pPr>
              <w:pStyle w:val="TableRowCentered"/>
              <w:jc w:val="left"/>
              <w:rPr>
                <w:rFonts w:asciiTheme="minorHAnsi" w:hAnsiTheme="minorHAnsi" w:cstheme="minorHAnsi"/>
                <w:color w:val="auto"/>
                <w:sz w:val="22"/>
              </w:rPr>
            </w:pPr>
            <w:hyperlink r:id="rId15" w:history="1">
              <w:r w:rsidRPr="00C878DB">
                <w:rPr>
                  <w:rStyle w:val="Hyperlink"/>
                  <w:rFonts w:asciiTheme="minorHAnsi" w:hAnsiTheme="minorHAnsi" w:cstheme="minorHAnsi"/>
                  <w:sz w:val="22"/>
                </w:rPr>
                <w:t>https://educationendowmentfoundation.org.uk/education-evidence/teaching-learning-toolkit/one-to-one-tuition</w:t>
              </w:r>
            </w:hyperlink>
          </w:p>
          <w:p w14:paraId="650BE455" w14:textId="019728C3" w:rsidR="00FF4B84" w:rsidRPr="007D777A" w:rsidRDefault="00FF4B84" w:rsidP="002B5CF6">
            <w:pPr>
              <w:pStyle w:val="TableRowCentered"/>
              <w:jc w:val="left"/>
              <w:rPr>
                <w:rFonts w:asciiTheme="minorHAnsi" w:hAnsiTheme="minorHAnsi" w:cstheme="minorHAnsi"/>
                <w:color w:val="auto"/>
                <w:sz w:val="22"/>
              </w:rPr>
            </w:pP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864B" w14:textId="30BC2C1D" w:rsidR="00A257C7" w:rsidRPr="007D777A" w:rsidRDefault="00E73C96">
            <w:pPr>
              <w:pStyle w:val="TableRowCentered"/>
              <w:jc w:val="left"/>
              <w:rPr>
                <w:rFonts w:asciiTheme="minorHAnsi" w:hAnsiTheme="minorHAnsi" w:cstheme="minorHAnsi"/>
                <w:color w:val="auto"/>
                <w:sz w:val="22"/>
              </w:rPr>
            </w:pPr>
            <w:r>
              <w:rPr>
                <w:rFonts w:asciiTheme="minorHAnsi" w:hAnsiTheme="minorHAnsi" w:cstheme="minorHAnsi"/>
                <w:color w:val="auto"/>
                <w:sz w:val="22"/>
              </w:rPr>
              <w:t>1,3,</w:t>
            </w:r>
            <w:r w:rsidR="00A35157" w:rsidRPr="007D777A">
              <w:rPr>
                <w:rFonts w:asciiTheme="minorHAnsi" w:hAnsiTheme="minorHAnsi" w:cstheme="minorHAnsi"/>
                <w:color w:val="auto"/>
                <w:sz w:val="22"/>
              </w:rPr>
              <w:t>4</w:t>
            </w:r>
          </w:p>
        </w:tc>
      </w:tr>
      <w:tr w:rsidR="001146A9" w:rsidRPr="007D777A" w14:paraId="05676084" w14:textId="77777777" w:rsidTr="006F7576">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78728" w14:textId="77777777" w:rsidR="001146A9" w:rsidRDefault="00E64A29" w:rsidP="00EB3FE5">
            <w:pPr>
              <w:pStyle w:val="TableRow"/>
              <w:rPr>
                <w:rFonts w:asciiTheme="minorHAnsi" w:hAnsiTheme="minorHAnsi" w:cstheme="minorHAnsi"/>
                <w:iCs/>
                <w:color w:val="auto"/>
                <w:sz w:val="22"/>
              </w:rPr>
            </w:pPr>
            <w:r w:rsidRPr="00E64A29">
              <w:rPr>
                <w:rFonts w:asciiTheme="minorHAnsi" w:hAnsiTheme="minorHAnsi" w:cstheme="minorHAnsi"/>
                <w:iCs/>
                <w:color w:val="auto"/>
                <w:sz w:val="22"/>
              </w:rPr>
              <w:t xml:space="preserve">Continue to provide access to Times Tables Rockstars and </w:t>
            </w:r>
            <w:proofErr w:type="spellStart"/>
            <w:r w:rsidRPr="00E64A29">
              <w:rPr>
                <w:rFonts w:asciiTheme="minorHAnsi" w:hAnsiTheme="minorHAnsi" w:cstheme="minorHAnsi"/>
                <w:iCs/>
                <w:color w:val="auto"/>
                <w:sz w:val="22"/>
              </w:rPr>
              <w:t>Numbots</w:t>
            </w:r>
            <w:proofErr w:type="spellEnd"/>
            <w:r w:rsidRPr="00E64A29">
              <w:rPr>
                <w:rFonts w:asciiTheme="minorHAnsi" w:hAnsiTheme="minorHAnsi" w:cstheme="minorHAnsi"/>
                <w:iCs/>
                <w:color w:val="auto"/>
                <w:sz w:val="22"/>
              </w:rPr>
              <w:t xml:space="preserve"> for all children in school. Encourage children to use these platforms</w:t>
            </w:r>
            <w:r w:rsidR="001E5CC3">
              <w:rPr>
                <w:rFonts w:asciiTheme="minorHAnsi" w:hAnsiTheme="minorHAnsi" w:cstheme="minorHAnsi"/>
                <w:iCs/>
                <w:color w:val="auto"/>
                <w:sz w:val="22"/>
              </w:rPr>
              <w:t xml:space="preserve"> and others</w:t>
            </w:r>
            <w:r w:rsidRPr="00E64A29">
              <w:rPr>
                <w:rFonts w:asciiTheme="minorHAnsi" w:hAnsiTheme="minorHAnsi" w:cstheme="minorHAnsi"/>
                <w:iCs/>
                <w:color w:val="auto"/>
                <w:sz w:val="22"/>
              </w:rPr>
              <w:t xml:space="preserve"> at home as they can be accessed independently.</w:t>
            </w:r>
          </w:p>
          <w:p w14:paraId="577C6ADB" w14:textId="4F47B249" w:rsidR="002A0D34" w:rsidRPr="007D777A" w:rsidRDefault="00907CEA" w:rsidP="00EB3FE5">
            <w:pPr>
              <w:pStyle w:val="TableRow"/>
              <w:rPr>
                <w:rFonts w:asciiTheme="minorHAnsi" w:hAnsiTheme="minorHAnsi" w:cstheme="minorHAnsi"/>
                <w:iCs/>
                <w:color w:val="auto"/>
                <w:sz w:val="22"/>
              </w:rPr>
            </w:pPr>
            <w:r>
              <w:rPr>
                <w:rFonts w:asciiTheme="minorHAnsi" w:hAnsiTheme="minorHAnsi" w:cstheme="minorHAnsi"/>
                <w:iCs/>
                <w:color w:val="auto"/>
                <w:sz w:val="22"/>
              </w:rPr>
              <w:t>Cost - £</w:t>
            </w:r>
            <w:r w:rsidR="009F4FD7">
              <w:rPr>
                <w:rFonts w:asciiTheme="minorHAnsi" w:hAnsiTheme="minorHAnsi" w:cstheme="minorHAnsi"/>
                <w:iCs/>
                <w:color w:val="auto"/>
                <w:sz w:val="22"/>
              </w:rPr>
              <w:t>903</w:t>
            </w:r>
          </w:p>
        </w:tc>
        <w:tc>
          <w:tcPr>
            <w:tcW w:w="6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52B12" w14:textId="77777777" w:rsidR="001146A9" w:rsidRDefault="00E64A29" w:rsidP="002B5CF6">
            <w:pPr>
              <w:pStyle w:val="TableRowCentered"/>
              <w:jc w:val="left"/>
              <w:rPr>
                <w:rFonts w:asciiTheme="minorHAnsi" w:hAnsiTheme="minorHAnsi" w:cstheme="minorHAnsi"/>
                <w:color w:val="auto"/>
                <w:sz w:val="22"/>
              </w:rPr>
            </w:pPr>
            <w:r w:rsidRPr="00E64A29">
              <w:rPr>
                <w:rFonts w:asciiTheme="minorHAnsi" w:hAnsiTheme="minorHAnsi" w:cstheme="minorHAnsi"/>
                <w:color w:val="auto"/>
                <w:sz w:val="22"/>
              </w:rPr>
              <w:t xml:space="preserve">Homework is highlighted by the EEF as having a significant positive impact on pupil attainment (+5 months). Two of the EEF key findings are, “Homework that is linked to classroom work tends to be more effective.” and “It is important to make the purpose of homework clear to pupils (e.g. to increase a specific area of knowledge, or to develop fluency in a particular area).” To this end, </w:t>
            </w:r>
            <w:proofErr w:type="spellStart"/>
            <w:r w:rsidRPr="00E64A29">
              <w:rPr>
                <w:rFonts w:asciiTheme="minorHAnsi" w:hAnsiTheme="minorHAnsi" w:cstheme="minorHAnsi"/>
                <w:color w:val="auto"/>
                <w:sz w:val="22"/>
              </w:rPr>
              <w:t>Numbots</w:t>
            </w:r>
            <w:proofErr w:type="spellEnd"/>
            <w:r w:rsidRPr="00E64A29">
              <w:rPr>
                <w:rFonts w:asciiTheme="minorHAnsi" w:hAnsiTheme="minorHAnsi" w:cstheme="minorHAnsi"/>
                <w:color w:val="auto"/>
                <w:sz w:val="22"/>
              </w:rPr>
              <w:t xml:space="preserve"> and TT Rockstars are effective programmes to use for Homework as they are very cheap and provide very specific practice around number facts. It also provides specific feedback for children automatically.</w:t>
            </w:r>
            <w:r w:rsidR="001E5CC3">
              <w:rPr>
                <w:rFonts w:asciiTheme="minorHAnsi" w:hAnsiTheme="minorHAnsi" w:cstheme="minorHAnsi"/>
                <w:color w:val="auto"/>
                <w:sz w:val="22"/>
              </w:rPr>
              <w:t xml:space="preserve"> Access to old </w:t>
            </w:r>
            <w:proofErr w:type="spellStart"/>
            <w:r w:rsidR="001E5CC3">
              <w:rPr>
                <w:rFonts w:asciiTheme="minorHAnsi" w:hAnsiTheme="minorHAnsi" w:cstheme="minorHAnsi"/>
                <w:color w:val="auto"/>
                <w:sz w:val="22"/>
              </w:rPr>
              <w:t>ipads</w:t>
            </w:r>
            <w:proofErr w:type="spellEnd"/>
            <w:r w:rsidR="001E5CC3">
              <w:rPr>
                <w:rFonts w:asciiTheme="minorHAnsi" w:hAnsiTheme="minorHAnsi" w:cstheme="minorHAnsi"/>
                <w:color w:val="auto"/>
                <w:sz w:val="22"/>
              </w:rPr>
              <w:t xml:space="preserve"> to complete reading plus at home</w:t>
            </w:r>
            <w:r w:rsidR="004839B4">
              <w:rPr>
                <w:rFonts w:asciiTheme="minorHAnsi" w:hAnsiTheme="minorHAnsi" w:cstheme="minorHAnsi"/>
                <w:color w:val="auto"/>
                <w:sz w:val="22"/>
              </w:rPr>
              <w:t>.</w:t>
            </w:r>
          </w:p>
          <w:p w14:paraId="5B1C369D" w14:textId="5416F217" w:rsidR="004839B4" w:rsidRPr="007D777A" w:rsidRDefault="004839B4" w:rsidP="002B5CF6">
            <w:pPr>
              <w:pStyle w:val="TableRowCentered"/>
              <w:jc w:val="left"/>
              <w:rPr>
                <w:rFonts w:asciiTheme="minorHAnsi" w:hAnsiTheme="minorHAnsi" w:cstheme="minorHAnsi"/>
                <w:color w:val="auto"/>
                <w:sz w:val="22"/>
              </w:rPr>
            </w:pPr>
            <w:r>
              <w:rPr>
                <w:rFonts w:asciiTheme="minorHAnsi" w:hAnsiTheme="minorHAnsi" w:cstheme="minorHAnsi"/>
                <w:color w:val="auto"/>
                <w:sz w:val="22"/>
              </w:rPr>
              <w:t xml:space="preserve">Maths infinity has now been introduced so staff can set online homework for maths linked to </w:t>
            </w:r>
            <w:r w:rsidR="000B46C9">
              <w:rPr>
                <w:rFonts w:asciiTheme="minorHAnsi" w:hAnsiTheme="minorHAnsi" w:cstheme="minorHAnsi"/>
                <w:color w:val="auto"/>
                <w:sz w:val="22"/>
              </w:rPr>
              <w:t xml:space="preserve">that </w:t>
            </w:r>
            <w:proofErr w:type="spellStart"/>
            <w:proofErr w:type="gramStart"/>
            <w:r w:rsidR="000B46C9">
              <w:rPr>
                <w:rFonts w:asciiTheme="minorHAnsi" w:hAnsiTheme="minorHAnsi" w:cstheme="minorHAnsi"/>
                <w:color w:val="auto"/>
                <w:sz w:val="22"/>
              </w:rPr>
              <w:t>weeks</w:t>
            </w:r>
            <w:proofErr w:type="spellEnd"/>
            <w:proofErr w:type="gramEnd"/>
            <w:r w:rsidR="000B46C9">
              <w:rPr>
                <w:rFonts w:asciiTheme="minorHAnsi" w:hAnsiTheme="minorHAnsi" w:cstheme="minorHAnsi"/>
                <w:color w:val="auto"/>
                <w:sz w:val="22"/>
              </w:rPr>
              <w:t xml:space="preserve"> work.</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803D1" w14:textId="0E63CB1E" w:rsidR="001146A9" w:rsidRDefault="00E64A29">
            <w:pPr>
              <w:pStyle w:val="TableRowCentered"/>
              <w:jc w:val="left"/>
              <w:rPr>
                <w:rFonts w:asciiTheme="minorHAnsi" w:hAnsiTheme="minorHAnsi" w:cstheme="minorHAnsi"/>
                <w:color w:val="auto"/>
                <w:sz w:val="22"/>
              </w:rPr>
            </w:pPr>
            <w:r>
              <w:rPr>
                <w:rFonts w:asciiTheme="minorHAnsi" w:hAnsiTheme="minorHAnsi" w:cstheme="minorHAnsi"/>
                <w:color w:val="auto"/>
                <w:sz w:val="22"/>
              </w:rPr>
              <w:t>1,2,7</w:t>
            </w:r>
          </w:p>
        </w:tc>
      </w:tr>
      <w:tr w:rsidR="00E001CE" w:rsidRPr="007D777A" w14:paraId="5F02A87E" w14:textId="77777777" w:rsidTr="006F7576">
        <w:tc>
          <w:tcPr>
            <w:tcW w:w="2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32F46" w14:textId="77777777" w:rsidR="00E001CE" w:rsidRDefault="00E001CE" w:rsidP="00EB3FE5">
            <w:pPr>
              <w:pStyle w:val="TableRow"/>
              <w:rPr>
                <w:rFonts w:asciiTheme="minorHAnsi" w:hAnsiTheme="minorHAnsi" w:cstheme="minorHAnsi"/>
                <w:iCs/>
                <w:color w:val="auto"/>
                <w:sz w:val="22"/>
              </w:rPr>
            </w:pPr>
            <w:r w:rsidRPr="00E001CE">
              <w:rPr>
                <w:rFonts w:asciiTheme="minorHAnsi" w:hAnsiTheme="minorHAnsi" w:cstheme="minorHAnsi"/>
                <w:iCs/>
                <w:color w:val="auto"/>
                <w:sz w:val="22"/>
              </w:rPr>
              <w:t>Provide a further 0.</w:t>
            </w:r>
            <w:r>
              <w:rPr>
                <w:rFonts w:asciiTheme="minorHAnsi" w:hAnsiTheme="minorHAnsi" w:cstheme="minorHAnsi"/>
                <w:iCs/>
                <w:color w:val="auto"/>
                <w:sz w:val="22"/>
              </w:rPr>
              <w:t>2</w:t>
            </w:r>
            <w:r w:rsidRPr="00E001CE">
              <w:rPr>
                <w:rFonts w:asciiTheme="minorHAnsi" w:hAnsiTheme="minorHAnsi" w:cstheme="minorHAnsi"/>
                <w:iCs/>
                <w:color w:val="auto"/>
                <w:sz w:val="22"/>
              </w:rPr>
              <w:t xml:space="preserve"> FTE release time for the SENDCo to support staff with meeting the needs of SEND children and to ensure children receive the support they require (e.g. outside agency referrals, EHCP applications).</w:t>
            </w:r>
          </w:p>
          <w:p w14:paraId="25F33D58" w14:textId="2B0ED04D" w:rsidR="00907CEA" w:rsidRPr="00E64A29" w:rsidRDefault="00907CEA" w:rsidP="00EB3FE5">
            <w:pPr>
              <w:pStyle w:val="TableRow"/>
              <w:rPr>
                <w:rFonts w:asciiTheme="minorHAnsi" w:hAnsiTheme="minorHAnsi" w:cstheme="minorHAnsi"/>
                <w:iCs/>
                <w:color w:val="auto"/>
                <w:sz w:val="22"/>
              </w:rPr>
            </w:pPr>
            <w:r>
              <w:rPr>
                <w:rFonts w:asciiTheme="minorHAnsi" w:hAnsiTheme="minorHAnsi" w:cstheme="minorHAnsi"/>
                <w:iCs/>
                <w:color w:val="auto"/>
                <w:sz w:val="22"/>
              </w:rPr>
              <w:t>Cost - £</w:t>
            </w:r>
            <w:r w:rsidR="001A55E0">
              <w:rPr>
                <w:rFonts w:asciiTheme="minorHAnsi" w:hAnsiTheme="minorHAnsi" w:cstheme="minorHAnsi"/>
                <w:iCs/>
                <w:color w:val="auto"/>
                <w:sz w:val="22"/>
              </w:rPr>
              <w:t>11,500</w:t>
            </w:r>
          </w:p>
        </w:tc>
        <w:tc>
          <w:tcPr>
            <w:tcW w:w="6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CCF41" w14:textId="77777777" w:rsidR="001E4A61" w:rsidRDefault="001E4A61" w:rsidP="002B5CF6">
            <w:pPr>
              <w:pStyle w:val="TableRowCentered"/>
              <w:jc w:val="left"/>
              <w:rPr>
                <w:rFonts w:asciiTheme="minorHAnsi" w:hAnsiTheme="minorHAnsi" w:cstheme="minorHAnsi"/>
                <w:color w:val="auto"/>
                <w:sz w:val="22"/>
              </w:rPr>
            </w:pPr>
            <w:r w:rsidRPr="001E4A61">
              <w:rPr>
                <w:rFonts w:asciiTheme="minorHAnsi" w:hAnsiTheme="minorHAnsi" w:cstheme="minorHAnsi"/>
                <w:color w:val="auto"/>
                <w:sz w:val="22"/>
              </w:rPr>
              <w:t xml:space="preserve">The EEF’s SEND evidence review (EEF, 2020), available here, makes a wide-ranging number of recommendations to improve provision for children with SEND. </w:t>
            </w:r>
          </w:p>
          <w:p w14:paraId="7F852D42" w14:textId="6E615312" w:rsidR="00E001CE" w:rsidRPr="00E64A29" w:rsidRDefault="001E4A61" w:rsidP="002B5CF6">
            <w:pPr>
              <w:pStyle w:val="TableRowCentered"/>
              <w:jc w:val="left"/>
              <w:rPr>
                <w:rFonts w:asciiTheme="minorHAnsi" w:hAnsiTheme="minorHAnsi" w:cstheme="minorHAnsi"/>
                <w:color w:val="auto"/>
                <w:sz w:val="22"/>
              </w:rPr>
            </w:pPr>
            <w:proofErr w:type="gramStart"/>
            <w:r w:rsidRPr="001E4A61">
              <w:rPr>
                <w:rFonts w:asciiTheme="minorHAnsi" w:hAnsiTheme="minorHAnsi" w:cstheme="minorHAnsi"/>
                <w:color w:val="auto"/>
                <w:sz w:val="22"/>
              </w:rPr>
              <w:t>In order to</w:t>
            </w:r>
            <w:proofErr w:type="gramEnd"/>
            <w:r w:rsidRPr="001E4A61">
              <w:rPr>
                <w:rFonts w:asciiTheme="minorHAnsi" w:hAnsiTheme="minorHAnsi" w:cstheme="minorHAnsi"/>
                <w:color w:val="auto"/>
                <w:sz w:val="22"/>
              </w:rPr>
              <w:t xml:space="preserve"> put these recommendations in place, particularly around multi-agency working, the experienced SENDCo in school needs release time from the classroom.</w:t>
            </w:r>
          </w:p>
        </w:tc>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64A71" w14:textId="15F15260" w:rsidR="00E001CE" w:rsidRDefault="001E4A61">
            <w:pPr>
              <w:pStyle w:val="TableRowCentered"/>
              <w:jc w:val="left"/>
              <w:rPr>
                <w:rFonts w:asciiTheme="minorHAnsi" w:hAnsiTheme="minorHAnsi" w:cstheme="minorHAnsi"/>
                <w:color w:val="auto"/>
                <w:sz w:val="22"/>
              </w:rPr>
            </w:pPr>
            <w:r>
              <w:rPr>
                <w:rFonts w:asciiTheme="minorHAnsi" w:hAnsiTheme="minorHAnsi" w:cstheme="minorHAnsi"/>
                <w:color w:val="auto"/>
                <w:sz w:val="22"/>
              </w:rPr>
              <w:t>1,4,6</w:t>
            </w:r>
          </w:p>
        </w:tc>
      </w:tr>
    </w:tbl>
    <w:p w14:paraId="2A7D5531" w14:textId="77777777" w:rsidR="00E66558" w:rsidRPr="007D777A" w:rsidRDefault="00E66558">
      <w:pPr>
        <w:spacing w:after="0"/>
        <w:rPr>
          <w:rFonts w:asciiTheme="minorHAnsi" w:hAnsiTheme="minorHAnsi" w:cstheme="minorHAnsi"/>
          <w:b/>
          <w:color w:val="auto"/>
          <w:sz w:val="28"/>
          <w:szCs w:val="28"/>
        </w:rPr>
      </w:pPr>
    </w:p>
    <w:p w14:paraId="2A7D5532" w14:textId="59A68BC3" w:rsidR="00E66558" w:rsidRPr="007D777A" w:rsidRDefault="009D71E8">
      <w:pPr>
        <w:rPr>
          <w:rFonts w:asciiTheme="minorHAnsi" w:hAnsiTheme="minorHAnsi" w:cstheme="minorHAnsi"/>
          <w:b/>
          <w:color w:val="auto"/>
          <w:sz w:val="28"/>
          <w:szCs w:val="28"/>
        </w:rPr>
      </w:pPr>
      <w:r w:rsidRPr="007D777A">
        <w:rPr>
          <w:rFonts w:asciiTheme="minorHAnsi" w:hAnsiTheme="minorHAnsi" w:cstheme="minorHAnsi"/>
          <w:b/>
          <w:color w:val="auto"/>
          <w:sz w:val="28"/>
          <w:szCs w:val="28"/>
        </w:rPr>
        <w:t>Wider strategies (for example, related to attendance, behaviour, wellbeing)</w:t>
      </w:r>
    </w:p>
    <w:p w14:paraId="2A7D5533" w14:textId="160DE492" w:rsidR="00E66558" w:rsidRPr="007D777A" w:rsidRDefault="009D71E8">
      <w:pPr>
        <w:spacing w:before="240" w:after="120"/>
        <w:rPr>
          <w:rFonts w:asciiTheme="minorHAnsi" w:hAnsiTheme="minorHAnsi" w:cstheme="minorHAnsi"/>
          <w:color w:val="auto"/>
        </w:rPr>
      </w:pPr>
      <w:r w:rsidRPr="007D777A">
        <w:rPr>
          <w:rFonts w:asciiTheme="minorHAnsi" w:hAnsiTheme="minorHAnsi" w:cstheme="minorHAnsi"/>
          <w:color w:val="auto"/>
        </w:rPr>
        <w:t xml:space="preserve">Budgeted cost: </w:t>
      </w:r>
      <w:r w:rsidRPr="00E43139">
        <w:rPr>
          <w:rFonts w:asciiTheme="minorHAnsi" w:hAnsiTheme="minorHAnsi" w:cstheme="minorHAnsi"/>
          <w:b/>
          <w:bCs/>
          <w:color w:val="auto"/>
        </w:rPr>
        <w:t>£</w:t>
      </w:r>
      <w:r w:rsidR="002C7CE4">
        <w:rPr>
          <w:rFonts w:asciiTheme="minorHAnsi" w:hAnsiTheme="minorHAnsi" w:cstheme="minorHAnsi"/>
          <w:b/>
          <w:bCs/>
          <w:color w:val="auto"/>
        </w:rPr>
        <w:t>61,866</w:t>
      </w:r>
    </w:p>
    <w:tbl>
      <w:tblPr>
        <w:tblW w:w="5000" w:type="pct"/>
        <w:tblCellMar>
          <w:left w:w="10" w:type="dxa"/>
          <w:right w:w="10" w:type="dxa"/>
        </w:tblCellMar>
        <w:tblLook w:val="04A0" w:firstRow="1" w:lastRow="0" w:firstColumn="1" w:lastColumn="0" w:noHBand="0" w:noVBand="1"/>
      </w:tblPr>
      <w:tblGrid>
        <w:gridCol w:w="2124"/>
        <w:gridCol w:w="5838"/>
        <w:gridCol w:w="1809"/>
      </w:tblGrid>
      <w:tr w:rsidR="000F1037" w:rsidRPr="007D777A" w14:paraId="2A7D5537" w14:textId="77777777" w:rsidTr="000353B9">
        <w:tc>
          <w:tcPr>
            <w:tcW w:w="20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Activity</w:t>
            </w:r>
          </w:p>
        </w:tc>
        <w:tc>
          <w:tcPr>
            <w:tcW w:w="56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Evidence that supports this approach</w:t>
            </w:r>
          </w:p>
        </w:tc>
        <w:tc>
          <w:tcPr>
            <w:tcW w:w="17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7D777A" w:rsidRDefault="009D71E8">
            <w:pPr>
              <w:pStyle w:val="TableHeader"/>
              <w:jc w:val="left"/>
              <w:rPr>
                <w:rFonts w:asciiTheme="minorHAnsi" w:hAnsiTheme="minorHAnsi" w:cstheme="minorHAnsi"/>
                <w:color w:val="auto"/>
              </w:rPr>
            </w:pPr>
            <w:r w:rsidRPr="007D777A">
              <w:rPr>
                <w:rFonts w:asciiTheme="minorHAnsi" w:hAnsiTheme="minorHAnsi" w:cstheme="minorHAnsi"/>
                <w:color w:val="auto"/>
              </w:rPr>
              <w:t>Challenge number(s) addressed</w:t>
            </w:r>
          </w:p>
        </w:tc>
      </w:tr>
      <w:tr w:rsidR="000F1037" w:rsidRPr="007D777A" w14:paraId="2A7D553F" w14:textId="77777777" w:rsidTr="000353B9">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9D57" w14:textId="77777777" w:rsidR="00E66558" w:rsidRDefault="00DD3E12">
            <w:pPr>
              <w:pStyle w:val="TableRow"/>
              <w:rPr>
                <w:rFonts w:asciiTheme="minorHAnsi" w:hAnsiTheme="minorHAnsi" w:cstheme="minorHAnsi"/>
                <w:iCs/>
                <w:color w:val="auto"/>
                <w:sz w:val="22"/>
              </w:rPr>
            </w:pPr>
            <w:r w:rsidRPr="007D777A">
              <w:rPr>
                <w:rFonts w:asciiTheme="minorHAnsi" w:hAnsiTheme="minorHAnsi" w:cstheme="minorHAnsi"/>
                <w:iCs/>
                <w:color w:val="auto"/>
                <w:sz w:val="22"/>
              </w:rPr>
              <w:t xml:space="preserve">Ensuring quality </w:t>
            </w:r>
            <w:r w:rsidR="00E70ADE" w:rsidRPr="007D777A">
              <w:rPr>
                <w:rFonts w:asciiTheme="minorHAnsi" w:hAnsiTheme="minorHAnsi" w:cstheme="minorHAnsi"/>
                <w:iCs/>
                <w:color w:val="auto"/>
                <w:sz w:val="22"/>
              </w:rPr>
              <w:t>support for children with SEMH</w:t>
            </w:r>
            <w:r w:rsidR="00D322B4">
              <w:rPr>
                <w:rFonts w:asciiTheme="minorHAnsi" w:hAnsiTheme="minorHAnsi" w:cstheme="minorHAnsi"/>
                <w:iCs/>
                <w:color w:val="auto"/>
                <w:sz w:val="22"/>
              </w:rPr>
              <w:t xml:space="preserve"> and behaviour</w:t>
            </w:r>
            <w:r w:rsidR="00E70ADE" w:rsidRPr="007D777A">
              <w:rPr>
                <w:rFonts w:asciiTheme="minorHAnsi" w:hAnsiTheme="minorHAnsi" w:cstheme="minorHAnsi"/>
                <w:iCs/>
                <w:color w:val="auto"/>
                <w:sz w:val="22"/>
              </w:rPr>
              <w:t xml:space="preserve"> through targeted TA support</w:t>
            </w:r>
            <w:r w:rsidR="00800ADF">
              <w:rPr>
                <w:rFonts w:asciiTheme="minorHAnsi" w:hAnsiTheme="minorHAnsi" w:cstheme="minorHAnsi"/>
                <w:iCs/>
                <w:color w:val="auto"/>
                <w:sz w:val="22"/>
              </w:rPr>
              <w:t xml:space="preserve"> and interventions</w:t>
            </w:r>
            <w:r w:rsidR="00E70ADE" w:rsidRPr="007D777A">
              <w:rPr>
                <w:rFonts w:asciiTheme="minorHAnsi" w:hAnsiTheme="minorHAnsi" w:cstheme="minorHAnsi"/>
                <w:iCs/>
                <w:color w:val="auto"/>
                <w:sz w:val="22"/>
              </w:rPr>
              <w:t xml:space="preserve"> across all key stages</w:t>
            </w:r>
          </w:p>
          <w:p w14:paraId="2A7D553C" w14:textId="01E1B8E3" w:rsidR="00151551" w:rsidRPr="007D777A" w:rsidRDefault="00DE02BA">
            <w:pPr>
              <w:pStyle w:val="TableRow"/>
              <w:rPr>
                <w:rFonts w:asciiTheme="minorHAnsi" w:hAnsiTheme="minorHAnsi" w:cstheme="minorHAnsi"/>
                <w:iCs/>
                <w:color w:val="auto"/>
                <w:sz w:val="22"/>
              </w:rPr>
            </w:pPr>
            <w:r>
              <w:rPr>
                <w:rFonts w:asciiTheme="minorHAnsi" w:hAnsiTheme="minorHAnsi" w:cstheme="minorHAnsi"/>
                <w:iCs/>
                <w:color w:val="auto"/>
                <w:sz w:val="22"/>
              </w:rPr>
              <w:t xml:space="preserve">Cost - </w:t>
            </w:r>
            <w:r w:rsidR="00151551">
              <w:rPr>
                <w:rFonts w:asciiTheme="minorHAnsi" w:hAnsiTheme="minorHAnsi" w:cstheme="minorHAnsi"/>
                <w:iCs/>
                <w:color w:val="auto"/>
                <w:sz w:val="22"/>
              </w:rPr>
              <w:t>£</w:t>
            </w:r>
            <w:r w:rsidR="0073659B">
              <w:rPr>
                <w:rFonts w:asciiTheme="minorHAnsi" w:hAnsiTheme="minorHAnsi" w:cstheme="minorHAnsi"/>
                <w:iCs/>
                <w:color w:val="auto"/>
                <w:sz w:val="22"/>
              </w:rPr>
              <w:t>47,</w:t>
            </w:r>
            <w:r w:rsidR="001A1E90">
              <w:rPr>
                <w:rFonts w:asciiTheme="minorHAnsi" w:hAnsiTheme="minorHAnsi" w:cstheme="minorHAnsi"/>
                <w:iCs/>
                <w:color w:val="auto"/>
                <w:sz w:val="22"/>
              </w:rPr>
              <w:t>869</w:t>
            </w:r>
          </w:p>
        </w:tc>
        <w:tc>
          <w:tcPr>
            <w:tcW w:w="5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CAC51" w14:textId="2B690539" w:rsidR="00B70B76" w:rsidRPr="007D777A" w:rsidRDefault="001D7797" w:rsidP="00B70B76">
            <w:pPr>
              <w:pStyle w:val="TableRowCentered"/>
              <w:jc w:val="left"/>
              <w:rPr>
                <w:rFonts w:asciiTheme="minorHAnsi" w:hAnsiTheme="minorHAnsi" w:cstheme="minorHAnsi"/>
                <w:color w:val="auto"/>
                <w:sz w:val="22"/>
              </w:rPr>
            </w:pPr>
            <w:r>
              <w:rPr>
                <w:rFonts w:asciiTheme="minorHAnsi" w:hAnsiTheme="minorHAnsi" w:cstheme="minorHAnsi"/>
                <w:color w:val="auto"/>
                <w:sz w:val="22"/>
              </w:rPr>
              <w:t>EEF – Behaviour (+4)</w:t>
            </w:r>
          </w:p>
          <w:p w14:paraId="4EDED704" w14:textId="2E1A92E8" w:rsidR="00E66558" w:rsidRDefault="001D7797">
            <w:pPr>
              <w:pStyle w:val="TableRowCentered"/>
              <w:jc w:val="left"/>
              <w:rPr>
                <w:rFonts w:asciiTheme="minorHAnsi" w:hAnsiTheme="minorHAnsi" w:cstheme="minorHAnsi"/>
                <w:color w:val="auto"/>
                <w:sz w:val="22"/>
              </w:rPr>
            </w:pPr>
            <w:hyperlink r:id="rId16" w:history="1">
              <w:r w:rsidRPr="00C878DB">
                <w:rPr>
                  <w:rStyle w:val="Hyperlink"/>
                  <w:rFonts w:asciiTheme="minorHAnsi" w:hAnsiTheme="minorHAnsi" w:cstheme="minorHAnsi"/>
                  <w:sz w:val="22"/>
                </w:rPr>
                <w:t>https://educationendowmentfoundation.org.uk/education-evidence/teaching-learning-toolkit/behaviour-interventions</w:t>
              </w:r>
            </w:hyperlink>
          </w:p>
          <w:p w14:paraId="2A7D553D" w14:textId="15789AFF" w:rsidR="001D7797" w:rsidRPr="007D777A" w:rsidRDefault="001D7797">
            <w:pPr>
              <w:pStyle w:val="TableRowCentered"/>
              <w:jc w:val="left"/>
              <w:rPr>
                <w:rFonts w:asciiTheme="minorHAnsi" w:hAnsiTheme="minorHAnsi" w:cstheme="minorHAnsi"/>
                <w:color w:val="auto"/>
                <w:sz w:val="22"/>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4C82A3D9" w:rsidR="00E66558" w:rsidRPr="007D777A" w:rsidRDefault="00816BB2">
            <w:pPr>
              <w:pStyle w:val="TableRowCentered"/>
              <w:jc w:val="left"/>
              <w:rPr>
                <w:rFonts w:asciiTheme="minorHAnsi" w:hAnsiTheme="minorHAnsi" w:cstheme="minorHAnsi"/>
                <w:color w:val="auto"/>
                <w:sz w:val="22"/>
              </w:rPr>
            </w:pPr>
            <w:r w:rsidRPr="007D777A">
              <w:rPr>
                <w:rFonts w:asciiTheme="minorHAnsi" w:hAnsiTheme="minorHAnsi" w:cstheme="minorHAnsi"/>
                <w:color w:val="auto"/>
                <w:sz w:val="22"/>
              </w:rPr>
              <w:t>1,2,3,4,</w:t>
            </w:r>
          </w:p>
        </w:tc>
      </w:tr>
      <w:tr w:rsidR="00FF6BD1" w:rsidRPr="007D777A" w14:paraId="43B68468" w14:textId="77777777" w:rsidTr="000353B9">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91F9" w14:textId="77777777" w:rsidR="00FF6BD1" w:rsidRDefault="009A2DCF">
            <w:pPr>
              <w:pStyle w:val="TableRow"/>
              <w:rPr>
                <w:rFonts w:asciiTheme="minorHAnsi" w:hAnsiTheme="minorHAnsi" w:cstheme="minorHAnsi"/>
                <w:iCs/>
                <w:color w:val="auto"/>
                <w:sz w:val="22"/>
              </w:rPr>
            </w:pPr>
            <w:r>
              <w:rPr>
                <w:rFonts w:asciiTheme="minorHAnsi" w:hAnsiTheme="minorHAnsi" w:cstheme="minorHAnsi"/>
                <w:iCs/>
                <w:color w:val="auto"/>
                <w:sz w:val="22"/>
              </w:rPr>
              <w:t>Theatre visits</w:t>
            </w:r>
          </w:p>
          <w:p w14:paraId="25BBCB76" w14:textId="616B5055" w:rsidR="004E69C8" w:rsidRPr="007D777A" w:rsidRDefault="00DE02BA">
            <w:pPr>
              <w:pStyle w:val="TableRow"/>
              <w:rPr>
                <w:rFonts w:asciiTheme="minorHAnsi" w:hAnsiTheme="minorHAnsi" w:cstheme="minorHAnsi"/>
                <w:iCs/>
                <w:color w:val="auto"/>
                <w:sz w:val="22"/>
              </w:rPr>
            </w:pPr>
            <w:r>
              <w:rPr>
                <w:rFonts w:asciiTheme="minorHAnsi" w:hAnsiTheme="minorHAnsi" w:cstheme="minorHAnsi"/>
                <w:iCs/>
                <w:color w:val="auto"/>
                <w:sz w:val="22"/>
              </w:rPr>
              <w:t>Cost - £</w:t>
            </w:r>
            <w:r w:rsidR="00334863">
              <w:rPr>
                <w:rFonts w:asciiTheme="minorHAnsi" w:hAnsiTheme="minorHAnsi" w:cstheme="minorHAnsi"/>
                <w:iCs/>
                <w:color w:val="auto"/>
                <w:sz w:val="22"/>
              </w:rPr>
              <w:t>2000</w:t>
            </w:r>
          </w:p>
        </w:tc>
        <w:tc>
          <w:tcPr>
            <w:tcW w:w="5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F5AA" w14:textId="763E7C74" w:rsidR="00FF6BD1" w:rsidRDefault="009A2DCF">
            <w:pPr>
              <w:pStyle w:val="TableRowCentered"/>
              <w:jc w:val="left"/>
              <w:rPr>
                <w:rFonts w:asciiTheme="minorHAnsi" w:hAnsiTheme="minorHAnsi" w:cstheme="minorHAnsi"/>
                <w:color w:val="auto"/>
                <w:sz w:val="22"/>
              </w:rPr>
            </w:pPr>
            <w:r>
              <w:rPr>
                <w:rFonts w:asciiTheme="minorHAnsi" w:hAnsiTheme="minorHAnsi" w:cstheme="minorHAnsi"/>
                <w:color w:val="auto"/>
                <w:sz w:val="22"/>
              </w:rPr>
              <w:t>EEF – Arts participation (+3)</w:t>
            </w:r>
          </w:p>
          <w:p w14:paraId="0CFFBAF6" w14:textId="0C6305A4" w:rsidR="009A2DCF" w:rsidRDefault="009A2DCF">
            <w:pPr>
              <w:pStyle w:val="TableRowCentered"/>
              <w:jc w:val="left"/>
              <w:rPr>
                <w:rFonts w:asciiTheme="minorHAnsi" w:hAnsiTheme="minorHAnsi" w:cstheme="minorHAnsi"/>
                <w:color w:val="auto"/>
                <w:sz w:val="22"/>
              </w:rPr>
            </w:pPr>
            <w:hyperlink r:id="rId17" w:history="1">
              <w:r w:rsidRPr="00221C7F">
                <w:rPr>
                  <w:rStyle w:val="Hyperlink"/>
                  <w:rFonts w:asciiTheme="minorHAnsi" w:hAnsiTheme="minorHAnsi" w:cstheme="minorHAnsi"/>
                  <w:sz w:val="22"/>
                </w:rPr>
                <w:t>https://educationendowmentfoundation.org.uk/education-evidence/teaching-learning-toolkit/arts-participation</w:t>
              </w:r>
            </w:hyperlink>
          </w:p>
          <w:p w14:paraId="307925D7" w14:textId="7534FDF6" w:rsidR="009A2DCF" w:rsidRPr="007D777A" w:rsidRDefault="009A2DCF">
            <w:pPr>
              <w:pStyle w:val="TableRowCentered"/>
              <w:jc w:val="left"/>
              <w:rPr>
                <w:rFonts w:asciiTheme="minorHAnsi" w:hAnsiTheme="minorHAnsi" w:cstheme="minorHAnsi"/>
                <w:color w:val="auto"/>
                <w:sz w:val="22"/>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D76E2" w14:textId="79EA862F" w:rsidR="00FF6BD1" w:rsidRPr="007D777A" w:rsidRDefault="00F53140">
            <w:pPr>
              <w:pStyle w:val="TableRowCentered"/>
              <w:jc w:val="left"/>
              <w:rPr>
                <w:rFonts w:asciiTheme="minorHAnsi" w:hAnsiTheme="minorHAnsi" w:cstheme="minorHAnsi"/>
                <w:color w:val="auto"/>
                <w:sz w:val="22"/>
              </w:rPr>
            </w:pPr>
            <w:r>
              <w:rPr>
                <w:rFonts w:asciiTheme="minorHAnsi" w:hAnsiTheme="minorHAnsi" w:cstheme="minorHAnsi"/>
                <w:color w:val="auto"/>
                <w:sz w:val="22"/>
              </w:rPr>
              <w:t>3</w:t>
            </w:r>
          </w:p>
        </w:tc>
      </w:tr>
      <w:tr w:rsidR="004C78EE" w:rsidRPr="007D777A" w14:paraId="685D5ED5" w14:textId="77777777" w:rsidTr="000353B9">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21C27" w14:textId="77777777" w:rsidR="004C78EE" w:rsidRDefault="0048585B">
            <w:pPr>
              <w:pStyle w:val="TableRow"/>
              <w:rPr>
                <w:rFonts w:asciiTheme="minorHAnsi" w:hAnsiTheme="minorHAnsi" w:cstheme="minorHAnsi"/>
                <w:iCs/>
                <w:color w:val="auto"/>
                <w:sz w:val="22"/>
              </w:rPr>
            </w:pPr>
            <w:r>
              <w:rPr>
                <w:rFonts w:asciiTheme="minorHAnsi" w:hAnsiTheme="minorHAnsi" w:cstheme="minorHAnsi"/>
                <w:iCs/>
                <w:color w:val="auto"/>
                <w:sz w:val="22"/>
              </w:rPr>
              <w:t xml:space="preserve">Wide range of </w:t>
            </w:r>
            <w:proofErr w:type="spellStart"/>
            <w:r>
              <w:rPr>
                <w:rFonts w:asciiTheme="minorHAnsi" w:hAnsiTheme="minorHAnsi" w:cstheme="minorHAnsi"/>
                <w:iCs/>
                <w:color w:val="auto"/>
                <w:sz w:val="22"/>
              </w:rPr>
              <w:t>extra curricular</w:t>
            </w:r>
            <w:proofErr w:type="spellEnd"/>
            <w:r>
              <w:rPr>
                <w:rFonts w:asciiTheme="minorHAnsi" w:hAnsiTheme="minorHAnsi" w:cstheme="minorHAnsi"/>
                <w:iCs/>
                <w:color w:val="auto"/>
                <w:sz w:val="22"/>
              </w:rPr>
              <w:t xml:space="preserve"> activities </w:t>
            </w:r>
            <w:r w:rsidR="006767F8">
              <w:rPr>
                <w:rFonts w:asciiTheme="minorHAnsi" w:hAnsiTheme="minorHAnsi" w:cstheme="minorHAnsi"/>
                <w:iCs/>
                <w:color w:val="auto"/>
                <w:sz w:val="22"/>
              </w:rPr>
              <w:t>– free of charge</w:t>
            </w:r>
            <w:r w:rsidR="004C78EE">
              <w:rPr>
                <w:rFonts w:asciiTheme="minorHAnsi" w:hAnsiTheme="minorHAnsi" w:cstheme="minorHAnsi"/>
                <w:iCs/>
                <w:color w:val="auto"/>
                <w:sz w:val="22"/>
              </w:rPr>
              <w:t xml:space="preserve"> </w:t>
            </w:r>
            <w:r w:rsidR="00334863">
              <w:rPr>
                <w:rFonts w:asciiTheme="minorHAnsi" w:hAnsiTheme="minorHAnsi" w:cstheme="minorHAnsi"/>
                <w:iCs/>
                <w:color w:val="auto"/>
                <w:sz w:val="22"/>
              </w:rPr>
              <w:t xml:space="preserve">to </w:t>
            </w:r>
            <w:r w:rsidR="00FB0FBB">
              <w:rPr>
                <w:rFonts w:asciiTheme="minorHAnsi" w:hAnsiTheme="minorHAnsi" w:cstheme="minorHAnsi"/>
                <w:iCs/>
                <w:color w:val="auto"/>
                <w:sz w:val="22"/>
              </w:rPr>
              <w:t>parents</w:t>
            </w:r>
          </w:p>
          <w:p w14:paraId="1727955D" w14:textId="3C74B2E4" w:rsidR="00FB0FBB" w:rsidRDefault="00FB0FBB">
            <w:pPr>
              <w:pStyle w:val="TableRow"/>
              <w:rPr>
                <w:rFonts w:asciiTheme="minorHAnsi" w:hAnsiTheme="minorHAnsi" w:cstheme="minorHAnsi"/>
                <w:iCs/>
                <w:color w:val="auto"/>
                <w:sz w:val="22"/>
              </w:rPr>
            </w:pPr>
            <w:r>
              <w:rPr>
                <w:rFonts w:asciiTheme="minorHAnsi" w:hAnsiTheme="minorHAnsi" w:cstheme="minorHAnsi"/>
                <w:iCs/>
                <w:color w:val="auto"/>
                <w:sz w:val="22"/>
              </w:rPr>
              <w:t>£</w:t>
            </w:r>
            <w:r w:rsidR="009516D5">
              <w:rPr>
                <w:rFonts w:asciiTheme="minorHAnsi" w:hAnsiTheme="minorHAnsi" w:cstheme="minorHAnsi"/>
                <w:iCs/>
                <w:color w:val="auto"/>
                <w:sz w:val="22"/>
              </w:rPr>
              <w:t>3,740</w:t>
            </w:r>
          </w:p>
        </w:tc>
        <w:tc>
          <w:tcPr>
            <w:tcW w:w="5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9BBCB" w14:textId="0014D87A" w:rsidR="004C78EE" w:rsidRDefault="00F53140" w:rsidP="004C78EE">
            <w:pPr>
              <w:pStyle w:val="TableRowCentered"/>
              <w:ind w:left="0"/>
              <w:jc w:val="left"/>
              <w:rPr>
                <w:rFonts w:asciiTheme="minorHAnsi" w:hAnsiTheme="minorHAnsi" w:cstheme="minorHAnsi"/>
                <w:color w:val="auto"/>
                <w:sz w:val="22"/>
              </w:rPr>
            </w:pPr>
            <w:r>
              <w:rPr>
                <w:rFonts w:asciiTheme="minorHAnsi" w:hAnsiTheme="minorHAnsi" w:cstheme="minorHAnsi"/>
                <w:color w:val="auto"/>
                <w:sz w:val="22"/>
              </w:rPr>
              <w:t xml:space="preserve">Access to skilled </w:t>
            </w:r>
            <w:r w:rsidR="006767F8">
              <w:rPr>
                <w:rFonts w:asciiTheme="minorHAnsi" w:hAnsiTheme="minorHAnsi" w:cstheme="minorHAnsi"/>
                <w:color w:val="auto"/>
                <w:sz w:val="22"/>
              </w:rPr>
              <w:t xml:space="preserve">extra-curricular activities provided </w:t>
            </w:r>
            <w:r w:rsidR="00237E59">
              <w:rPr>
                <w:rFonts w:asciiTheme="minorHAnsi" w:hAnsiTheme="minorHAnsi" w:cstheme="minorHAnsi"/>
                <w:color w:val="auto"/>
                <w:sz w:val="22"/>
              </w:rPr>
              <w:t>by coaches</w:t>
            </w:r>
            <w:r>
              <w:rPr>
                <w:rFonts w:asciiTheme="minorHAnsi" w:hAnsiTheme="minorHAnsi" w:cstheme="minorHAnsi"/>
                <w:color w:val="auto"/>
                <w:sz w:val="22"/>
              </w:rPr>
              <w:t>, isolated area previously prevented this.</w:t>
            </w: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63E9F" w14:textId="324903E4" w:rsidR="004C78EE" w:rsidRPr="007D777A" w:rsidRDefault="00F53140">
            <w:pPr>
              <w:pStyle w:val="TableRowCentered"/>
              <w:jc w:val="left"/>
              <w:rPr>
                <w:rFonts w:asciiTheme="minorHAnsi" w:hAnsiTheme="minorHAnsi" w:cstheme="minorHAnsi"/>
                <w:color w:val="auto"/>
                <w:sz w:val="22"/>
              </w:rPr>
            </w:pPr>
            <w:r>
              <w:rPr>
                <w:rFonts w:asciiTheme="minorHAnsi" w:hAnsiTheme="minorHAnsi" w:cstheme="minorHAnsi"/>
                <w:color w:val="auto"/>
                <w:sz w:val="22"/>
              </w:rPr>
              <w:t>3</w:t>
            </w:r>
          </w:p>
        </w:tc>
      </w:tr>
      <w:tr w:rsidR="00F53140" w:rsidRPr="007D777A" w14:paraId="37F97523" w14:textId="77777777" w:rsidTr="000353B9">
        <w:tc>
          <w:tcPr>
            <w:tcW w:w="2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D6ABA" w14:textId="77777777" w:rsidR="00790690" w:rsidRPr="00790690" w:rsidRDefault="00790690" w:rsidP="00790690">
            <w:pPr>
              <w:pStyle w:val="TableRow"/>
              <w:rPr>
                <w:rFonts w:asciiTheme="minorHAnsi" w:hAnsiTheme="minorHAnsi" w:cstheme="minorHAnsi"/>
                <w:iCs/>
                <w:color w:val="auto"/>
                <w:sz w:val="22"/>
              </w:rPr>
            </w:pPr>
            <w:r w:rsidRPr="00790690">
              <w:rPr>
                <w:rFonts w:asciiTheme="minorHAnsi" w:hAnsiTheme="minorHAnsi" w:cstheme="minorHAnsi"/>
                <w:iCs/>
                <w:color w:val="auto"/>
                <w:sz w:val="22"/>
              </w:rPr>
              <w:t xml:space="preserve">Supporting Pupils Mental Health and </w:t>
            </w:r>
          </w:p>
          <w:p w14:paraId="7FFC7D55" w14:textId="2072342F" w:rsidR="00790690" w:rsidRPr="00790690" w:rsidRDefault="00790690" w:rsidP="00C64FAF">
            <w:pPr>
              <w:pStyle w:val="TableRow"/>
              <w:rPr>
                <w:rFonts w:asciiTheme="minorHAnsi" w:hAnsiTheme="minorHAnsi" w:cstheme="minorHAnsi"/>
                <w:iCs/>
                <w:color w:val="auto"/>
                <w:sz w:val="22"/>
              </w:rPr>
            </w:pPr>
            <w:r w:rsidRPr="00790690">
              <w:rPr>
                <w:rFonts w:asciiTheme="minorHAnsi" w:hAnsiTheme="minorHAnsi" w:cstheme="minorHAnsi"/>
                <w:iCs/>
                <w:color w:val="auto"/>
                <w:sz w:val="22"/>
              </w:rPr>
              <w:t>Wellbeing</w:t>
            </w:r>
            <w:r w:rsidR="00F32C64">
              <w:rPr>
                <w:rFonts w:asciiTheme="minorHAnsi" w:hAnsiTheme="minorHAnsi" w:cstheme="minorHAnsi"/>
                <w:iCs/>
                <w:color w:val="auto"/>
                <w:sz w:val="22"/>
              </w:rPr>
              <w:t xml:space="preserve"> - </w:t>
            </w:r>
            <w:r w:rsidR="00C64FAF">
              <w:rPr>
                <w:rFonts w:asciiTheme="minorHAnsi" w:hAnsiTheme="minorHAnsi" w:cstheme="minorHAnsi"/>
                <w:iCs/>
                <w:color w:val="auto"/>
                <w:sz w:val="22"/>
              </w:rPr>
              <w:t>£3900 +</w:t>
            </w:r>
            <w:r w:rsidR="00603C89">
              <w:rPr>
                <w:rFonts w:asciiTheme="minorHAnsi" w:hAnsiTheme="minorHAnsi" w:cstheme="minorHAnsi"/>
                <w:iCs/>
                <w:color w:val="auto"/>
                <w:sz w:val="22"/>
              </w:rPr>
              <w:t xml:space="preserve"> £2018</w:t>
            </w:r>
          </w:p>
          <w:p w14:paraId="6AA62BEA" w14:textId="607FECAA" w:rsidR="00790690" w:rsidRPr="00790690" w:rsidRDefault="00C64FAF" w:rsidP="00790690">
            <w:pPr>
              <w:pStyle w:val="TableRow"/>
              <w:rPr>
                <w:rFonts w:asciiTheme="minorHAnsi" w:hAnsiTheme="minorHAnsi" w:cstheme="minorHAnsi"/>
                <w:iCs/>
                <w:color w:val="auto"/>
                <w:sz w:val="22"/>
              </w:rPr>
            </w:pPr>
            <w:r>
              <w:rPr>
                <w:rFonts w:asciiTheme="minorHAnsi" w:hAnsiTheme="minorHAnsi" w:cstheme="minorHAnsi"/>
                <w:iCs/>
                <w:color w:val="auto"/>
                <w:sz w:val="22"/>
              </w:rPr>
              <w:t>A</w:t>
            </w:r>
            <w:r w:rsidR="00790690" w:rsidRPr="00790690">
              <w:rPr>
                <w:rFonts w:asciiTheme="minorHAnsi" w:hAnsiTheme="minorHAnsi" w:cstheme="minorHAnsi"/>
                <w:iCs/>
                <w:color w:val="auto"/>
                <w:sz w:val="22"/>
              </w:rPr>
              <w:t>ccess to 1 to 1 and group Play Therapy</w:t>
            </w:r>
          </w:p>
          <w:p w14:paraId="6AB383AA" w14:textId="7113D0D3" w:rsidR="00F53140" w:rsidRDefault="00790690" w:rsidP="00084F8F">
            <w:pPr>
              <w:pStyle w:val="TableRow"/>
              <w:rPr>
                <w:rFonts w:asciiTheme="minorHAnsi" w:hAnsiTheme="minorHAnsi" w:cstheme="minorHAnsi"/>
                <w:iCs/>
                <w:color w:val="auto"/>
                <w:sz w:val="22"/>
              </w:rPr>
            </w:pPr>
            <w:r w:rsidRPr="00790690">
              <w:rPr>
                <w:rFonts w:asciiTheme="minorHAnsi" w:hAnsiTheme="minorHAnsi" w:cstheme="minorHAnsi"/>
                <w:iCs/>
                <w:color w:val="auto"/>
                <w:sz w:val="22"/>
              </w:rPr>
              <w:t>via TAs or ABC</w:t>
            </w:r>
            <w:r w:rsidR="00084F8F">
              <w:rPr>
                <w:rFonts w:asciiTheme="minorHAnsi" w:hAnsiTheme="minorHAnsi" w:cstheme="minorHAnsi"/>
                <w:iCs/>
                <w:color w:val="auto"/>
                <w:sz w:val="22"/>
              </w:rPr>
              <w:t xml:space="preserve"> - £2340</w:t>
            </w:r>
          </w:p>
          <w:p w14:paraId="04B3FFE1" w14:textId="3A26565B" w:rsidR="00EA3918" w:rsidRDefault="00EA3918" w:rsidP="00EA3918">
            <w:pPr>
              <w:pStyle w:val="TableRow"/>
              <w:ind w:left="0"/>
              <w:rPr>
                <w:rFonts w:asciiTheme="minorHAnsi" w:hAnsiTheme="minorHAnsi" w:cstheme="minorHAnsi"/>
                <w:iCs/>
                <w:color w:val="auto"/>
                <w:sz w:val="22"/>
              </w:rPr>
            </w:pPr>
            <w:r>
              <w:rPr>
                <w:rFonts w:asciiTheme="minorHAnsi" w:hAnsiTheme="minorHAnsi" w:cstheme="minorHAnsi"/>
                <w:iCs/>
                <w:color w:val="auto"/>
                <w:sz w:val="22"/>
              </w:rPr>
              <w:t>Cost - £</w:t>
            </w:r>
            <w:r w:rsidR="002C7CE4">
              <w:rPr>
                <w:rFonts w:asciiTheme="minorHAnsi" w:hAnsiTheme="minorHAnsi" w:cstheme="minorHAnsi"/>
                <w:iCs/>
                <w:color w:val="auto"/>
                <w:sz w:val="22"/>
              </w:rPr>
              <w:t>8257</w:t>
            </w:r>
          </w:p>
        </w:tc>
        <w:tc>
          <w:tcPr>
            <w:tcW w:w="5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F4E0C" w14:textId="77777777" w:rsidR="00F95771" w:rsidRDefault="00F95771" w:rsidP="00F95771">
            <w:pPr>
              <w:pStyle w:val="TableRowCentered"/>
              <w:jc w:val="left"/>
              <w:rPr>
                <w:rFonts w:asciiTheme="minorHAnsi" w:hAnsiTheme="minorHAnsi" w:cstheme="minorHAnsi"/>
                <w:color w:val="auto"/>
                <w:sz w:val="22"/>
              </w:rPr>
            </w:pPr>
            <w:r w:rsidRPr="00F95771">
              <w:rPr>
                <w:rFonts w:asciiTheme="minorHAnsi" w:hAnsiTheme="minorHAnsi" w:cstheme="minorHAnsi"/>
                <w:color w:val="auto"/>
                <w:sz w:val="22"/>
              </w:rPr>
              <w:t>EEF –</w:t>
            </w:r>
            <w:r>
              <w:rPr>
                <w:rFonts w:asciiTheme="minorHAnsi" w:hAnsiTheme="minorHAnsi" w:cstheme="minorHAnsi"/>
                <w:color w:val="auto"/>
                <w:sz w:val="22"/>
              </w:rPr>
              <w:t xml:space="preserve"> </w:t>
            </w:r>
            <w:r w:rsidRPr="00F95771">
              <w:rPr>
                <w:rFonts w:asciiTheme="minorHAnsi" w:hAnsiTheme="minorHAnsi" w:cstheme="minorHAnsi"/>
                <w:color w:val="auto"/>
                <w:sz w:val="22"/>
              </w:rPr>
              <w:t xml:space="preserve">Behaviour Interventions </w:t>
            </w:r>
          </w:p>
          <w:p w14:paraId="10916DFB" w14:textId="1D30998C" w:rsidR="00F95771" w:rsidRPr="00F95771" w:rsidRDefault="00F95771" w:rsidP="00F95771">
            <w:pPr>
              <w:pStyle w:val="TableRowCentered"/>
              <w:jc w:val="left"/>
              <w:rPr>
                <w:rFonts w:asciiTheme="minorHAnsi" w:hAnsiTheme="minorHAnsi" w:cstheme="minorHAnsi"/>
                <w:color w:val="auto"/>
                <w:sz w:val="22"/>
              </w:rPr>
            </w:pPr>
            <w:r w:rsidRPr="00F95771">
              <w:rPr>
                <w:rFonts w:asciiTheme="minorHAnsi" w:hAnsiTheme="minorHAnsi" w:cstheme="minorHAnsi"/>
                <w:color w:val="auto"/>
                <w:sz w:val="22"/>
              </w:rPr>
              <w:t>Social and Emotional Learning</w:t>
            </w:r>
          </w:p>
          <w:p w14:paraId="086C0CCB" w14:textId="09ECAC9C" w:rsidR="00F53140" w:rsidRDefault="00F53140" w:rsidP="004C78EE">
            <w:pPr>
              <w:pStyle w:val="TableRowCentered"/>
              <w:ind w:left="0"/>
              <w:jc w:val="left"/>
              <w:rPr>
                <w:rFonts w:asciiTheme="minorHAnsi" w:hAnsiTheme="minorHAnsi" w:cstheme="minorHAnsi"/>
                <w:color w:val="auto"/>
                <w:sz w:val="22"/>
              </w:rPr>
            </w:pPr>
          </w:p>
        </w:tc>
        <w:tc>
          <w:tcPr>
            <w:tcW w:w="1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CB76F" w14:textId="77777777" w:rsidR="00277301" w:rsidRPr="00277301" w:rsidRDefault="00277301" w:rsidP="00277301">
            <w:pPr>
              <w:pStyle w:val="TableRowCentered"/>
              <w:jc w:val="left"/>
              <w:rPr>
                <w:rFonts w:asciiTheme="minorHAnsi" w:hAnsiTheme="minorHAnsi" w:cstheme="minorHAnsi"/>
                <w:color w:val="auto"/>
                <w:sz w:val="22"/>
              </w:rPr>
            </w:pPr>
            <w:r w:rsidRPr="00277301">
              <w:rPr>
                <w:rFonts w:asciiTheme="minorHAnsi" w:hAnsiTheme="minorHAnsi" w:cstheme="minorHAnsi"/>
                <w:color w:val="auto"/>
                <w:sz w:val="22"/>
              </w:rPr>
              <w:t xml:space="preserve">4 / 6 </w:t>
            </w:r>
          </w:p>
          <w:p w14:paraId="2DE5D872" w14:textId="77777777" w:rsidR="00277301" w:rsidRPr="00277301" w:rsidRDefault="00277301" w:rsidP="00277301">
            <w:pPr>
              <w:pStyle w:val="TableRowCentered"/>
              <w:jc w:val="left"/>
              <w:rPr>
                <w:rFonts w:asciiTheme="minorHAnsi" w:hAnsiTheme="minorHAnsi" w:cstheme="minorHAnsi"/>
                <w:color w:val="auto"/>
                <w:sz w:val="22"/>
              </w:rPr>
            </w:pPr>
            <w:r w:rsidRPr="00277301">
              <w:rPr>
                <w:rFonts w:asciiTheme="minorHAnsi" w:hAnsiTheme="minorHAnsi" w:cstheme="minorHAnsi"/>
                <w:color w:val="auto"/>
                <w:sz w:val="22"/>
              </w:rPr>
              <w:t xml:space="preserve">Also supports </w:t>
            </w:r>
          </w:p>
          <w:p w14:paraId="65AD4CF4" w14:textId="77777777" w:rsidR="00277301" w:rsidRPr="00277301" w:rsidRDefault="00277301" w:rsidP="00277301">
            <w:pPr>
              <w:pStyle w:val="TableRowCentered"/>
              <w:jc w:val="left"/>
              <w:rPr>
                <w:rFonts w:asciiTheme="minorHAnsi" w:hAnsiTheme="minorHAnsi" w:cstheme="minorHAnsi"/>
                <w:color w:val="auto"/>
                <w:sz w:val="22"/>
              </w:rPr>
            </w:pPr>
            <w:r w:rsidRPr="00277301">
              <w:rPr>
                <w:rFonts w:asciiTheme="minorHAnsi" w:hAnsiTheme="minorHAnsi" w:cstheme="minorHAnsi"/>
                <w:color w:val="auto"/>
                <w:sz w:val="22"/>
              </w:rPr>
              <w:t>1 / 2</w:t>
            </w:r>
          </w:p>
          <w:p w14:paraId="3433881C" w14:textId="3AC1700D" w:rsidR="00F53140" w:rsidRPr="007D777A" w:rsidRDefault="00F53140">
            <w:pPr>
              <w:pStyle w:val="TableRowCentered"/>
              <w:jc w:val="left"/>
              <w:rPr>
                <w:rFonts w:asciiTheme="minorHAnsi" w:hAnsiTheme="minorHAnsi" w:cstheme="minorHAnsi"/>
                <w:color w:val="auto"/>
                <w:sz w:val="22"/>
              </w:rPr>
            </w:pPr>
          </w:p>
        </w:tc>
      </w:tr>
    </w:tbl>
    <w:p w14:paraId="2A7D5540" w14:textId="77777777" w:rsidR="00E66558" w:rsidRPr="007D777A" w:rsidRDefault="00E66558" w:rsidP="00463BB3">
      <w:pPr>
        <w:spacing w:after="0" w:line="240" w:lineRule="auto"/>
        <w:rPr>
          <w:rFonts w:asciiTheme="minorHAnsi" w:hAnsiTheme="minorHAnsi" w:cstheme="minorHAnsi"/>
          <w:b/>
          <w:bCs/>
          <w:color w:val="auto"/>
          <w:sz w:val="28"/>
          <w:szCs w:val="28"/>
        </w:rPr>
      </w:pPr>
    </w:p>
    <w:p w14:paraId="399EA327" w14:textId="1A289AF2" w:rsidR="00463BB3" w:rsidRDefault="009D71E8" w:rsidP="00463BB3">
      <w:pPr>
        <w:spacing w:after="0" w:line="240" w:lineRule="auto"/>
        <w:rPr>
          <w:rFonts w:asciiTheme="minorHAnsi" w:hAnsiTheme="minorHAnsi" w:cstheme="minorHAnsi"/>
          <w:b/>
          <w:bCs/>
          <w:color w:val="FF0000"/>
          <w:sz w:val="28"/>
          <w:szCs w:val="28"/>
        </w:rPr>
      </w:pPr>
      <w:r w:rsidRPr="007D777A">
        <w:rPr>
          <w:rFonts w:asciiTheme="minorHAnsi" w:hAnsiTheme="minorHAnsi" w:cstheme="minorHAnsi"/>
          <w:b/>
          <w:bCs/>
          <w:color w:val="auto"/>
          <w:sz w:val="28"/>
          <w:szCs w:val="28"/>
        </w:rPr>
        <w:t xml:space="preserve">Total budgeted cost: </w:t>
      </w:r>
      <w:r w:rsidRPr="00B11BB8">
        <w:rPr>
          <w:rFonts w:asciiTheme="minorHAnsi" w:hAnsiTheme="minorHAnsi" w:cstheme="minorHAnsi"/>
          <w:b/>
          <w:bCs/>
          <w:color w:val="auto"/>
          <w:sz w:val="28"/>
          <w:szCs w:val="28"/>
        </w:rPr>
        <w:t>£</w:t>
      </w:r>
      <w:r w:rsidR="00311F04">
        <w:rPr>
          <w:rFonts w:asciiTheme="minorHAnsi" w:hAnsiTheme="minorHAnsi" w:cstheme="minorHAnsi"/>
          <w:b/>
          <w:bCs/>
          <w:color w:val="auto"/>
          <w:sz w:val="28"/>
          <w:szCs w:val="28"/>
        </w:rPr>
        <w:t>102,058</w:t>
      </w:r>
    </w:p>
    <w:p w14:paraId="34F1FA1A" w14:textId="77777777" w:rsidR="002330EF" w:rsidRDefault="002330EF">
      <w:pPr>
        <w:suppressAutoHyphens w:val="0"/>
        <w:spacing w:after="0" w:line="240" w:lineRule="auto"/>
        <w:rPr>
          <w:rFonts w:asciiTheme="minorHAnsi" w:hAnsiTheme="minorHAnsi" w:cstheme="minorHAnsi"/>
          <w:b/>
          <w:sz w:val="36"/>
          <w:szCs w:val="36"/>
        </w:rPr>
      </w:pPr>
      <w:r>
        <w:rPr>
          <w:rFonts w:asciiTheme="minorHAnsi" w:hAnsiTheme="minorHAnsi" w:cstheme="minorHAnsi"/>
          <w:b/>
          <w:sz w:val="36"/>
          <w:szCs w:val="36"/>
        </w:rPr>
        <w:br w:type="page"/>
      </w:r>
    </w:p>
    <w:p w14:paraId="4A1B0FBC" w14:textId="77777777" w:rsidR="00594796" w:rsidRDefault="00594796" w:rsidP="00463BB3">
      <w:pPr>
        <w:spacing w:after="0" w:line="240" w:lineRule="auto"/>
        <w:rPr>
          <w:rFonts w:asciiTheme="minorHAnsi" w:hAnsiTheme="minorHAnsi" w:cstheme="minorHAnsi"/>
          <w:b/>
          <w:sz w:val="36"/>
          <w:szCs w:val="36"/>
        </w:rPr>
        <w:sectPr w:rsidR="00594796" w:rsidSect="00E43139">
          <w:footerReference w:type="default" r:id="rId18"/>
          <w:pgSz w:w="11906" w:h="16838"/>
          <w:pgMar w:top="851" w:right="991" w:bottom="709" w:left="1134" w:header="709" w:footer="709" w:gutter="0"/>
          <w:cols w:space="720"/>
        </w:sectPr>
      </w:pPr>
    </w:p>
    <w:p w14:paraId="2A7D5542" w14:textId="277B016A" w:rsidR="00E66558" w:rsidRPr="00463BB3" w:rsidRDefault="009D71E8" w:rsidP="00463BB3">
      <w:pPr>
        <w:spacing w:after="0" w:line="240" w:lineRule="auto"/>
        <w:rPr>
          <w:rFonts w:asciiTheme="minorHAnsi" w:hAnsiTheme="minorHAnsi" w:cstheme="minorHAnsi"/>
          <w:b/>
          <w:sz w:val="36"/>
          <w:szCs w:val="36"/>
        </w:rPr>
      </w:pPr>
      <w:r w:rsidRPr="00463BB3">
        <w:rPr>
          <w:rFonts w:asciiTheme="minorHAnsi" w:hAnsiTheme="minorHAnsi" w:cstheme="minorHAnsi"/>
          <w:b/>
          <w:sz w:val="36"/>
          <w:szCs w:val="36"/>
        </w:rPr>
        <w:lastRenderedPageBreak/>
        <w:t>Part B: Review of outcomes in the previous academic year</w:t>
      </w:r>
    </w:p>
    <w:p w14:paraId="2A7D5543" w14:textId="77777777" w:rsidR="00E66558" w:rsidRPr="007D777A" w:rsidRDefault="009D71E8" w:rsidP="00463BB3">
      <w:pPr>
        <w:pStyle w:val="Heading2"/>
        <w:spacing w:before="0" w:after="0"/>
        <w:rPr>
          <w:rFonts w:asciiTheme="minorHAnsi" w:hAnsiTheme="minorHAnsi" w:cstheme="minorHAnsi"/>
        </w:rPr>
      </w:pPr>
      <w:r w:rsidRPr="007D777A">
        <w:rPr>
          <w:rFonts w:asciiTheme="minorHAnsi" w:hAnsiTheme="minorHAnsi" w:cstheme="minorHAnsi"/>
        </w:rPr>
        <w:t>Pupil premium strategy outcomes</w:t>
      </w:r>
    </w:p>
    <w:p w14:paraId="3A6842F1" w14:textId="4AC62B8B" w:rsidR="008D0954" w:rsidRDefault="009D71E8" w:rsidP="00463BB3">
      <w:pPr>
        <w:spacing w:after="0" w:line="240" w:lineRule="auto"/>
        <w:rPr>
          <w:rFonts w:asciiTheme="minorHAnsi" w:hAnsiTheme="minorHAnsi" w:cstheme="minorHAnsi"/>
        </w:rPr>
      </w:pPr>
      <w:r w:rsidRPr="007D777A">
        <w:rPr>
          <w:rFonts w:asciiTheme="minorHAnsi" w:hAnsiTheme="minorHAnsi" w:cstheme="minorHAnsi"/>
        </w:rPr>
        <w:t>This details the impact that our pupil premium ac</w:t>
      </w:r>
      <w:r w:rsidR="009A2DCF">
        <w:rPr>
          <w:rFonts w:asciiTheme="minorHAnsi" w:hAnsiTheme="minorHAnsi" w:cstheme="minorHAnsi"/>
        </w:rPr>
        <w:t>tivity had on pupils in the 202</w:t>
      </w:r>
      <w:r w:rsidR="00ED1808">
        <w:rPr>
          <w:rFonts w:asciiTheme="minorHAnsi" w:hAnsiTheme="minorHAnsi" w:cstheme="minorHAnsi"/>
        </w:rPr>
        <w:t>3</w:t>
      </w:r>
      <w:r w:rsidR="009A2DCF">
        <w:rPr>
          <w:rFonts w:asciiTheme="minorHAnsi" w:hAnsiTheme="minorHAnsi" w:cstheme="minorHAnsi"/>
        </w:rPr>
        <w:t xml:space="preserve"> to 202</w:t>
      </w:r>
      <w:r w:rsidR="00ED1808">
        <w:rPr>
          <w:rFonts w:asciiTheme="minorHAnsi" w:hAnsiTheme="minorHAnsi" w:cstheme="minorHAnsi"/>
        </w:rPr>
        <w:t>4</w:t>
      </w:r>
      <w:r w:rsidR="00BC437C">
        <w:rPr>
          <w:rFonts w:asciiTheme="minorHAnsi" w:hAnsiTheme="minorHAnsi" w:cstheme="minorHAnsi"/>
        </w:rPr>
        <w:t xml:space="preserve"> </w:t>
      </w:r>
      <w:r w:rsidRPr="007D777A">
        <w:rPr>
          <w:rFonts w:asciiTheme="minorHAnsi" w:hAnsiTheme="minorHAnsi" w:cstheme="minorHAnsi"/>
        </w:rPr>
        <w:t>academic year</w:t>
      </w:r>
      <w:r w:rsidR="00552E7C">
        <w:rPr>
          <w:rFonts w:asciiTheme="minorHAnsi" w:hAnsiTheme="minorHAnsi" w:cstheme="minorHAnsi"/>
        </w:rPr>
        <w:t>.</w:t>
      </w:r>
    </w:p>
    <w:p w14:paraId="3E6973E0" w14:textId="77777777" w:rsidR="00987C38" w:rsidRDefault="00987C38" w:rsidP="00463BB3">
      <w:pPr>
        <w:spacing w:after="0" w:line="240" w:lineRule="auto"/>
        <w:rPr>
          <w:rFonts w:asciiTheme="minorHAnsi" w:hAnsiTheme="minorHAnsi" w:cstheme="minorHAnsi"/>
        </w:rPr>
      </w:pPr>
    </w:p>
    <w:tbl>
      <w:tblPr>
        <w:tblStyle w:val="TableGrid"/>
        <w:tblW w:w="15588" w:type="dxa"/>
        <w:tblLook w:val="04A0" w:firstRow="1" w:lastRow="0" w:firstColumn="1" w:lastColumn="0" w:noHBand="0" w:noVBand="1"/>
      </w:tblPr>
      <w:tblGrid>
        <w:gridCol w:w="1980"/>
        <w:gridCol w:w="3402"/>
        <w:gridCol w:w="3260"/>
        <w:gridCol w:w="3260"/>
        <w:gridCol w:w="3686"/>
      </w:tblGrid>
      <w:tr w:rsidR="00A6241E" w:rsidRPr="00407E27" w14:paraId="4056BC65" w14:textId="6B89F79D" w:rsidTr="00A6241E">
        <w:tc>
          <w:tcPr>
            <w:tcW w:w="11902" w:type="dxa"/>
            <w:gridSpan w:val="4"/>
          </w:tcPr>
          <w:p w14:paraId="3CD221D8" w14:textId="6D49267B" w:rsidR="00A6241E" w:rsidRPr="00407E27" w:rsidRDefault="00A6241E" w:rsidP="00463BB3">
            <w:pPr>
              <w:spacing w:after="0" w:line="240" w:lineRule="auto"/>
              <w:rPr>
                <w:rFonts w:asciiTheme="minorHAnsi" w:hAnsiTheme="minorHAnsi" w:cstheme="minorHAnsi"/>
                <w:b/>
                <w:bCs/>
              </w:rPr>
            </w:pPr>
            <w:r w:rsidRPr="00407E27">
              <w:rPr>
                <w:rFonts w:asciiTheme="minorHAnsi" w:hAnsiTheme="minorHAnsi" w:cstheme="minorHAnsi"/>
                <w:b/>
                <w:bCs/>
              </w:rPr>
              <w:t>Review of the strategy against the aims:</w:t>
            </w:r>
          </w:p>
        </w:tc>
        <w:tc>
          <w:tcPr>
            <w:tcW w:w="3686" w:type="dxa"/>
          </w:tcPr>
          <w:p w14:paraId="26ED3859" w14:textId="77777777" w:rsidR="00A6241E" w:rsidRPr="00407E27" w:rsidRDefault="00A6241E" w:rsidP="00463BB3">
            <w:pPr>
              <w:spacing w:after="0" w:line="240" w:lineRule="auto"/>
              <w:rPr>
                <w:rFonts w:asciiTheme="minorHAnsi" w:hAnsiTheme="minorHAnsi" w:cstheme="minorHAnsi"/>
                <w:b/>
                <w:bCs/>
              </w:rPr>
            </w:pPr>
          </w:p>
        </w:tc>
      </w:tr>
      <w:tr w:rsidR="00A6241E" w:rsidRPr="00407E27" w14:paraId="66C15151" w14:textId="759780FA" w:rsidTr="00A6241E">
        <w:tc>
          <w:tcPr>
            <w:tcW w:w="1980" w:type="dxa"/>
          </w:tcPr>
          <w:p w14:paraId="5A86586A" w14:textId="4E97ACFF" w:rsidR="00A6241E" w:rsidRPr="00407E27" w:rsidRDefault="00A6241E" w:rsidP="00463BB3">
            <w:pPr>
              <w:spacing w:after="0" w:line="240" w:lineRule="auto"/>
              <w:rPr>
                <w:rFonts w:asciiTheme="minorHAnsi" w:hAnsiTheme="minorHAnsi" w:cstheme="minorHAnsi"/>
                <w:b/>
                <w:bCs/>
              </w:rPr>
            </w:pPr>
            <w:r w:rsidRPr="00407E27">
              <w:rPr>
                <w:rFonts w:asciiTheme="minorHAnsi" w:hAnsiTheme="minorHAnsi" w:cstheme="minorHAnsi"/>
                <w:b/>
                <w:bCs/>
              </w:rPr>
              <w:t>Intended outcome</w:t>
            </w:r>
          </w:p>
        </w:tc>
        <w:tc>
          <w:tcPr>
            <w:tcW w:w="3402" w:type="dxa"/>
          </w:tcPr>
          <w:p w14:paraId="6EFABFA9" w14:textId="01460E66" w:rsidR="00A6241E" w:rsidRPr="00407E27" w:rsidRDefault="00A6241E" w:rsidP="00463BB3">
            <w:pPr>
              <w:spacing w:after="0" w:line="240" w:lineRule="auto"/>
              <w:rPr>
                <w:rFonts w:asciiTheme="minorHAnsi" w:hAnsiTheme="minorHAnsi" w:cstheme="minorHAnsi"/>
                <w:b/>
                <w:bCs/>
              </w:rPr>
            </w:pPr>
            <w:r w:rsidRPr="00407E27">
              <w:rPr>
                <w:rFonts w:asciiTheme="minorHAnsi" w:hAnsiTheme="minorHAnsi" w:cstheme="minorHAnsi"/>
                <w:b/>
                <w:bCs/>
              </w:rPr>
              <w:t>Baseline Position (end of 2021-22)</w:t>
            </w:r>
          </w:p>
        </w:tc>
        <w:tc>
          <w:tcPr>
            <w:tcW w:w="3260" w:type="dxa"/>
          </w:tcPr>
          <w:p w14:paraId="2497987A" w14:textId="7DE64B03" w:rsidR="00A6241E" w:rsidRPr="00407E27" w:rsidRDefault="00A6241E" w:rsidP="00463BB3">
            <w:pPr>
              <w:spacing w:after="0" w:line="240" w:lineRule="auto"/>
              <w:rPr>
                <w:rFonts w:asciiTheme="minorHAnsi" w:hAnsiTheme="minorHAnsi" w:cstheme="minorHAnsi"/>
                <w:b/>
                <w:bCs/>
              </w:rPr>
            </w:pPr>
            <w:r w:rsidRPr="00407E27">
              <w:rPr>
                <w:rFonts w:asciiTheme="minorHAnsi" w:hAnsiTheme="minorHAnsi" w:cstheme="minorHAnsi"/>
                <w:b/>
                <w:bCs/>
              </w:rPr>
              <w:t>Review (end of 2022-2023 academic year)</w:t>
            </w:r>
          </w:p>
        </w:tc>
        <w:tc>
          <w:tcPr>
            <w:tcW w:w="3260" w:type="dxa"/>
          </w:tcPr>
          <w:p w14:paraId="7C4AE36E" w14:textId="40BF29EC" w:rsidR="00A6241E" w:rsidRPr="00407E27" w:rsidRDefault="00A6241E" w:rsidP="00463BB3">
            <w:pPr>
              <w:spacing w:after="0" w:line="240" w:lineRule="auto"/>
              <w:rPr>
                <w:rFonts w:asciiTheme="minorHAnsi" w:hAnsiTheme="minorHAnsi" w:cstheme="minorHAnsi"/>
                <w:b/>
                <w:bCs/>
              </w:rPr>
            </w:pPr>
            <w:r w:rsidRPr="00C84AA9">
              <w:rPr>
                <w:rFonts w:asciiTheme="minorHAnsi" w:hAnsiTheme="minorHAnsi" w:cstheme="minorHAnsi"/>
                <w:b/>
                <w:bCs/>
              </w:rPr>
              <w:t>Review Point 2(end of 2023-24 academic year)</w:t>
            </w:r>
          </w:p>
        </w:tc>
        <w:tc>
          <w:tcPr>
            <w:tcW w:w="3686" w:type="dxa"/>
          </w:tcPr>
          <w:p w14:paraId="503BDE12" w14:textId="5899317E" w:rsidR="00A6241E" w:rsidRPr="00C84AA9" w:rsidRDefault="00A6241E" w:rsidP="00463BB3">
            <w:pPr>
              <w:spacing w:after="0" w:line="240" w:lineRule="auto"/>
              <w:rPr>
                <w:rFonts w:asciiTheme="minorHAnsi" w:hAnsiTheme="minorHAnsi" w:cstheme="minorHAnsi"/>
                <w:b/>
                <w:bCs/>
              </w:rPr>
            </w:pPr>
            <w:r w:rsidRPr="00C84AA9">
              <w:rPr>
                <w:rFonts w:asciiTheme="minorHAnsi" w:hAnsiTheme="minorHAnsi" w:cstheme="minorHAnsi"/>
                <w:b/>
                <w:bCs/>
              </w:rPr>
              <w:t>Review Point 2(end of 202</w:t>
            </w:r>
            <w:r>
              <w:rPr>
                <w:rFonts w:asciiTheme="minorHAnsi" w:hAnsiTheme="minorHAnsi" w:cstheme="minorHAnsi"/>
                <w:b/>
                <w:bCs/>
              </w:rPr>
              <w:t>4</w:t>
            </w:r>
            <w:r w:rsidRPr="00C84AA9">
              <w:rPr>
                <w:rFonts w:asciiTheme="minorHAnsi" w:hAnsiTheme="minorHAnsi" w:cstheme="minorHAnsi"/>
                <w:b/>
                <w:bCs/>
              </w:rPr>
              <w:t>-2</w:t>
            </w:r>
            <w:r>
              <w:rPr>
                <w:rFonts w:asciiTheme="minorHAnsi" w:hAnsiTheme="minorHAnsi" w:cstheme="minorHAnsi"/>
                <w:b/>
                <w:bCs/>
              </w:rPr>
              <w:t xml:space="preserve">5 </w:t>
            </w:r>
            <w:r w:rsidRPr="00C84AA9">
              <w:rPr>
                <w:rFonts w:asciiTheme="minorHAnsi" w:hAnsiTheme="minorHAnsi" w:cstheme="minorHAnsi"/>
                <w:b/>
                <w:bCs/>
              </w:rPr>
              <w:t>academic year)</w:t>
            </w:r>
          </w:p>
        </w:tc>
      </w:tr>
      <w:tr w:rsidR="00A6241E" w14:paraId="72F223A1" w14:textId="23C33DEB" w:rsidTr="00A6241E">
        <w:tc>
          <w:tcPr>
            <w:tcW w:w="1980" w:type="dxa"/>
          </w:tcPr>
          <w:p w14:paraId="215977D4" w14:textId="681FF23F" w:rsidR="00A6241E" w:rsidRDefault="00A6241E" w:rsidP="00463BB3">
            <w:pPr>
              <w:spacing w:after="0" w:line="240" w:lineRule="auto"/>
              <w:rPr>
                <w:rFonts w:asciiTheme="minorHAnsi" w:hAnsiTheme="minorHAnsi" w:cstheme="minorHAnsi"/>
              </w:rPr>
            </w:pPr>
            <w:r w:rsidRPr="00BF0BB4">
              <w:rPr>
                <w:rFonts w:asciiTheme="minorHAnsi" w:hAnsiTheme="minorHAnsi" w:cstheme="minorHAnsi"/>
                <w:color w:val="auto"/>
                <w:sz w:val="22"/>
                <w:szCs w:val="22"/>
              </w:rPr>
              <w:t>Increase the percentage of disadvantaged pupils reaching standards and ensure all pupils, whether PP, SEN or both, make at least expected progress over the year.</w:t>
            </w:r>
          </w:p>
        </w:tc>
        <w:tc>
          <w:tcPr>
            <w:tcW w:w="3402" w:type="dxa"/>
          </w:tcPr>
          <w:p w14:paraId="12788804" w14:textId="34BE7B8F" w:rsidR="00A6241E" w:rsidRDefault="00A6241E" w:rsidP="00463BB3">
            <w:pPr>
              <w:spacing w:after="0" w:line="240" w:lineRule="auto"/>
              <w:rPr>
                <w:rFonts w:asciiTheme="minorHAnsi" w:hAnsiTheme="minorHAnsi" w:cstheme="minorHAnsi"/>
                <w:color w:val="auto"/>
                <w:sz w:val="22"/>
                <w:szCs w:val="22"/>
              </w:rPr>
            </w:pPr>
            <w:r w:rsidRPr="0050303E">
              <w:rPr>
                <w:rFonts w:asciiTheme="minorHAnsi" w:hAnsiTheme="minorHAnsi" w:cstheme="minorHAnsi"/>
                <w:color w:val="auto"/>
                <w:sz w:val="22"/>
                <w:szCs w:val="22"/>
              </w:rPr>
              <w:t>60% of disadvantaged children achieved a GLD, compared to 100% of their peers.</w:t>
            </w:r>
          </w:p>
          <w:p w14:paraId="18650339" w14:textId="77777777" w:rsidR="00A6241E" w:rsidRDefault="00A6241E" w:rsidP="00463BB3">
            <w:pPr>
              <w:spacing w:after="0" w:line="240" w:lineRule="auto"/>
              <w:rPr>
                <w:rFonts w:asciiTheme="minorHAnsi" w:hAnsiTheme="minorHAnsi" w:cstheme="minorHAnsi"/>
                <w:color w:val="auto"/>
                <w:sz w:val="22"/>
                <w:szCs w:val="22"/>
              </w:rPr>
            </w:pPr>
          </w:p>
          <w:p w14:paraId="7C2F5620" w14:textId="77777777" w:rsidR="00A6241E" w:rsidRPr="0050303E" w:rsidRDefault="00A6241E" w:rsidP="00463BB3">
            <w:pPr>
              <w:spacing w:after="0" w:line="240" w:lineRule="auto"/>
              <w:rPr>
                <w:rFonts w:asciiTheme="minorHAnsi" w:hAnsiTheme="minorHAnsi" w:cstheme="minorHAnsi"/>
                <w:color w:val="auto"/>
                <w:sz w:val="22"/>
                <w:szCs w:val="22"/>
              </w:rPr>
            </w:pPr>
          </w:p>
          <w:p w14:paraId="17AA1317" w14:textId="77777777" w:rsidR="00A6241E" w:rsidRDefault="00A6241E" w:rsidP="00463BB3">
            <w:pPr>
              <w:spacing w:after="0" w:line="240" w:lineRule="auto"/>
              <w:rPr>
                <w:rFonts w:asciiTheme="minorHAnsi" w:hAnsiTheme="minorHAnsi" w:cstheme="minorHAnsi"/>
                <w:color w:val="auto"/>
                <w:sz w:val="22"/>
                <w:szCs w:val="22"/>
              </w:rPr>
            </w:pPr>
          </w:p>
          <w:p w14:paraId="5F7090C4" w14:textId="75AB2631" w:rsidR="00A6241E" w:rsidRDefault="00A6241E" w:rsidP="00A55C25">
            <w:pPr>
              <w:spacing w:after="0" w:line="240" w:lineRule="auto"/>
              <w:rPr>
                <w:rFonts w:asciiTheme="minorHAnsi" w:hAnsiTheme="minorHAnsi" w:cstheme="minorHAnsi"/>
                <w:color w:val="auto"/>
                <w:sz w:val="22"/>
                <w:szCs w:val="22"/>
              </w:rPr>
            </w:pPr>
            <w:r w:rsidRPr="0050303E">
              <w:rPr>
                <w:rFonts w:asciiTheme="minorHAnsi" w:hAnsiTheme="minorHAnsi" w:cstheme="minorHAnsi"/>
                <w:color w:val="auto"/>
                <w:sz w:val="22"/>
                <w:szCs w:val="22"/>
              </w:rPr>
              <w:t xml:space="preserve">In KS2 reading, </w:t>
            </w:r>
            <w:r>
              <w:rPr>
                <w:rFonts w:asciiTheme="minorHAnsi" w:hAnsiTheme="minorHAnsi" w:cstheme="minorHAnsi"/>
                <w:color w:val="auto"/>
                <w:sz w:val="22"/>
                <w:szCs w:val="22"/>
              </w:rPr>
              <w:t>33</w:t>
            </w:r>
            <w:r w:rsidRPr="0050303E">
              <w:rPr>
                <w:rFonts w:asciiTheme="minorHAnsi" w:hAnsiTheme="minorHAnsi" w:cstheme="minorHAnsi"/>
                <w:color w:val="auto"/>
                <w:sz w:val="22"/>
                <w:szCs w:val="22"/>
              </w:rPr>
              <w:t>% of disadvantaged students reached the expected standard, compared to</w:t>
            </w:r>
            <w:r>
              <w:rPr>
                <w:rFonts w:asciiTheme="minorHAnsi" w:hAnsiTheme="minorHAnsi" w:cstheme="minorHAnsi"/>
                <w:color w:val="auto"/>
                <w:sz w:val="22"/>
                <w:szCs w:val="22"/>
              </w:rPr>
              <w:t xml:space="preserve"> 50</w:t>
            </w:r>
            <w:r w:rsidRPr="0050303E">
              <w:rPr>
                <w:rFonts w:asciiTheme="minorHAnsi" w:hAnsiTheme="minorHAnsi" w:cstheme="minorHAnsi"/>
                <w:color w:val="auto"/>
                <w:sz w:val="22"/>
                <w:szCs w:val="22"/>
              </w:rPr>
              <w:t>% of their peers.</w:t>
            </w:r>
          </w:p>
          <w:p w14:paraId="341A286B" w14:textId="77777777" w:rsidR="00A6241E" w:rsidRDefault="00A6241E" w:rsidP="00A55C25">
            <w:pPr>
              <w:spacing w:after="0" w:line="240" w:lineRule="auto"/>
              <w:rPr>
                <w:rFonts w:asciiTheme="minorHAnsi" w:hAnsiTheme="minorHAnsi" w:cstheme="minorHAnsi"/>
                <w:color w:val="auto"/>
                <w:sz w:val="22"/>
                <w:szCs w:val="22"/>
              </w:rPr>
            </w:pPr>
          </w:p>
          <w:p w14:paraId="4E29BAF4" w14:textId="77777777" w:rsidR="00A6241E" w:rsidRPr="0050303E" w:rsidRDefault="00A6241E" w:rsidP="00A55C25">
            <w:pPr>
              <w:spacing w:after="0" w:line="240" w:lineRule="auto"/>
              <w:rPr>
                <w:rFonts w:asciiTheme="minorHAnsi" w:hAnsiTheme="minorHAnsi" w:cstheme="minorHAnsi"/>
                <w:color w:val="auto"/>
                <w:sz w:val="22"/>
                <w:szCs w:val="22"/>
              </w:rPr>
            </w:pPr>
          </w:p>
          <w:p w14:paraId="3904CBBA" w14:textId="2D1523CD" w:rsidR="00A6241E" w:rsidRDefault="00A6241E" w:rsidP="00A55C25">
            <w:pPr>
              <w:spacing w:after="0" w:line="240" w:lineRule="auto"/>
              <w:rPr>
                <w:rFonts w:asciiTheme="minorHAnsi" w:hAnsiTheme="minorHAnsi" w:cstheme="minorHAnsi"/>
                <w:color w:val="auto"/>
                <w:sz w:val="22"/>
                <w:szCs w:val="22"/>
              </w:rPr>
            </w:pPr>
            <w:r w:rsidRPr="0050303E">
              <w:rPr>
                <w:rFonts w:asciiTheme="minorHAnsi" w:hAnsiTheme="minorHAnsi" w:cstheme="minorHAnsi"/>
                <w:color w:val="auto"/>
                <w:sz w:val="22"/>
                <w:szCs w:val="22"/>
              </w:rPr>
              <w:t xml:space="preserve">In KS2 writing, 17% of disadvantaged students reached the expected standard, compared to </w:t>
            </w:r>
            <w:r>
              <w:rPr>
                <w:rFonts w:asciiTheme="minorHAnsi" w:hAnsiTheme="minorHAnsi" w:cstheme="minorHAnsi"/>
                <w:color w:val="auto"/>
                <w:sz w:val="22"/>
                <w:szCs w:val="22"/>
              </w:rPr>
              <w:t>50</w:t>
            </w:r>
            <w:r w:rsidRPr="0050303E">
              <w:rPr>
                <w:rFonts w:asciiTheme="minorHAnsi" w:hAnsiTheme="minorHAnsi" w:cstheme="minorHAnsi"/>
                <w:color w:val="auto"/>
                <w:sz w:val="22"/>
                <w:szCs w:val="22"/>
              </w:rPr>
              <w:t>% of their peers.</w:t>
            </w:r>
          </w:p>
          <w:p w14:paraId="44A1AF54" w14:textId="77777777" w:rsidR="00A6241E" w:rsidRDefault="00A6241E" w:rsidP="00A55C25">
            <w:pPr>
              <w:spacing w:after="0" w:line="240" w:lineRule="auto"/>
              <w:rPr>
                <w:rFonts w:asciiTheme="minorHAnsi" w:hAnsiTheme="minorHAnsi" w:cstheme="minorHAnsi"/>
                <w:color w:val="auto"/>
                <w:sz w:val="22"/>
                <w:szCs w:val="22"/>
              </w:rPr>
            </w:pPr>
          </w:p>
          <w:p w14:paraId="0EC10D58" w14:textId="77777777" w:rsidR="00A6241E" w:rsidRPr="0050303E" w:rsidRDefault="00A6241E" w:rsidP="00A55C25">
            <w:pPr>
              <w:spacing w:after="0" w:line="240" w:lineRule="auto"/>
              <w:rPr>
                <w:rFonts w:asciiTheme="minorHAnsi" w:hAnsiTheme="minorHAnsi" w:cstheme="minorHAnsi"/>
                <w:color w:val="auto"/>
                <w:sz w:val="22"/>
                <w:szCs w:val="22"/>
              </w:rPr>
            </w:pPr>
          </w:p>
          <w:p w14:paraId="18EB0408" w14:textId="32F9022C" w:rsidR="00A6241E" w:rsidRDefault="00A6241E" w:rsidP="00A55C25">
            <w:pPr>
              <w:spacing w:after="0" w:line="240" w:lineRule="auto"/>
              <w:rPr>
                <w:rFonts w:asciiTheme="minorHAnsi" w:hAnsiTheme="minorHAnsi" w:cstheme="minorHAnsi"/>
                <w:color w:val="auto"/>
                <w:sz w:val="22"/>
                <w:szCs w:val="22"/>
              </w:rPr>
            </w:pPr>
            <w:r w:rsidRPr="0050303E">
              <w:rPr>
                <w:rFonts w:asciiTheme="minorHAnsi" w:hAnsiTheme="minorHAnsi" w:cstheme="minorHAnsi"/>
                <w:color w:val="auto"/>
                <w:sz w:val="22"/>
                <w:szCs w:val="22"/>
              </w:rPr>
              <w:t xml:space="preserve">In KS2 maths, </w:t>
            </w:r>
            <w:r>
              <w:rPr>
                <w:rFonts w:asciiTheme="minorHAnsi" w:hAnsiTheme="minorHAnsi" w:cstheme="minorHAnsi"/>
                <w:color w:val="auto"/>
                <w:sz w:val="22"/>
                <w:szCs w:val="22"/>
              </w:rPr>
              <w:t>33</w:t>
            </w:r>
            <w:r w:rsidRPr="0050303E">
              <w:rPr>
                <w:rFonts w:asciiTheme="minorHAnsi" w:hAnsiTheme="minorHAnsi" w:cstheme="minorHAnsi"/>
                <w:color w:val="auto"/>
                <w:sz w:val="22"/>
                <w:szCs w:val="22"/>
              </w:rPr>
              <w:t xml:space="preserve">% of disadvantaged students reached the expected standard, compared to </w:t>
            </w:r>
            <w:r>
              <w:rPr>
                <w:rFonts w:asciiTheme="minorHAnsi" w:hAnsiTheme="minorHAnsi" w:cstheme="minorHAnsi"/>
                <w:color w:val="auto"/>
                <w:sz w:val="22"/>
                <w:szCs w:val="22"/>
              </w:rPr>
              <w:t>50</w:t>
            </w:r>
            <w:r w:rsidRPr="0050303E">
              <w:rPr>
                <w:rFonts w:asciiTheme="minorHAnsi" w:hAnsiTheme="minorHAnsi" w:cstheme="minorHAnsi"/>
                <w:color w:val="auto"/>
                <w:sz w:val="22"/>
                <w:szCs w:val="22"/>
              </w:rPr>
              <w:t>% of their peers.</w:t>
            </w:r>
          </w:p>
          <w:p w14:paraId="0E1F4F45" w14:textId="77777777" w:rsidR="00A6241E" w:rsidRPr="0050303E" w:rsidRDefault="00A6241E" w:rsidP="00A55C25">
            <w:pPr>
              <w:spacing w:after="0" w:line="240" w:lineRule="auto"/>
              <w:rPr>
                <w:rFonts w:asciiTheme="minorHAnsi" w:hAnsiTheme="minorHAnsi" w:cstheme="minorHAnsi"/>
                <w:color w:val="auto"/>
                <w:sz w:val="22"/>
                <w:szCs w:val="22"/>
              </w:rPr>
            </w:pPr>
          </w:p>
          <w:p w14:paraId="0056CCF9" w14:textId="3815A308" w:rsidR="00A6241E" w:rsidRPr="0050303E" w:rsidRDefault="00A6241E" w:rsidP="00463BB3">
            <w:pPr>
              <w:spacing w:after="0" w:line="240" w:lineRule="auto"/>
              <w:rPr>
                <w:rFonts w:asciiTheme="minorHAnsi" w:hAnsiTheme="minorHAnsi" w:cstheme="minorHAnsi"/>
                <w:color w:val="auto"/>
                <w:sz w:val="22"/>
                <w:szCs w:val="22"/>
              </w:rPr>
            </w:pPr>
            <w:r w:rsidRPr="00A74322">
              <w:rPr>
                <w:rFonts w:asciiTheme="minorHAnsi" w:hAnsiTheme="minorHAnsi" w:cstheme="minorHAnsi"/>
                <w:color w:val="1F497D" w:themeColor="text2"/>
                <w:sz w:val="22"/>
                <w:szCs w:val="22"/>
              </w:rPr>
              <w:t>(caution must be taken with results due to small cohorts)</w:t>
            </w:r>
          </w:p>
        </w:tc>
        <w:tc>
          <w:tcPr>
            <w:tcW w:w="3260" w:type="dxa"/>
          </w:tcPr>
          <w:p w14:paraId="592DDB98" w14:textId="77777777" w:rsidR="00A6241E" w:rsidRDefault="00A6241E" w:rsidP="00463BB3">
            <w:pPr>
              <w:spacing w:after="0" w:line="240" w:lineRule="auto"/>
              <w:rPr>
                <w:rFonts w:asciiTheme="minorHAnsi" w:hAnsiTheme="minorHAnsi" w:cstheme="minorHAnsi"/>
                <w:color w:val="auto"/>
                <w:sz w:val="22"/>
                <w:szCs w:val="22"/>
              </w:rPr>
            </w:pPr>
            <w:r w:rsidRPr="0050303E">
              <w:rPr>
                <w:rFonts w:asciiTheme="minorHAnsi" w:hAnsiTheme="minorHAnsi" w:cstheme="minorHAnsi"/>
                <w:color w:val="auto"/>
                <w:sz w:val="22"/>
                <w:szCs w:val="22"/>
              </w:rPr>
              <w:t>75% of disadvantaged children achieved a GLD in 22-23 an increase of 15%. There is still a gap between their peers, as 100% of non-disadvantaged children achieved a GLD</w:t>
            </w:r>
          </w:p>
          <w:p w14:paraId="4534AB01" w14:textId="77777777" w:rsidR="00A6241E" w:rsidRDefault="00A6241E" w:rsidP="00463BB3">
            <w:pPr>
              <w:spacing w:after="0" w:line="240" w:lineRule="auto"/>
              <w:rPr>
                <w:rFonts w:asciiTheme="minorHAnsi" w:hAnsiTheme="minorHAnsi" w:cstheme="minorHAnsi"/>
                <w:color w:val="auto"/>
                <w:sz w:val="22"/>
                <w:szCs w:val="22"/>
              </w:rPr>
            </w:pPr>
          </w:p>
          <w:p w14:paraId="0D0A9C5C" w14:textId="37492991" w:rsidR="00A6241E" w:rsidRPr="0050303E" w:rsidRDefault="00A6241E" w:rsidP="004A2F75">
            <w:pPr>
              <w:spacing w:after="0" w:line="240" w:lineRule="auto"/>
              <w:rPr>
                <w:rFonts w:asciiTheme="minorHAnsi" w:hAnsiTheme="minorHAnsi" w:cstheme="minorHAnsi"/>
                <w:color w:val="auto"/>
                <w:sz w:val="22"/>
                <w:szCs w:val="22"/>
              </w:rPr>
            </w:pPr>
            <w:r w:rsidRPr="0050303E">
              <w:rPr>
                <w:rFonts w:asciiTheme="minorHAnsi" w:hAnsiTheme="minorHAnsi" w:cstheme="minorHAnsi"/>
                <w:color w:val="auto"/>
                <w:sz w:val="22"/>
                <w:szCs w:val="22"/>
              </w:rPr>
              <w:t>In KS2 reading, 86% of disadvantaged students reached the expected standard</w:t>
            </w:r>
            <w:r>
              <w:rPr>
                <w:rFonts w:asciiTheme="minorHAnsi" w:hAnsiTheme="minorHAnsi" w:cstheme="minorHAnsi"/>
                <w:color w:val="auto"/>
                <w:sz w:val="22"/>
                <w:szCs w:val="22"/>
              </w:rPr>
              <w:t xml:space="preserve"> or higher</w:t>
            </w:r>
            <w:r w:rsidRPr="0050303E">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which is a huge improvement (53%) on 21-22. </w:t>
            </w:r>
          </w:p>
          <w:p w14:paraId="6B1D2D2B" w14:textId="77777777" w:rsidR="00A6241E" w:rsidRPr="0050303E" w:rsidRDefault="00A6241E" w:rsidP="004A2F75">
            <w:pPr>
              <w:spacing w:after="0" w:line="240" w:lineRule="auto"/>
              <w:rPr>
                <w:rFonts w:asciiTheme="minorHAnsi" w:hAnsiTheme="minorHAnsi" w:cstheme="minorHAnsi"/>
                <w:color w:val="auto"/>
                <w:sz w:val="22"/>
                <w:szCs w:val="22"/>
              </w:rPr>
            </w:pPr>
          </w:p>
          <w:p w14:paraId="595AA9DB" w14:textId="32F129E4" w:rsidR="00A6241E" w:rsidRPr="003D3483" w:rsidRDefault="00A6241E" w:rsidP="004A2F75">
            <w:pPr>
              <w:spacing w:after="0" w:line="240" w:lineRule="auto"/>
            </w:pPr>
            <w:r w:rsidRPr="0050303E">
              <w:rPr>
                <w:rFonts w:asciiTheme="minorHAnsi" w:hAnsiTheme="minorHAnsi" w:cstheme="minorHAnsi"/>
                <w:color w:val="auto"/>
                <w:sz w:val="22"/>
                <w:szCs w:val="22"/>
              </w:rPr>
              <w:t xml:space="preserve">In KS2 writing, 17% of disadvantaged students reached the expected standard, </w:t>
            </w:r>
            <w:r>
              <w:rPr>
                <w:rFonts w:asciiTheme="minorHAnsi" w:hAnsiTheme="minorHAnsi" w:cstheme="minorHAnsi"/>
                <w:color w:val="auto"/>
                <w:sz w:val="22"/>
                <w:szCs w:val="22"/>
              </w:rPr>
              <w:t>which shows no improvement (0%) on 21-22.  This is a priority for the academy improvement plan.</w:t>
            </w:r>
          </w:p>
          <w:p w14:paraId="566D9A65" w14:textId="299B9B25" w:rsidR="00A6241E" w:rsidRPr="0050303E" w:rsidRDefault="00A6241E" w:rsidP="004A2F75">
            <w:pPr>
              <w:spacing w:after="0" w:line="240" w:lineRule="auto"/>
              <w:rPr>
                <w:rFonts w:asciiTheme="minorHAnsi" w:hAnsiTheme="minorHAnsi" w:cstheme="minorHAnsi"/>
                <w:color w:val="auto"/>
                <w:sz w:val="22"/>
                <w:szCs w:val="22"/>
              </w:rPr>
            </w:pPr>
            <w:r w:rsidRPr="0050303E">
              <w:rPr>
                <w:rFonts w:asciiTheme="minorHAnsi" w:hAnsiTheme="minorHAnsi" w:cstheme="minorHAnsi"/>
                <w:color w:val="auto"/>
                <w:sz w:val="22"/>
                <w:szCs w:val="22"/>
              </w:rPr>
              <w:t xml:space="preserve">In KS2 maths, 86% of disadvantaged students reached the expected standard, </w:t>
            </w:r>
            <w:r>
              <w:rPr>
                <w:rFonts w:asciiTheme="minorHAnsi" w:hAnsiTheme="minorHAnsi" w:cstheme="minorHAnsi"/>
                <w:color w:val="auto"/>
                <w:sz w:val="22"/>
                <w:szCs w:val="22"/>
              </w:rPr>
              <w:t>which is a huge improvement (53%) on 21-22.</w:t>
            </w:r>
          </w:p>
          <w:p w14:paraId="1D020E7A" w14:textId="40013239" w:rsidR="00A6241E" w:rsidRPr="0050303E" w:rsidRDefault="00A6241E" w:rsidP="00463BB3">
            <w:pPr>
              <w:spacing w:after="0" w:line="240" w:lineRule="auto"/>
              <w:rPr>
                <w:rFonts w:asciiTheme="minorHAnsi" w:hAnsiTheme="minorHAnsi" w:cstheme="minorHAnsi"/>
                <w:color w:val="auto"/>
                <w:sz w:val="22"/>
                <w:szCs w:val="22"/>
              </w:rPr>
            </w:pPr>
            <w:r w:rsidRPr="00A74322">
              <w:rPr>
                <w:rFonts w:asciiTheme="minorHAnsi" w:hAnsiTheme="minorHAnsi" w:cstheme="minorHAnsi"/>
                <w:color w:val="1F497D" w:themeColor="text2"/>
                <w:sz w:val="22"/>
                <w:szCs w:val="22"/>
              </w:rPr>
              <w:t>(caution must be taken with results due to small cohorts)</w:t>
            </w:r>
          </w:p>
        </w:tc>
        <w:tc>
          <w:tcPr>
            <w:tcW w:w="3260" w:type="dxa"/>
          </w:tcPr>
          <w:p w14:paraId="58F1058E" w14:textId="501703EE"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33% of disadvantaged children achieved a GLD in 23-24 this is decrease.  This cohort of children has 55% SEND and 3 EHCPs which has a significant impact on achievement. </w:t>
            </w:r>
          </w:p>
          <w:p w14:paraId="4D7B94EB" w14:textId="77777777" w:rsidR="00A6241E" w:rsidRDefault="00A6241E" w:rsidP="00463BB3">
            <w:pPr>
              <w:spacing w:after="0" w:line="240" w:lineRule="auto"/>
              <w:rPr>
                <w:rFonts w:asciiTheme="minorHAnsi" w:hAnsiTheme="minorHAnsi" w:cstheme="minorHAnsi"/>
                <w:color w:val="auto"/>
                <w:sz w:val="22"/>
                <w:szCs w:val="22"/>
              </w:rPr>
            </w:pPr>
          </w:p>
          <w:p w14:paraId="1C060E2C" w14:textId="7A1A47E8"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In KS2 reading, 59% of disadvantaged students reached the expected standard and 17% achieved GDS.</w:t>
            </w:r>
          </w:p>
          <w:p w14:paraId="40ADF91A" w14:textId="77777777" w:rsidR="00A6241E" w:rsidRDefault="00A6241E" w:rsidP="00463BB3">
            <w:pPr>
              <w:spacing w:after="0" w:line="240" w:lineRule="auto"/>
              <w:rPr>
                <w:rFonts w:asciiTheme="minorHAnsi" w:hAnsiTheme="minorHAnsi" w:cstheme="minorHAnsi"/>
                <w:color w:val="auto"/>
                <w:sz w:val="22"/>
                <w:szCs w:val="22"/>
              </w:rPr>
            </w:pPr>
          </w:p>
          <w:p w14:paraId="6D78E03D" w14:textId="77777777" w:rsidR="00A6241E" w:rsidRDefault="00A6241E" w:rsidP="00463BB3">
            <w:pPr>
              <w:spacing w:after="0" w:line="240" w:lineRule="auto"/>
              <w:rPr>
                <w:rFonts w:asciiTheme="minorHAnsi" w:hAnsiTheme="minorHAnsi" w:cstheme="minorHAnsi"/>
                <w:color w:val="auto"/>
                <w:sz w:val="22"/>
                <w:szCs w:val="22"/>
              </w:rPr>
            </w:pPr>
          </w:p>
          <w:p w14:paraId="0D0AB26E" w14:textId="0E5EB9A1"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In KS2 writing, 50% of disadvantaged students reached expected standard which is an improvement of 33% on 22-23 data. This continues to be a priority on the academy improvement pln. </w:t>
            </w:r>
          </w:p>
          <w:p w14:paraId="73876BA5" w14:textId="609F9E99"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In KS2 maths, 68% of disadvantaged students reached the expected and 8% of them achieved GDS.</w:t>
            </w:r>
          </w:p>
          <w:p w14:paraId="6084F88A" w14:textId="77777777" w:rsidR="00A6241E" w:rsidRDefault="00A6241E" w:rsidP="00463BB3">
            <w:pPr>
              <w:spacing w:after="0" w:line="240" w:lineRule="auto"/>
              <w:rPr>
                <w:rFonts w:asciiTheme="minorHAnsi" w:hAnsiTheme="minorHAnsi" w:cstheme="minorHAnsi"/>
                <w:color w:val="auto"/>
                <w:sz w:val="22"/>
                <w:szCs w:val="22"/>
              </w:rPr>
            </w:pPr>
          </w:p>
          <w:p w14:paraId="083492D3" w14:textId="77777777" w:rsidR="00A6241E" w:rsidRDefault="00A6241E" w:rsidP="00463BB3">
            <w:pPr>
              <w:spacing w:after="0" w:line="240" w:lineRule="auto"/>
              <w:rPr>
                <w:rFonts w:asciiTheme="minorHAnsi" w:hAnsiTheme="minorHAnsi" w:cstheme="minorHAnsi"/>
                <w:color w:val="auto"/>
                <w:sz w:val="22"/>
                <w:szCs w:val="22"/>
              </w:rPr>
            </w:pPr>
          </w:p>
          <w:p w14:paraId="25F2DAD0" w14:textId="5AFD7749" w:rsidR="00A6241E" w:rsidRPr="0050303E" w:rsidRDefault="00A6241E" w:rsidP="00463BB3">
            <w:pPr>
              <w:spacing w:after="0" w:line="240" w:lineRule="auto"/>
              <w:rPr>
                <w:rFonts w:asciiTheme="minorHAnsi" w:hAnsiTheme="minorHAnsi" w:cstheme="minorHAnsi"/>
                <w:color w:val="auto"/>
                <w:sz w:val="22"/>
                <w:szCs w:val="22"/>
              </w:rPr>
            </w:pPr>
          </w:p>
        </w:tc>
        <w:tc>
          <w:tcPr>
            <w:tcW w:w="3686" w:type="dxa"/>
          </w:tcPr>
          <w:p w14:paraId="1A9BF630" w14:textId="56047E2C" w:rsidR="00B27C39" w:rsidRDefault="00386422" w:rsidP="00B27C39">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There were 8 </w:t>
            </w:r>
            <w:proofErr w:type="gramStart"/>
            <w:r>
              <w:rPr>
                <w:rFonts w:asciiTheme="minorHAnsi" w:hAnsiTheme="minorHAnsi" w:cstheme="minorHAnsi"/>
                <w:color w:val="auto"/>
                <w:sz w:val="22"/>
                <w:szCs w:val="22"/>
              </w:rPr>
              <w:t>pupil</w:t>
            </w:r>
            <w:proofErr w:type="gramEnd"/>
            <w:r>
              <w:rPr>
                <w:rFonts w:asciiTheme="minorHAnsi" w:hAnsiTheme="minorHAnsi" w:cstheme="minorHAnsi"/>
                <w:color w:val="auto"/>
                <w:sz w:val="22"/>
                <w:szCs w:val="22"/>
              </w:rPr>
              <w:t xml:space="preserve"> in EY in 2024-2025. </w:t>
            </w:r>
            <w:r w:rsidR="00B27C39">
              <w:rPr>
                <w:rFonts w:asciiTheme="minorHAnsi" w:hAnsiTheme="minorHAnsi" w:cstheme="minorHAnsi"/>
                <w:color w:val="auto"/>
                <w:sz w:val="22"/>
                <w:szCs w:val="22"/>
              </w:rPr>
              <w:t xml:space="preserve">7 pupils were classified </w:t>
            </w:r>
            <w:proofErr w:type="gramStart"/>
            <w:r w:rsidR="00B27C39">
              <w:rPr>
                <w:rFonts w:asciiTheme="minorHAnsi" w:hAnsiTheme="minorHAnsi" w:cstheme="minorHAnsi"/>
                <w:color w:val="auto"/>
                <w:sz w:val="22"/>
                <w:szCs w:val="22"/>
              </w:rPr>
              <w:t>as  disadvantaged</w:t>
            </w:r>
            <w:proofErr w:type="gramEnd"/>
            <w:r w:rsidR="00B27C39">
              <w:rPr>
                <w:rFonts w:asciiTheme="minorHAnsi" w:hAnsiTheme="minorHAnsi" w:cstheme="minorHAnsi"/>
                <w:color w:val="auto"/>
                <w:sz w:val="22"/>
                <w:szCs w:val="22"/>
              </w:rPr>
              <w:t>. 50% of all pupils achieved GLD.  42% of disadvantaged pupil achieved GLD</w:t>
            </w:r>
            <w:r>
              <w:rPr>
                <w:rFonts w:asciiTheme="minorHAnsi" w:hAnsiTheme="minorHAnsi" w:cstheme="minorHAnsi"/>
                <w:color w:val="auto"/>
                <w:sz w:val="22"/>
                <w:szCs w:val="22"/>
              </w:rPr>
              <w:t>. There were 3 pupils with SEND, 1 has an ECHP and 1 EAL pupil.</w:t>
            </w:r>
          </w:p>
          <w:p w14:paraId="31AEF96D" w14:textId="77777777" w:rsidR="00B27C39" w:rsidRDefault="00B27C39" w:rsidP="00B27C39">
            <w:pPr>
              <w:spacing w:after="0" w:line="240" w:lineRule="auto"/>
              <w:rPr>
                <w:rFonts w:asciiTheme="minorHAnsi" w:hAnsiTheme="minorHAnsi" w:cstheme="minorHAnsi"/>
                <w:color w:val="auto"/>
                <w:sz w:val="22"/>
                <w:szCs w:val="22"/>
              </w:rPr>
            </w:pPr>
          </w:p>
          <w:p w14:paraId="33F66424" w14:textId="0490C761" w:rsidR="00386422" w:rsidRDefault="00386422" w:rsidP="00B27C39">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In KS2, 57% of pupils are disadvantaged (4 out of 7).</w:t>
            </w:r>
            <w:r w:rsidR="00537CCC">
              <w:rPr>
                <w:rFonts w:asciiTheme="minorHAnsi" w:hAnsiTheme="minorHAnsi" w:cstheme="minorHAnsi"/>
                <w:color w:val="auto"/>
                <w:sz w:val="22"/>
                <w:szCs w:val="22"/>
              </w:rPr>
              <w:t xml:space="preserve"> 43% achieved RWM and 1 disadvantaged pupil achieved RWM (14%). </w:t>
            </w:r>
          </w:p>
          <w:p w14:paraId="651407B9" w14:textId="77777777" w:rsidR="00A6241E" w:rsidRDefault="00A6241E" w:rsidP="00463BB3">
            <w:pPr>
              <w:spacing w:after="0" w:line="240" w:lineRule="auto"/>
              <w:rPr>
                <w:rFonts w:asciiTheme="minorHAnsi" w:hAnsiTheme="minorHAnsi" w:cstheme="minorHAnsi"/>
                <w:color w:val="auto"/>
                <w:sz w:val="22"/>
                <w:szCs w:val="22"/>
              </w:rPr>
            </w:pPr>
          </w:p>
          <w:p w14:paraId="1B729369" w14:textId="70974716"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R</w:t>
            </w:r>
            <w:r w:rsidR="00537CCC">
              <w:rPr>
                <w:rFonts w:asciiTheme="minorHAnsi" w:hAnsiTheme="minorHAnsi" w:cstheme="minorHAnsi"/>
                <w:color w:val="auto"/>
                <w:sz w:val="22"/>
                <w:szCs w:val="22"/>
              </w:rPr>
              <w:t xml:space="preserve">eading - </w:t>
            </w:r>
            <w:r>
              <w:rPr>
                <w:rFonts w:asciiTheme="minorHAnsi" w:hAnsiTheme="minorHAnsi" w:cstheme="minorHAnsi"/>
                <w:color w:val="auto"/>
                <w:sz w:val="22"/>
                <w:szCs w:val="22"/>
              </w:rPr>
              <w:t xml:space="preserve">100% </w:t>
            </w:r>
            <w:r w:rsidR="00537CCC">
              <w:rPr>
                <w:rFonts w:asciiTheme="minorHAnsi" w:hAnsiTheme="minorHAnsi" w:cstheme="minorHAnsi"/>
                <w:color w:val="auto"/>
                <w:sz w:val="22"/>
                <w:szCs w:val="22"/>
              </w:rPr>
              <w:t xml:space="preserve">of pupils achieved ARE in </w:t>
            </w:r>
            <w:r>
              <w:rPr>
                <w:rFonts w:asciiTheme="minorHAnsi" w:hAnsiTheme="minorHAnsi" w:cstheme="minorHAnsi"/>
                <w:color w:val="auto"/>
                <w:sz w:val="22"/>
                <w:szCs w:val="22"/>
              </w:rPr>
              <w:t>reading</w:t>
            </w:r>
            <w:r w:rsidR="00537CCC">
              <w:rPr>
                <w:rFonts w:asciiTheme="minorHAnsi" w:hAnsiTheme="minorHAnsi" w:cstheme="minorHAnsi"/>
                <w:color w:val="auto"/>
                <w:sz w:val="22"/>
                <w:szCs w:val="22"/>
              </w:rPr>
              <w:t xml:space="preserve"> including all disadvantaged pupils. </w:t>
            </w:r>
          </w:p>
          <w:p w14:paraId="42B174AB" w14:textId="77777777" w:rsidR="00A6241E" w:rsidRDefault="00A6241E" w:rsidP="00463BB3">
            <w:pPr>
              <w:spacing w:after="0" w:line="240" w:lineRule="auto"/>
              <w:rPr>
                <w:rFonts w:asciiTheme="minorHAnsi" w:hAnsiTheme="minorHAnsi" w:cstheme="minorHAnsi"/>
                <w:color w:val="auto"/>
                <w:sz w:val="22"/>
                <w:szCs w:val="22"/>
              </w:rPr>
            </w:pPr>
          </w:p>
          <w:p w14:paraId="6426A31B" w14:textId="4FE54B4F"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W</w:t>
            </w:r>
            <w:r w:rsidR="00537CCC">
              <w:rPr>
                <w:rFonts w:asciiTheme="minorHAnsi" w:hAnsiTheme="minorHAnsi" w:cstheme="minorHAnsi"/>
                <w:color w:val="auto"/>
                <w:sz w:val="22"/>
                <w:szCs w:val="22"/>
              </w:rPr>
              <w:t xml:space="preserve">riting </w:t>
            </w:r>
          </w:p>
          <w:p w14:paraId="19D69A32" w14:textId="0E1A8A4C"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43%</w:t>
            </w:r>
            <w:r w:rsidR="00537CCC">
              <w:rPr>
                <w:rFonts w:asciiTheme="minorHAnsi" w:hAnsiTheme="minorHAnsi" w:cstheme="minorHAnsi"/>
                <w:color w:val="auto"/>
                <w:sz w:val="22"/>
                <w:szCs w:val="22"/>
              </w:rPr>
              <w:t xml:space="preserve"> achieved ARE in writing which is 3 out of the 7 pupils. This continues to be a priority within school. The 4 children that did not achieve ARE </w:t>
            </w:r>
            <w:proofErr w:type="gramStart"/>
            <w:r w:rsidR="00537CCC">
              <w:rPr>
                <w:rFonts w:asciiTheme="minorHAnsi" w:hAnsiTheme="minorHAnsi" w:cstheme="minorHAnsi"/>
                <w:color w:val="auto"/>
                <w:sz w:val="22"/>
                <w:szCs w:val="22"/>
              </w:rPr>
              <w:t>were</w:t>
            </w:r>
            <w:proofErr w:type="gramEnd"/>
            <w:r w:rsidR="00537CCC">
              <w:rPr>
                <w:rFonts w:asciiTheme="minorHAnsi" w:hAnsiTheme="minorHAnsi" w:cstheme="minorHAnsi"/>
                <w:color w:val="auto"/>
                <w:sz w:val="22"/>
                <w:szCs w:val="22"/>
              </w:rPr>
              <w:t xml:space="preserve"> all moderated and it was agreed that although they tip into ARE they were not secure in 1 or 2 areas. </w:t>
            </w:r>
          </w:p>
          <w:p w14:paraId="46DC7904" w14:textId="0AFD65A9" w:rsidR="00A6241E" w:rsidRDefault="00A6241E" w:rsidP="00463BB3">
            <w:pPr>
              <w:spacing w:after="0" w:line="240" w:lineRule="auto"/>
              <w:rPr>
                <w:rFonts w:asciiTheme="minorHAnsi" w:hAnsiTheme="minorHAnsi" w:cstheme="minorHAnsi"/>
                <w:color w:val="auto"/>
                <w:sz w:val="22"/>
                <w:szCs w:val="22"/>
              </w:rPr>
            </w:pPr>
          </w:p>
          <w:p w14:paraId="6E065A7E" w14:textId="135C3961" w:rsidR="00537CCC" w:rsidRDefault="00537CCC" w:rsidP="00537CCC">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Maths- 100% of pupils achieved ARE in reading including all disadvantaged pupils. </w:t>
            </w:r>
          </w:p>
          <w:p w14:paraId="1A49E2E5" w14:textId="77777777" w:rsidR="00A6241E" w:rsidRDefault="00A6241E" w:rsidP="00463BB3">
            <w:pPr>
              <w:spacing w:after="0" w:line="240" w:lineRule="auto"/>
              <w:rPr>
                <w:rFonts w:asciiTheme="minorHAnsi" w:hAnsiTheme="minorHAnsi" w:cstheme="minorHAnsi"/>
                <w:color w:val="auto"/>
                <w:sz w:val="22"/>
                <w:szCs w:val="22"/>
              </w:rPr>
            </w:pPr>
          </w:p>
          <w:p w14:paraId="46D43395" w14:textId="43CC00CA"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Phonics</w:t>
            </w:r>
          </w:p>
          <w:p w14:paraId="69DC75BF" w14:textId="6671FD90" w:rsidR="00B27C39"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14 pupils in Year 1</w:t>
            </w:r>
            <w:r w:rsidR="00537CCC">
              <w:rPr>
                <w:rFonts w:asciiTheme="minorHAnsi" w:hAnsiTheme="minorHAnsi" w:cstheme="minorHAnsi"/>
                <w:color w:val="auto"/>
                <w:sz w:val="22"/>
                <w:szCs w:val="22"/>
              </w:rPr>
              <w:t xml:space="preserve"> and 12 pupils are disadvantaged – 85%</w:t>
            </w:r>
          </w:p>
          <w:p w14:paraId="6C03CFF7" w14:textId="2A0C860C" w:rsidR="00A6241E" w:rsidRDefault="00B27C39"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43% achieved PSC</w:t>
            </w:r>
          </w:p>
          <w:p w14:paraId="142B30FF" w14:textId="3E197978" w:rsidR="00A6241E" w:rsidRDefault="00B27C39"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50% disadvantaged achieved PSC</w:t>
            </w:r>
          </w:p>
        </w:tc>
      </w:tr>
      <w:tr w:rsidR="00A6241E" w14:paraId="3F624AFF" w14:textId="58036B32" w:rsidTr="00A6241E">
        <w:tc>
          <w:tcPr>
            <w:tcW w:w="1980" w:type="dxa"/>
          </w:tcPr>
          <w:p w14:paraId="4E4DC063" w14:textId="2BDE14B1" w:rsidR="00A6241E" w:rsidRDefault="00A6241E" w:rsidP="0077105D">
            <w:pPr>
              <w:pStyle w:val="TableHeader"/>
              <w:jc w:val="left"/>
              <w:rPr>
                <w:rFonts w:asciiTheme="minorHAnsi" w:hAnsiTheme="minorHAnsi" w:cstheme="minorHAnsi"/>
              </w:rPr>
            </w:pPr>
            <w:r w:rsidRPr="00BF0BB4">
              <w:rPr>
                <w:rFonts w:asciiTheme="minorHAnsi" w:hAnsiTheme="minorHAnsi" w:cstheme="minorHAnsi"/>
                <w:b w:val="0"/>
                <w:color w:val="auto"/>
                <w:sz w:val="22"/>
                <w:szCs w:val="22"/>
              </w:rPr>
              <w:lastRenderedPageBreak/>
              <w:t>To improve the attendance and punctuality of disadvantaged children.</w:t>
            </w:r>
          </w:p>
        </w:tc>
        <w:tc>
          <w:tcPr>
            <w:tcW w:w="3402" w:type="dxa"/>
          </w:tcPr>
          <w:p w14:paraId="26F82E86" w14:textId="36F0FC0C" w:rsidR="00A6241E" w:rsidRPr="00DA24BF" w:rsidRDefault="00A6241E" w:rsidP="00463BB3">
            <w:pPr>
              <w:spacing w:after="0" w:line="240" w:lineRule="auto"/>
              <w:rPr>
                <w:rFonts w:asciiTheme="minorHAnsi" w:hAnsiTheme="minorHAnsi" w:cstheme="minorHAnsi"/>
                <w:color w:val="auto"/>
                <w:sz w:val="22"/>
                <w:szCs w:val="22"/>
              </w:rPr>
            </w:pPr>
            <w:r w:rsidRPr="00DA24BF">
              <w:rPr>
                <w:rFonts w:asciiTheme="minorHAnsi" w:hAnsiTheme="minorHAnsi" w:cstheme="minorHAnsi"/>
                <w:color w:val="auto"/>
                <w:sz w:val="22"/>
                <w:szCs w:val="22"/>
              </w:rPr>
              <w:t xml:space="preserve">Disadvantaged attendance is </w:t>
            </w:r>
            <w:r w:rsidRPr="00010DD0">
              <w:rPr>
                <w:rFonts w:asciiTheme="minorHAnsi" w:hAnsiTheme="minorHAnsi" w:cstheme="minorHAnsi"/>
                <w:color w:val="auto"/>
                <w:sz w:val="22"/>
                <w:szCs w:val="22"/>
              </w:rPr>
              <w:t xml:space="preserve">93.9%, </w:t>
            </w:r>
            <w:r w:rsidRPr="00DA24BF">
              <w:rPr>
                <w:rFonts w:asciiTheme="minorHAnsi" w:hAnsiTheme="minorHAnsi" w:cstheme="minorHAnsi"/>
                <w:color w:val="auto"/>
                <w:sz w:val="22"/>
                <w:szCs w:val="22"/>
              </w:rPr>
              <w:t xml:space="preserve">compared to </w:t>
            </w:r>
            <w:r w:rsidRPr="00010DD0">
              <w:rPr>
                <w:rFonts w:asciiTheme="minorHAnsi" w:hAnsiTheme="minorHAnsi" w:cstheme="minorHAnsi"/>
                <w:color w:val="auto"/>
                <w:sz w:val="22"/>
                <w:szCs w:val="22"/>
              </w:rPr>
              <w:t xml:space="preserve">94.7% </w:t>
            </w:r>
            <w:r w:rsidRPr="00DA24BF">
              <w:rPr>
                <w:rFonts w:asciiTheme="minorHAnsi" w:hAnsiTheme="minorHAnsi" w:cstheme="minorHAnsi"/>
                <w:color w:val="auto"/>
                <w:sz w:val="22"/>
                <w:szCs w:val="22"/>
              </w:rPr>
              <w:t>for non-disadvantaged</w:t>
            </w:r>
            <w:r>
              <w:rPr>
                <w:rFonts w:asciiTheme="minorHAnsi" w:hAnsiTheme="minorHAnsi" w:cstheme="minorHAnsi"/>
                <w:color w:val="auto"/>
                <w:sz w:val="22"/>
                <w:szCs w:val="22"/>
              </w:rPr>
              <w:t xml:space="preserve"> a difference of -0.8% in 21/22.</w:t>
            </w:r>
          </w:p>
          <w:p w14:paraId="17DA7B32" w14:textId="6ECD7F65" w:rsidR="00A6241E" w:rsidRDefault="00A6241E" w:rsidP="00463BB3">
            <w:pPr>
              <w:spacing w:after="0" w:line="240" w:lineRule="auto"/>
              <w:rPr>
                <w:rFonts w:asciiTheme="minorHAnsi" w:hAnsiTheme="minorHAnsi" w:cstheme="minorHAnsi"/>
              </w:rPr>
            </w:pPr>
          </w:p>
        </w:tc>
        <w:tc>
          <w:tcPr>
            <w:tcW w:w="3260" w:type="dxa"/>
          </w:tcPr>
          <w:p w14:paraId="66615B4F" w14:textId="0D783221"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A slight decline</w:t>
            </w:r>
            <w:r w:rsidRPr="00CC133D">
              <w:rPr>
                <w:rFonts w:asciiTheme="minorHAnsi" w:hAnsiTheme="minorHAnsi" w:cstheme="minorHAnsi"/>
                <w:color w:val="auto"/>
                <w:sz w:val="22"/>
                <w:szCs w:val="22"/>
              </w:rPr>
              <w:t xml:space="preserve"> in attendance </w:t>
            </w:r>
            <w:r>
              <w:rPr>
                <w:rFonts w:asciiTheme="minorHAnsi" w:hAnsiTheme="minorHAnsi" w:cstheme="minorHAnsi"/>
                <w:color w:val="auto"/>
                <w:sz w:val="22"/>
                <w:szCs w:val="22"/>
              </w:rPr>
              <w:t>was</w:t>
            </w:r>
            <w:r w:rsidRPr="00CC133D">
              <w:rPr>
                <w:rFonts w:asciiTheme="minorHAnsi" w:hAnsiTheme="minorHAnsi" w:cstheme="minorHAnsi"/>
                <w:color w:val="auto"/>
                <w:sz w:val="22"/>
                <w:szCs w:val="22"/>
              </w:rPr>
              <w:t xml:space="preserve"> seen </w:t>
            </w:r>
            <w:r>
              <w:rPr>
                <w:rFonts w:asciiTheme="minorHAnsi" w:hAnsiTheme="minorHAnsi" w:cstheme="minorHAnsi"/>
                <w:color w:val="auto"/>
                <w:sz w:val="22"/>
                <w:szCs w:val="22"/>
              </w:rPr>
              <w:t>towards</w:t>
            </w:r>
            <w:r w:rsidRPr="00CC133D">
              <w:rPr>
                <w:rFonts w:asciiTheme="minorHAnsi" w:hAnsiTheme="minorHAnsi" w:cstheme="minorHAnsi"/>
                <w:color w:val="auto"/>
                <w:sz w:val="22"/>
                <w:szCs w:val="22"/>
              </w:rPr>
              <w:t xml:space="preserve"> the </w:t>
            </w:r>
            <w:r>
              <w:rPr>
                <w:rFonts w:asciiTheme="minorHAnsi" w:hAnsiTheme="minorHAnsi" w:cstheme="minorHAnsi"/>
                <w:color w:val="auto"/>
                <w:sz w:val="22"/>
                <w:szCs w:val="22"/>
              </w:rPr>
              <w:t>end of school</w:t>
            </w:r>
            <w:r w:rsidRPr="00CC133D">
              <w:rPr>
                <w:rFonts w:asciiTheme="minorHAnsi" w:hAnsiTheme="minorHAnsi" w:cstheme="minorHAnsi"/>
                <w:color w:val="auto"/>
                <w:sz w:val="22"/>
                <w:szCs w:val="22"/>
              </w:rPr>
              <w:t xml:space="preserve"> year. </w:t>
            </w:r>
          </w:p>
          <w:p w14:paraId="450400DD" w14:textId="02AFDEA1" w:rsidR="00A6241E" w:rsidRPr="00CC133D" w:rsidRDefault="00A6241E" w:rsidP="00463BB3">
            <w:pPr>
              <w:spacing w:after="0" w:line="240" w:lineRule="auto"/>
              <w:rPr>
                <w:rFonts w:asciiTheme="minorHAnsi" w:hAnsiTheme="minorHAnsi" w:cstheme="minorHAnsi"/>
                <w:color w:val="auto"/>
                <w:sz w:val="22"/>
                <w:szCs w:val="22"/>
              </w:rPr>
            </w:pPr>
            <w:r w:rsidRPr="00CC133D">
              <w:rPr>
                <w:rFonts w:asciiTheme="minorHAnsi" w:hAnsiTheme="minorHAnsi" w:cstheme="minorHAnsi"/>
                <w:color w:val="auto"/>
                <w:sz w:val="22"/>
                <w:szCs w:val="22"/>
              </w:rPr>
              <w:t xml:space="preserve">Disadvantaged attendance </w:t>
            </w:r>
            <w:r>
              <w:rPr>
                <w:rFonts w:asciiTheme="minorHAnsi" w:hAnsiTheme="minorHAnsi" w:cstheme="minorHAnsi"/>
                <w:color w:val="auto"/>
                <w:sz w:val="22"/>
                <w:szCs w:val="22"/>
              </w:rPr>
              <w:t>decreased</w:t>
            </w:r>
            <w:r w:rsidRPr="00CC133D">
              <w:rPr>
                <w:rFonts w:asciiTheme="minorHAnsi" w:hAnsiTheme="minorHAnsi" w:cstheme="minorHAnsi"/>
                <w:color w:val="auto"/>
                <w:sz w:val="22"/>
                <w:szCs w:val="22"/>
              </w:rPr>
              <w:t xml:space="preserve"> to </w:t>
            </w:r>
            <w:r w:rsidRPr="00010DD0">
              <w:rPr>
                <w:rFonts w:asciiTheme="minorHAnsi" w:hAnsiTheme="minorHAnsi" w:cstheme="minorHAnsi"/>
                <w:color w:val="auto"/>
                <w:sz w:val="22"/>
                <w:szCs w:val="22"/>
              </w:rPr>
              <w:t>92.3% (-</w:t>
            </w:r>
            <w:r>
              <w:rPr>
                <w:rFonts w:asciiTheme="minorHAnsi" w:hAnsiTheme="minorHAnsi" w:cstheme="minorHAnsi"/>
                <w:color w:val="auto"/>
                <w:sz w:val="22"/>
                <w:szCs w:val="22"/>
              </w:rPr>
              <w:t>1.6</w:t>
            </w:r>
            <w:r w:rsidRPr="00010DD0">
              <w:rPr>
                <w:rFonts w:asciiTheme="minorHAnsi" w:hAnsiTheme="minorHAnsi" w:cstheme="minorHAnsi"/>
                <w:color w:val="auto"/>
                <w:sz w:val="22"/>
                <w:szCs w:val="22"/>
              </w:rPr>
              <w:t>%)</w:t>
            </w:r>
            <w:r>
              <w:rPr>
                <w:rFonts w:asciiTheme="minorHAnsi" w:hAnsiTheme="minorHAnsi" w:cstheme="minorHAnsi"/>
                <w:color w:val="auto"/>
                <w:sz w:val="22"/>
                <w:szCs w:val="22"/>
              </w:rPr>
              <w:t xml:space="preserve"> from 21/22.</w:t>
            </w:r>
          </w:p>
          <w:p w14:paraId="6213BD1F" w14:textId="77777777" w:rsidR="00A6241E" w:rsidRDefault="00A6241E" w:rsidP="00463BB3">
            <w:pPr>
              <w:spacing w:after="0" w:line="240" w:lineRule="auto"/>
              <w:rPr>
                <w:rFonts w:asciiTheme="minorHAnsi" w:hAnsiTheme="minorHAnsi" w:cstheme="minorHAnsi"/>
                <w:color w:val="auto"/>
                <w:sz w:val="22"/>
                <w:szCs w:val="22"/>
              </w:rPr>
            </w:pPr>
            <w:r w:rsidRPr="00CC133D">
              <w:rPr>
                <w:rFonts w:asciiTheme="minorHAnsi" w:hAnsiTheme="minorHAnsi" w:cstheme="minorHAnsi"/>
                <w:color w:val="auto"/>
                <w:sz w:val="22"/>
                <w:szCs w:val="22"/>
              </w:rPr>
              <w:t xml:space="preserve">The gap between disadvantaged students and their peers </w:t>
            </w:r>
            <w:r>
              <w:rPr>
                <w:rFonts w:asciiTheme="minorHAnsi" w:hAnsiTheme="minorHAnsi" w:cstheme="minorHAnsi"/>
                <w:color w:val="auto"/>
                <w:sz w:val="22"/>
                <w:szCs w:val="22"/>
              </w:rPr>
              <w:t>has widened from 0.8% to 1.4%)</w:t>
            </w:r>
            <w:r w:rsidRPr="00CC133D">
              <w:rPr>
                <w:rFonts w:asciiTheme="minorHAnsi" w:hAnsiTheme="minorHAnsi" w:cstheme="minorHAnsi"/>
                <w:color w:val="auto"/>
                <w:sz w:val="22"/>
                <w:szCs w:val="22"/>
              </w:rPr>
              <w:t xml:space="preserve"> </w:t>
            </w:r>
          </w:p>
          <w:p w14:paraId="33B4EFDA" w14:textId="15804DFF" w:rsidR="00A6241E" w:rsidRDefault="00A6241E" w:rsidP="00463BB3">
            <w:pPr>
              <w:spacing w:after="0" w:line="240" w:lineRule="auto"/>
              <w:rPr>
                <w:rFonts w:asciiTheme="minorHAnsi" w:hAnsiTheme="minorHAnsi" w:cstheme="minorHAnsi"/>
              </w:rPr>
            </w:pPr>
            <w:r>
              <w:rPr>
                <w:rFonts w:asciiTheme="minorHAnsi" w:hAnsiTheme="minorHAnsi" w:cstheme="minorHAnsi"/>
              </w:rPr>
              <w:t>It must be noted that this was a national downward trend and that school figures were higher than national figures of 88.6% disadvantaged and 93.8% non-disadvantaged.</w:t>
            </w:r>
          </w:p>
        </w:tc>
        <w:tc>
          <w:tcPr>
            <w:tcW w:w="3260" w:type="dxa"/>
          </w:tcPr>
          <w:p w14:paraId="685CBFEC" w14:textId="265F8F3A" w:rsidR="00A6241E" w:rsidRPr="00776E86" w:rsidRDefault="00A6241E" w:rsidP="00946CD5">
            <w:pPr>
              <w:spacing w:after="0" w:line="240" w:lineRule="auto"/>
              <w:rPr>
                <w:rFonts w:asciiTheme="minorHAnsi" w:hAnsiTheme="minorHAnsi" w:cstheme="minorHAnsi"/>
                <w:color w:val="auto"/>
                <w:sz w:val="22"/>
                <w:szCs w:val="22"/>
              </w:rPr>
            </w:pPr>
            <w:r w:rsidRPr="00776E86">
              <w:rPr>
                <w:rFonts w:asciiTheme="minorHAnsi" w:hAnsiTheme="minorHAnsi" w:cstheme="minorHAnsi"/>
                <w:color w:val="auto"/>
                <w:sz w:val="22"/>
                <w:szCs w:val="22"/>
              </w:rPr>
              <w:t xml:space="preserve">A slight increase in attendance was seen towards the end of school year. </w:t>
            </w:r>
          </w:p>
          <w:p w14:paraId="493BBF83" w14:textId="07DB396A" w:rsidR="00A6241E" w:rsidRPr="00776E86" w:rsidRDefault="00A6241E" w:rsidP="00946CD5">
            <w:pPr>
              <w:spacing w:after="0" w:line="240" w:lineRule="auto"/>
              <w:rPr>
                <w:rFonts w:asciiTheme="minorHAnsi" w:hAnsiTheme="minorHAnsi" w:cstheme="minorHAnsi"/>
                <w:color w:val="auto"/>
                <w:sz w:val="22"/>
                <w:szCs w:val="22"/>
              </w:rPr>
            </w:pPr>
            <w:r w:rsidRPr="00776E86">
              <w:rPr>
                <w:rFonts w:asciiTheme="minorHAnsi" w:hAnsiTheme="minorHAnsi" w:cstheme="minorHAnsi"/>
                <w:color w:val="auto"/>
                <w:sz w:val="22"/>
                <w:szCs w:val="22"/>
              </w:rPr>
              <w:t>Disadvantaged attendance increased to 92.5% (+0.2%) from 22/23.</w:t>
            </w:r>
          </w:p>
          <w:p w14:paraId="53F9A228" w14:textId="77777777" w:rsidR="00A6241E" w:rsidRDefault="00A6241E" w:rsidP="00946CD5">
            <w:pPr>
              <w:spacing w:after="0" w:line="240" w:lineRule="auto"/>
              <w:rPr>
                <w:rFonts w:asciiTheme="minorHAnsi" w:hAnsiTheme="minorHAnsi" w:cstheme="minorHAnsi"/>
                <w:color w:val="FF0000"/>
                <w:sz w:val="22"/>
                <w:szCs w:val="22"/>
              </w:rPr>
            </w:pPr>
          </w:p>
          <w:p w14:paraId="26BE78F1" w14:textId="6ACA74DA" w:rsidR="00A6241E" w:rsidRPr="00DE2CD6" w:rsidRDefault="00A6241E" w:rsidP="00946CD5">
            <w:pPr>
              <w:spacing w:after="0" w:line="240" w:lineRule="auto"/>
              <w:rPr>
                <w:rFonts w:asciiTheme="minorHAnsi" w:hAnsiTheme="minorHAnsi" w:cstheme="minorHAnsi"/>
                <w:color w:val="auto"/>
                <w:sz w:val="22"/>
                <w:szCs w:val="22"/>
              </w:rPr>
            </w:pPr>
            <w:r w:rsidRPr="00DE2CD6">
              <w:rPr>
                <w:rFonts w:asciiTheme="minorHAnsi" w:hAnsiTheme="minorHAnsi" w:cstheme="minorHAnsi"/>
                <w:color w:val="auto"/>
                <w:sz w:val="22"/>
                <w:szCs w:val="22"/>
              </w:rPr>
              <w:t xml:space="preserve">The gap between disadvantaged students and their peers has widened from 1.4% to 2.4%) </w:t>
            </w:r>
          </w:p>
          <w:p w14:paraId="6020EEF3" w14:textId="7A0D9845" w:rsidR="00A6241E" w:rsidRDefault="00A6241E" w:rsidP="00DE2CD6">
            <w:pPr>
              <w:spacing w:after="0" w:line="240" w:lineRule="auto"/>
              <w:rPr>
                <w:rFonts w:asciiTheme="minorHAnsi" w:hAnsiTheme="minorHAnsi" w:cstheme="minorHAnsi"/>
                <w:color w:val="auto"/>
                <w:sz w:val="22"/>
                <w:szCs w:val="22"/>
              </w:rPr>
            </w:pPr>
            <w:r w:rsidRPr="00DE2CD6">
              <w:rPr>
                <w:rFonts w:asciiTheme="minorHAnsi" w:hAnsiTheme="minorHAnsi" w:cstheme="minorHAnsi"/>
                <w:color w:val="auto"/>
              </w:rPr>
              <w:t>It must be noted that school figures were higher than national figures of 88.9% disadvantaged and 94.2% non-disadvantaged.</w:t>
            </w:r>
          </w:p>
        </w:tc>
        <w:tc>
          <w:tcPr>
            <w:tcW w:w="3686" w:type="dxa"/>
          </w:tcPr>
          <w:p w14:paraId="45E679F8" w14:textId="77777777" w:rsidR="00A6241E" w:rsidRDefault="004A0572" w:rsidP="00946CD5">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Attendance 94.4%</w:t>
            </w:r>
          </w:p>
          <w:p w14:paraId="75F5DB6D" w14:textId="06510B52" w:rsidR="004A0572" w:rsidRDefault="004A0572" w:rsidP="00946CD5">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Disadvantage 93.5%</w:t>
            </w:r>
          </w:p>
          <w:p w14:paraId="56994DAA" w14:textId="77777777" w:rsidR="004A0572" w:rsidRDefault="004A0572" w:rsidP="00946CD5">
            <w:pPr>
              <w:spacing w:after="0" w:line="240" w:lineRule="auto"/>
              <w:rPr>
                <w:rFonts w:asciiTheme="minorHAnsi" w:hAnsiTheme="minorHAnsi" w:cstheme="minorHAnsi"/>
                <w:color w:val="auto"/>
                <w:sz w:val="22"/>
                <w:szCs w:val="22"/>
              </w:rPr>
            </w:pPr>
          </w:p>
          <w:p w14:paraId="29962193" w14:textId="77777777" w:rsidR="004A0572" w:rsidRDefault="004A0572" w:rsidP="00946CD5">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National Attendance – 94.8%</w:t>
            </w:r>
          </w:p>
          <w:p w14:paraId="3CB02CE0" w14:textId="77777777" w:rsidR="004A0572" w:rsidRDefault="004A0572" w:rsidP="00946CD5">
            <w:pPr>
              <w:spacing w:after="0" w:line="240" w:lineRule="auto"/>
              <w:rPr>
                <w:rFonts w:asciiTheme="minorHAnsi" w:hAnsiTheme="minorHAnsi" w:cstheme="minorHAnsi"/>
                <w:color w:val="auto"/>
                <w:sz w:val="22"/>
                <w:szCs w:val="22"/>
              </w:rPr>
            </w:pPr>
          </w:p>
          <w:p w14:paraId="16343EB9" w14:textId="75A6FC44" w:rsidR="004A0572" w:rsidRPr="00776E86" w:rsidRDefault="004A0572" w:rsidP="00946CD5">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Attendance has increased from last year and is n</w:t>
            </w:r>
            <w:r w:rsidR="00C81C15">
              <w:rPr>
                <w:rFonts w:asciiTheme="minorHAnsi" w:hAnsiTheme="minorHAnsi" w:cstheme="minorHAnsi"/>
                <w:color w:val="auto"/>
                <w:sz w:val="22"/>
                <w:szCs w:val="22"/>
              </w:rPr>
              <w:t xml:space="preserve">ow in line with national. Disadvantage attendance has also increased due to the robust tracking and analysis. </w:t>
            </w:r>
          </w:p>
        </w:tc>
      </w:tr>
      <w:tr w:rsidR="00A6241E" w14:paraId="4D576AD7" w14:textId="6D5705B6" w:rsidTr="00A6241E">
        <w:tc>
          <w:tcPr>
            <w:tcW w:w="1980" w:type="dxa"/>
          </w:tcPr>
          <w:p w14:paraId="38E3F972" w14:textId="4DDABAFF" w:rsidR="00A6241E" w:rsidRDefault="00A6241E" w:rsidP="00463BB3">
            <w:pPr>
              <w:spacing w:after="0" w:line="240" w:lineRule="auto"/>
              <w:rPr>
                <w:rFonts w:asciiTheme="minorHAnsi" w:hAnsiTheme="minorHAnsi" w:cstheme="minorHAnsi"/>
              </w:rPr>
            </w:pPr>
            <w:r w:rsidRPr="00F672D8">
              <w:rPr>
                <w:rFonts w:asciiTheme="minorHAnsi" w:hAnsiTheme="minorHAnsi" w:cstheme="minorHAnsi"/>
                <w:color w:val="auto"/>
                <w:sz w:val="22"/>
                <w:szCs w:val="22"/>
              </w:rPr>
              <w:t xml:space="preserve">Increase opportunities and experiences for children – to raise confidence, self-esteem and resilience to raise aspirations </w:t>
            </w:r>
            <w:r w:rsidRPr="00F672D8">
              <w:rPr>
                <w:rFonts w:asciiTheme="minorHAnsi" w:hAnsiTheme="minorHAnsi" w:cstheme="minorHAnsi"/>
                <w:iCs/>
                <w:color w:val="auto"/>
                <w:sz w:val="22"/>
                <w:szCs w:val="22"/>
              </w:rPr>
              <w:t>due to limited wider experiences.</w:t>
            </w:r>
          </w:p>
        </w:tc>
        <w:tc>
          <w:tcPr>
            <w:tcW w:w="3402" w:type="dxa"/>
          </w:tcPr>
          <w:p w14:paraId="4786B3A9" w14:textId="77777777" w:rsidR="00A6241E" w:rsidRPr="00973CDE" w:rsidRDefault="00A6241E" w:rsidP="00463BB3">
            <w:pPr>
              <w:spacing w:after="0" w:line="240" w:lineRule="auto"/>
              <w:rPr>
                <w:rFonts w:asciiTheme="minorHAnsi" w:hAnsiTheme="minorHAnsi" w:cstheme="minorHAnsi"/>
                <w:iCs/>
                <w:color w:val="auto"/>
                <w:sz w:val="22"/>
                <w:szCs w:val="22"/>
              </w:rPr>
            </w:pPr>
            <w:r w:rsidRPr="00973CDE">
              <w:rPr>
                <w:rFonts w:asciiTheme="minorHAnsi" w:hAnsiTheme="minorHAnsi" w:cstheme="minorHAnsi"/>
                <w:color w:val="auto"/>
                <w:sz w:val="22"/>
                <w:szCs w:val="22"/>
              </w:rPr>
              <w:t xml:space="preserve">Disadvantaged children have higher levels of SEND where the category of need is identified as SEMH. </w:t>
            </w:r>
          </w:p>
          <w:p w14:paraId="1CE557F8" w14:textId="15A73D87" w:rsidR="00A6241E" w:rsidRDefault="00A6241E" w:rsidP="00463BB3">
            <w:pPr>
              <w:spacing w:after="0" w:line="240" w:lineRule="auto"/>
              <w:rPr>
                <w:rFonts w:asciiTheme="minorHAnsi" w:hAnsiTheme="minorHAnsi" w:cstheme="minorHAnsi"/>
              </w:rPr>
            </w:pPr>
            <w:r w:rsidRPr="00973CDE">
              <w:rPr>
                <w:rFonts w:asciiTheme="minorHAnsi" w:hAnsiTheme="minorHAnsi" w:cstheme="minorHAnsi"/>
                <w:color w:val="auto"/>
                <w:sz w:val="22"/>
                <w:szCs w:val="22"/>
              </w:rPr>
              <w:t xml:space="preserve">There is also a higher rate of social care involvement amongst our </w:t>
            </w:r>
            <w:r w:rsidRPr="00973CDE">
              <w:rPr>
                <w:rFonts w:asciiTheme="minorHAnsi" w:hAnsiTheme="minorHAnsi" w:cstheme="minorHAnsi"/>
                <w:iCs/>
                <w:color w:val="auto"/>
                <w:sz w:val="22"/>
                <w:szCs w:val="22"/>
              </w:rPr>
              <w:t>disadvantaged</w:t>
            </w:r>
            <w:r w:rsidRPr="00973CDE">
              <w:rPr>
                <w:rFonts w:asciiTheme="minorHAnsi" w:hAnsiTheme="minorHAnsi" w:cstheme="minorHAnsi"/>
                <w:color w:val="auto"/>
                <w:sz w:val="22"/>
                <w:szCs w:val="22"/>
              </w:rPr>
              <w:t xml:space="preserve"> children; this correlates to range of emotional wellbeing issues.</w:t>
            </w:r>
          </w:p>
        </w:tc>
        <w:tc>
          <w:tcPr>
            <w:tcW w:w="3260" w:type="dxa"/>
          </w:tcPr>
          <w:p w14:paraId="44FF931C" w14:textId="6A61ACDA" w:rsidR="00A6241E" w:rsidRPr="00F31794"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sidRPr="00F31794">
              <w:rPr>
                <w:rFonts w:asciiTheme="minorHAnsi" w:hAnsiTheme="minorHAnsi" w:cstheme="minorHAnsi"/>
                <w:iCs/>
                <w:color w:val="auto"/>
                <w:sz w:val="22"/>
                <w:szCs w:val="22"/>
              </w:rPr>
              <w:t xml:space="preserve">Training for all staff on issues around Mental Health </w:t>
            </w:r>
          </w:p>
          <w:p w14:paraId="68435573" w14:textId="679464C5" w:rsidR="00A6241E" w:rsidRPr="00F31794"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sidRPr="00F31794">
              <w:rPr>
                <w:rFonts w:asciiTheme="minorHAnsi" w:hAnsiTheme="minorHAnsi" w:cstheme="minorHAnsi"/>
                <w:iCs/>
                <w:color w:val="auto"/>
                <w:sz w:val="22"/>
                <w:szCs w:val="22"/>
              </w:rPr>
              <w:t>Working with identified families to improve children’s attendance and punctuality.</w:t>
            </w:r>
          </w:p>
          <w:p w14:paraId="6725AC3E" w14:textId="7E38B4C9" w:rsidR="00A6241E" w:rsidRPr="00F31794"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sidRPr="00F31794">
              <w:rPr>
                <w:rFonts w:asciiTheme="minorHAnsi" w:hAnsiTheme="minorHAnsi" w:cstheme="minorHAnsi"/>
                <w:iCs/>
                <w:color w:val="auto"/>
                <w:sz w:val="22"/>
                <w:szCs w:val="22"/>
              </w:rPr>
              <w:t>Providing support for parents/carers</w:t>
            </w:r>
          </w:p>
          <w:p w14:paraId="4C6F7543" w14:textId="2C5CF6AB" w:rsidR="00A6241E" w:rsidRPr="00F31794"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sidRPr="00F31794">
              <w:rPr>
                <w:rFonts w:asciiTheme="minorHAnsi" w:hAnsiTheme="minorHAnsi" w:cstheme="minorHAnsi"/>
                <w:iCs/>
                <w:color w:val="auto"/>
                <w:sz w:val="22"/>
                <w:szCs w:val="22"/>
              </w:rPr>
              <w:t>Extended learning out of hours by providing after school provision</w:t>
            </w:r>
            <w:r>
              <w:rPr>
                <w:rFonts w:asciiTheme="minorHAnsi" w:hAnsiTheme="minorHAnsi" w:cstheme="minorHAnsi"/>
                <w:iCs/>
                <w:color w:val="auto"/>
                <w:sz w:val="22"/>
                <w:szCs w:val="22"/>
              </w:rPr>
              <w:t xml:space="preserve"> and booster sessions.</w:t>
            </w:r>
          </w:p>
          <w:p w14:paraId="6F48D114" w14:textId="77777777" w:rsidR="00A6241E" w:rsidRPr="00F31794"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sidRPr="00F31794">
              <w:rPr>
                <w:rFonts w:asciiTheme="minorHAnsi" w:hAnsiTheme="minorHAnsi" w:cstheme="minorHAnsi"/>
                <w:iCs/>
                <w:color w:val="auto"/>
                <w:sz w:val="22"/>
                <w:szCs w:val="22"/>
              </w:rPr>
              <w:t xml:space="preserve">Providing books for all children </w:t>
            </w:r>
          </w:p>
          <w:p w14:paraId="6186863C" w14:textId="77777777" w:rsidR="00A6241E" w:rsidRPr="00F31794"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sidRPr="00F31794">
              <w:rPr>
                <w:rFonts w:asciiTheme="minorHAnsi" w:hAnsiTheme="minorHAnsi" w:cstheme="minorHAnsi"/>
                <w:iCs/>
                <w:color w:val="auto"/>
                <w:sz w:val="22"/>
                <w:szCs w:val="22"/>
              </w:rPr>
              <w:lastRenderedPageBreak/>
              <w:t xml:space="preserve">Reduced costs for educational visits </w:t>
            </w:r>
          </w:p>
          <w:p w14:paraId="16D622C4" w14:textId="3BB3673B" w:rsidR="00A6241E" w:rsidRPr="00F31794"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sidRPr="00F31794">
              <w:rPr>
                <w:rFonts w:asciiTheme="minorHAnsi" w:hAnsiTheme="minorHAnsi" w:cstheme="minorHAnsi"/>
                <w:iCs/>
                <w:color w:val="auto"/>
                <w:sz w:val="22"/>
                <w:szCs w:val="22"/>
              </w:rPr>
              <w:t>Funded extra</w:t>
            </w:r>
            <w:r>
              <w:rPr>
                <w:rFonts w:asciiTheme="minorHAnsi" w:hAnsiTheme="minorHAnsi" w:cstheme="minorHAnsi"/>
                <w:iCs/>
                <w:color w:val="auto"/>
                <w:sz w:val="22"/>
                <w:szCs w:val="22"/>
              </w:rPr>
              <w:t xml:space="preserve"> - </w:t>
            </w:r>
            <w:r w:rsidRPr="00F31794">
              <w:rPr>
                <w:rFonts w:asciiTheme="minorHAnsi" w:hAnsiTheme="minorHAnsi" w:cstheme="minorHAnsi"/>
                <w:iCs/>
                <w:color w:val="auto"/>
                <w:sz w:val="22"/>
                <w:szCs w:val="22"/>
              </w:rPr>
              <w:t>curricular opportunities</w:t>
            </w:r>
          </w:p>
          <w:p w14:paraId="09A5AAB1" w14:textId="55DB0B9B" w:rsidR="00A6241E" w:rsidRDefault="00A6241E" w:rsidP="00437B92">
            <w:pPr>
              <w:shd w:val="clear" w:color="auto" w:fill="FFFFFF"/>
              <w:suppressAutoHyphens w:val="0"/>
              <w:spacing w:after="0" w:line="240" w:lineRule="auto"/>
              <w:rPr>
                <w:rFonts w:asciiTheme="minorHAnsi" w:hAnsiTheme="minorHAnsi" w:cstheme="minorHAnsi"/>
                <w:iCs/>
                <w:color w:val="auto"/>
                <w:sz w:val="22"/>
                <w:szCs w:val="22"/>
              </w:rPr>
            </w:pPr>
            <w:r w:rsidRPr="00F31794">
              <w:rPr>
                <w:rFonts w:asciiTheme="minorHAnsi" w:hAnsiTheme="minorHAnsi" w:cstheme="minorHAnsi"/>
                <w:iCs/>
                <w:color w:val="auto"/>
                <w:sz w:val="22"/>
                <w:szCs w:val="22"/>
              </w:rPr>
              <w:t>Externally provided programmes.</w:t>
            </w:r>
          </w:p>
          <w:p w14:paraId="31905453" w14:textId="32A32527" w:rsidR="00A6241E" w:rsidRDefault="00A6241E" w:rsidP="00B665E3">
            <w:pPr>
              <w:shd w:val="clear" w:color="auto" w:fill="FFFFFF"/>
              <w:suppressAutoHyphens w:val="0"/>
              <w:spacing w:after="0" w:line="240" w:lineRule="auto"/>
              <w:rPr>
                <w:rFonts w:asciiTheme="minorHAnsi" w:hAnsiTheme="minorHAnsi" w:cstheme="minorHAnsi"/>
                <w:iCs/>
                <w:color w:val="auto"/>
                <w:sz w:val="22"/>
                <w:szCs w:val="22"/>
              </w:rPr>
            </w:pPr>
            <w:r w:rsidRPr="00B665E3">
              <w:rPr>
                <w:rFonts w:asciiTheme="minorHAnsi" w:hAnsiTheme="minorHAnsi" w:cstheme="minorHAnsi"/>
                <w:iCs/>
                <w:color w:val="auto"/>
                <w:sz w:val="22"/>
                <w:szCs w:val="22"/>
              </w:rPr>
              <w:t>Personalised support and tailored interventions to the needs of the child –</w:t>
            </w:r>
            <w:r>
              <w:rPr>
                <w:rFonts w:asciiTheme="minorHAnsi" w:hAnsiTheme="minorHAnsi" w:cstheme="minorHAnsi"/>
                <w:iCs/>
                <w:color w:val="auto"/>
                <w:sz w:val="22"/>
                <w:szCs w:val="22"/>
              </w:rPr>
              <w:t xml:space="preserve"> </w:t>
            </w:r>
            <w:r w:rsidRPr="00B665E3">
              <w:rPr>
                <w:rFonts w:asciiTheme="minorHAnsi" w:hAnsiTheme="minorHAnsi" w:cstheme="minorHAnsi"/>
                <w:iCs/>
                <w:color w:val="auto"/>
                <w:sz w:val="22"/>
                <w:szCs w:val="22"/>
              </w:rPr>
              <w:t>academic</w:t>
            </w:r>
            <w:r>
              <w:rPr>
                <w:rFonts w:asciiTheme="minorHAnsi" w:hAnsiTheme="minorHAnsi" w:cstheme="minorHAnsi"/>
                <w:iCs/>
                <w:color w:val="auto"/>
                <w:sz w:val="22"/>
                <w:szCs w:val="22"/>
              </w:rPr>
              <w:t xml:space="preserve"> </w:t>
            </w:r>
            <w:r w:rsidRPr="00B665E3">
              <w:rPr>
                <w:rFonts w:asciiTheme="minorHAnsi" w:hAnsiTheme="minorHAnsi" w:cstheme="minorHAnsi"/>
                <w:iCs/>
                <w:color w:val="auto"/>
                <w:sz w:val="22"/>
                <w:szCs w:val="22"/>
              </w:rPr>
              <w:t>and otherwise</w:t>
            </w:r>
          </w:p>
          <w:p w14:paraId="2F8820A2" w14:textId="77777777" w:rsidR="00A6241E" w:rsidRDefault="00A6241E" w:rsidP="00B665E3">
            <w:pPr>
              <w:pStyle w:val="NoSpacing"/>
              <w:rPr>
                <w:rFonts w:asciiTheme="minorHAnsi" w:hAnsiTheme="minorHAnsi" w:cstheme="minorHAnsi"/>
                <w:sz w:val="22"/>
                <w:szCs w:val="22"/>
              </w:rPr>
            </w:pPr>
            <w:r>
              <w:rPr>
                <w:rFonts w:asciiTheme="minorHAnsi" w:hAnsiTheme="minorHAnsi" w:cstheme="minorHAnsi"/>
                <w:sz w:val="22"/>
                <w:szCs w:val="22"/>
              </w:rPr>
              <w:t>Counsellors in school to deliver 1:1 session.</w:t>
            </w:r>
          </w:p>
          <w:p w14:paraId="7CF73299" w14:textId="77777777" w:rsidR="00A6241E" w:rsidRPr="00751B9E" w:rsidRDefault="00A6241E" w:rsidP="00D516D5">
            <w:pPr>
              <w:pStyle w:val="NoSpacing"/>
              <w:rPr>
                <w:rFonts w:asciiTheme="minorHAnsi" w:hAnsiTheme="minorHAnsi" w:cstheme="minorHAnsi"/>
                <w:sz w:val="22"/>
                <w:szCs w:val="22"/>
              </w:rPr>
            </w:pPr>
            <w:r>
              <w:rPr>
                <w:rFonts w:asciiTheme="minorHAnsi" w:hAnsiTheme="minorHAnsi" w:cstheme="minorHAnsi"/>
                <w:sz w:val="22"/>
                <w:szCs w:val="22"/>
              </w:rPr>
              <w:t xml:space="preserve">We Eat Elephants (WEE) Wellbeing, Emotional Education course delivered to LKS2. </w:t>
            </w:r>
          </w:p>
          <w:p w14:paraId="256C787F" w14:textId="03FCC97D" w:rsidR="00A6241E" w:rsidRPr="00F31794" w:rsidRDefault="00A6241E" w:rsidP="00DD7028">
            <w:pPr>
              <w:spacing w:after="0" w:line="240" w:lineRule="auto"/>
              <w:rPr>
                <w:rFonts w:asciiTheme="minorHAnsi" w:hAnsiTheme="minorHAnsi" w:cstheme="minorHAnsi"/>
                <w:color w:val="auto"/>
                <w:sz w:val="22"/>
                <w:szCs w:val="22"/>
              </w:rPr>
            </w:pPr>
            <w:r w:rsidRPr="00751B9E">
              <w:rPr>
                <w:rFonts w:asciiTheme="minorHAnsi" w:hAnsiTheme="minorHAnsi" w:cstheme="minorHAnsi"/>
                <w:iCs/>
                <w:color w:val="auto"/>
                <w:sz w:val="22"/>
                <w:szCs w:val="22"/>
              </w:rPr>
              <w:t>Work with the Educational Psychologist to develop a self-support mechanism for emotional issues and difficulties.</w:t>
            </w:r>
          </w:p>
        </w:tc>
        <w:tc>
          <w:tcPr>
            <w:tcW w:w="3260" w:type="dxa"/>
          </w:tcPr>
          <w:p w14:paraId="2BEBEC17" w14:textId="77777777" w:rsidR="00A6241E"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Pr>
                <w:rFonts w:asciiTheme="minorHAnsi" w:hAnsiTheme="minorHAnsi" w:cstheme="minorHAnsi"/>
                <w:iCs/>
                <w:color w:val="auto"/>
                <w:sz w:val="22"/>
                <w:szCs w:val="22"/>
              </w:rPr>
              <w:lastRenderedPageBreak/>
              <w:t>Staff have continued to work with Alliance and have received regular CPD.</w:t>
            </w:r>
          </w:p>
          <w:p w14:paraId="252D4062" w14:textId="77777777" w:rsidR="00A6241E"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Pr>
                <w:rFonts w:asciiTheme="minorHAnsi" w:hAnsiTheme="minorHAnsi" w:cstheme="minorHAnsi"/>
                <w:iCs/>
                <w:color w:val="auto"/>
                <w:sz w:val="22"/>
                <w:szCs w:val="22"/>
              </w:rPr>
              <w:t>Trust have introduced a streamlined attendance procedure and tracking system to support and impact on attendance and persistent absence.</w:t>
            </w:r>
          </w:p>
          <w:p w14:paraId="53661BB7" w14:textId="2F96C4D2" w:rsidR="00A6241E"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Pr>
                <w:rFonts w:asciiTheme="minorHAnsi" w:hAnsiTheme="minorHAnsi" w:cstheme="minorHAnsi"/>
                <w:iCs/>
                <w:color w:val="auto"/>
                <w:sz w:val="22"/>
                <w:szCs w:val="22"/>
              </w:rPr>
              <w:t xml:space="preserve">All staff are trained in SMART circuit by Future steps so that daily sensory circuits can be carried </w:t>
            </w:r>
            <w:r>
              <w:rPr>
                <w:rFonts w:asciiTheme="minorHAnsi" w:hAnsiTheme="minorHAnsi" w:cstheme="minorHAnsi"/>
                <w:iCs/>
                <w:color w:val="auto"/>
                <w:sz w:val="22"/>
                <w:szCs w:val="22"/>
              </w:rPr>
              <w:lastRenderedPageBreak/>
              <w:t xml:space="preserve">out to ensure children are regulated. </w:t>
            </w:r>
          </w:p>
          <w:p w14:paraId="0B229EBD" w14:textId="77777777" w:rsidR="00A6241E"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Pr>
                <w:rFonts w:asciiTheme="minorHAnsi" w:hAnsiTheme="minorHAnsi" w:cstheme="minorHAnsi"/>
                <w:iCs/>
                <w:color w:val="auto"/>
                <w:sz w:val="22"/>
                <w:szCs w:val="22"/>
              </w:rPr>
              <w:t xml:space="preserve">All children receive a free book every year, school library has been significantly updated to promote the love of reading. Half termly visits form the local bookstore bringing the latest/exciting newly published books.  </w:t>
            </w:r>
          </w:p>
          <w:p w14:paraId="57457857" w14:textId="77777777" w:rsidR="00A6241E"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r>
              <w:rPr>
                <w:rFonts w:asciiTheme="minorHAnsi" w:hAnsiTheme="minorHAnsi" w:cstheme="minorHAnsi"/>
                <w:iCs/>
                <w:color w:val="auto"/>
                <w:sz w:val="22"/>
                <w:szCs w:val="22"/>
              </w:rPr>
              <w:t>Reduced or free residential visits to either Derwent Hill or Whitby for all KS2 children.</w:t>
            </w:r>
          </w:p>
          <w:p w14:paraId="39741D27" w14:textId="77777777" w:rsidR="00A6241E" w:rsidRDefault="00A6241E" w:rsidP="00A00215">
            <w:pPr>
              <w:shd w:val="clear" w:color="auto" w:fill="FFFFFF"/>
              <w:suppressAutoHyphens w:val="0"/>
              <w:spacing w:after="0" w:line="240" w:lineRule="auto"/>
              <w:rPr>
                <w:rFonts w:asciiTheme="minorHAnsi" w:hAnsiTheme="minorHAnsi" w:cstheme="minorHAnsi"/>
                <w:iCs/>
                <w:color w:val="auto"/>
                <w:sz w:val="22"/>
                <w:szCs w:val="22"/>
              </w:rPr>
            </w:pPr>
            <w:r w:rsidRPr="00B665E3">
              <w:rPr>
                <w:rFonts w:asciiTheme="minorHAnsi" w:hAnsiTheme="minorHAnsi" w:cstheme="minorHAnsi"/>
                <w:iCs/>
                <w:color w:val="auto"/>
                <w:sz w:val="22"/>
                <w:szCs w:val="22"/>
              </w:rPr>
              <w:t>Personalised support and tailored interventions to the needs of the child –</w:t>
            </w:r>
            <w:r>
              <w:rPr>
                <w:rFonts w:asciiTheme="minorHAnsi" w:hAnsiTheme="minorHAnsi" w:cstheme="minorHAnsi"/>
                <w:iCs/>
                <w:color w:val="auto"/>
                <w:sz w:val="22"/>
                <w:szCs w:val="22"/>
              </w:rPr>
              <w:t xml:space="preserve"> </w:t>
            </w:r>
            <w:r w:rsidRPr="00B665E3">
              <w:rPr>
                <w:rFonts w:asciiTheme="minorHAnsi" w:hAnsiTheme="minorHAnsi" w:cstheme="minorHAnsi"/>
                <w:iCs/>
                <w:color w:val="auto"/>
                <w:sz w:val="22"/>
                <w:szCs w:val="22"/>
              </w:rPr>
              <w:t>academic</w:t>
            </w:r>
            <w:r>
              <w:rPr>
                <w:rFonts w:asciiTheme="minorHAnsi" w:hAnsiTheme="minorHAnsi" w:cstheme="minorHAnsi"/>
                <w:iCs/>
                <w:color w:val="auto"/>
                <w:sz w:val="22"/>
                <w:szCs w:val="22"/>
              </w:rPr>
              <w:t xml:space="preserve"> </w:t>
            </w:r>
            <w:r w:rsidRPr="00B665E3">
              <w:rPr>
                <w:rFonts w:asciiTheme="minorHAnsi" w:hAnsiTheme="minorHAnsi" w:cstheme="minorHAnsi"/>
                <w:iCs/>
                <w:color w:val="auto"/>
                <w:sz w:val="22"/>
                <w:szCs w:val="22"/>
              </w:rPr>
              <w:t>and otherwise</w:t>
            </w:r>
          </w:p>
          <w:p w14:paraId="368F3B88" w14:textId="77777777" w:rsidR="00A6241E" w:rsidRDefault="00A6241E" w:rsidP="00A00215">
            <w:pPr>
              <w:pStyle w:val="NoSpacing"/>
              <w:rPr>
                <w:rFonts w:asciiTheme="minorHAnsi" w:hAnsiTheme="minorHAnsi" w:cstheme="minorHAnsi"/>
                <w:sz w:val="22"/>
                <w:szCs w:val="22"/>
              </w:rPr>
            </w:pPr>
            <w:r>
              <w:rPr>
                <w:rFonts w:asciiTheme="minorHAnsi" w:hAnsiTheme="minorHAnsi" w:cstheme="minorHAnsi"/>
                <w:sz w:val="22"/>
                <w:szCs w:val="22"/>
              </w:rPr>
              <w:t>Counsellors in school to deliver 1:1 session.</w:t>
            </w:r>
          </w:p>
          <w:p w14:paraId="5410B358" w14:textId="77777777" w:rsidR="00A6241E" w:rsidRDefault="00A6241E" w:rsidP="00A00215">
            <w:pPr>
              <w:pStyle w:val="NoSpacing"/>
              <w:rPr>
                <w:rFonts w:asciiTheme="minorHAnsi" w:hAnsiTheme="minorHAnsi" w:cstheme="minorHAnsi"/>
                <w:sz w:val="22"/>
                <w:szCs w:val="22"/>
              </w:rPr>
            </w:pPr>
            <w:r>
              <w:rPr>
                <w:rFonts w:asciiTheme="minorHAnsi" w:hAnsiTheme="minorHAnsi" w:cstheme="minorHAnsi"/>
                <w:sz w:val="22"/>
                <w:szCs w:val="22"/>
              </w:rPr>
              <w:t>We Eat Elephants (WEE) Wellbeing, Emotional Education course delivered to KS1.</w:t>
            </w:r>
          </w:p>
          <w:p w14:paraId="614DB2F5" w14:textId="77777777" w:rsidR="00A6241E" w:rsidRDefault="00A6241E" w:rsidP="00A00215">
            <w:pPr>
              <w:pStyle w:val="NoSpacing"/>
              <w:rPr>
                <w:rFonts w:asciiTheme="minorHAnsi" w:hAnsiTheme="minorHAnsi" w:cstheme="minorHAnsi"/>
                <w:sz w:val="22"/>
                <w:szCs w:val="22"/>
              </w:rPr>
            </w:pPr>
            <w:r>
              <w:rPr>
                <w:rFonts w:asciiTheme="minorHAnsi" w:hAnsiTheme="minorHAnsi" w:cstheme="minorHAnsi"/>
                <w:sz w:val="22"/>
                <w:szCs w:val="22"/>
              </w:rPr>
              <w:t>Service level agreement with ABC counselling to work with children on a 1:1 basis.</w:t>
            </w:r>
          </w:p>
          <w:p w14:paraId="2FEBAC7F" w14:textId="57F3AE28" w:rsidR="00A6241E" w:rsidRPr="00751B9E" w:rsidRDefault="00A6241E" w:rsidP="00A00215">
            <w:pPr>
              <w:pStyle w:val="NoSpacing"/>
              <w:rPr>
                <w:rFonts w:asciiTheme="minorHAnsi" w:hAnsiTheme="minorHAnsi" w:cstheme="minorHAnsi"/>
                <w:sz w:val="22"/>
                <w:szCs w:val="22"/>
              </w:rPr>
            </w:pPr>
            <w:r>
              <w:rPr>
                <w:rFonts w:asciiTheme="minorHAnsi" w:hAnsiTheme="minorHAnsi" w:cstheme="minorHAnsi"/>
                <w:sz w:val="22"/>
                <w:szCs w:val="22"/>
              </w:rPr>
              <w:t xml:space="preserve">Collaboration with </w:t>
            </w:r>
            <w:proofErr w:type="spellStart"/>
            <w:r>
              <w:rPr>
                <w:rFonts w:asciiTheme="minorHAnsi" w:hAnsiTheme="minorHAnsi" w:cstheme="minorHAnsi"/>
                <w:sz w:val="22"/>
                <w:szCs w:val="22"/>
              </w:rPr>
              <w:t>TeesSpark</w:t>
            </w:r>
            <w:proofErr w:type="spellEnd"/>
            <w:r>
              <w:rPr>
                <w:rFonts w:asciiTheme="minorHAnsi" w:hAnsiTheme="minorHAnsi" w:cstheme="minorHAnsi"/>
                <w:sz w:val="22"/>
                <w:szCs w:val="22"/>
              </w:rPr>
              <w:t xml:space="preserve"> to provide Y1-Y6 with a termly visit from speakers from a variety of professions to spark the children’s interest and raise aspirations.  </w:t>
            </w:r>
          </w:p>
          <w:p w14:paraId="6CE80560" w14:textId="5DEA4846" w:rsidR="00A6241E" w:rsidRPr="00F31794" w:rsidRDefault="00A6241E" w:rsidP="00F31794">
            <w:pPr>
              <w:shd w:val="clear" w:color="auto" w:fill="FFFFFF"/>
              <w:suppressAutoHyphens w:val="0"/>
              <w:spacing w:after="0" w:line="240" w:lineRule="auto"/>
              <w:rPr>
                <w:rFonts w:asciiTheme="minorHAnsi" w:hAnsiTheme="minorHAnsi" w:cstheme="minorHAnsi"/>
                <w:iCs/>
                <w:color w:val="auto"/>
                <w:sz w:val="22"/>
                <w:szCs w:val="22"/>
              </w:rPr>
            </w:pPr>
          </w:p>
        </w:tc>
        <w:tc>
          <w:tcPr>
            <w:tcW w:w="3686" w:type="dxa"/>
          </w:tcPr>
          <w:p w14:paraId="3E831466" w14:textId="310B067B" w:rsidR="00A6241E" w:rsidRDefault="00537CCC" w:rsidP="00F31794">
            <w:pPr>
              <w:shd w:val="clear" w:color="auto" w:fill="FFFFFF"/>
              <w:suppressAutoHyphens w:val="0"/>
              <w:spacing w:after="0" w:line="240" w:lineRule="auto"/>
              <w:rPr>
                <w:rFonts w:asciiTheme="minorHAnsi" w:hAnsiTheme="minorHAnsi" w:cstheme="minorHAnsi"/>
                <w:iCs/>
                <w:color w:val="auto"/>
                <w:sz w:val="22"/>
                <w:szCs w:val="22"/>
              </w:rPr>
            </w:pPr>
            <w:r>
              <w:rPr>
                <w:rFonts w:asciiTheme="minorHAnsi" w:hAnsiTheme="minorHAnsi" w:cstheme="minorHAnsi"/>
                <w:iCs/>
                <w:color w:val="auto"/>
                <w:sz w:val="22"/>
                <w:szCs w:val="22"/>
              </w:rPr>
              <w:lastRenderedPageBreak/>
              <w:t xml:space="preserve">Attendance systems </w:t>
            </w:r>
            <w:proofErr w:type="gramStart"/>
            <w:r>
              <w:rPr>
                <w:rFonts w:asciiTheme="minorHAnsi" w:hAnsiTheme="minorHAnsi" w:cstheme="minorHAnsi"/>
                <w:iCs/>
                <w:color w:val="auto"/>
                <w:sz w:val="22"/>
                <w:szCs w:val="22"/>
              </w:rPr>
              <w:t>has</w:t>
            </w:r>
            <w:proofErr w:type="gramEnd"/>
            <w:r>
              <w:rPr>
                <w:rFonts w:asciiTheme="minorHAnsi" w:hAnsiTheme="minorHAnsi" w:cstheme="minorHAnsi"/>
                <w:iCs/>
                <w:color w:val="auto"/>
                <w:sz w:val="22"/>
                <w:szCs w:val="22"/>
              </w:rPr>
              <w:t xml:space="preserve"> had impact and seen a reduction of Attendance and PA. </w:t>
            </w:r>
          </w:p>
        </w:tc>
      </w:tr>
      <w:tr w:rsidR="00A6241E" w14:paraId="68288943" w14:textId="45B25B81" w:rsidTr="00A6241E">
        <w:tc>
          <w:tcPr>
            <w:tcW w:w="1980" w:type="dxa"/>
          </w:tcPr>
          <w:p w14:paraId="2DAA979E" w14:textId="02AC99EE" w:rsidR="00A6241E" w:rsidRDefault="00A6241E" w:rsidP="00463BB3">
            <w:pPr>
              <w:spacing w:after="0" w:line="240" w:lineRule="auto"/>
              <w:rPr>
                <w:rFonts w:asciiTheme="minorHAnsi" w:hAnsiTheme="minorHAnsi" w:cstheme="minorHAnsi"/>
              </w:rPr>
            </w:pPr>
            <w:r>
              <w:rPr>
                <w:rFonts w:asciiTheme="minorHAnsi" w:hAnsiTheme="minorHAnsi" w:cstheme="minorHAnsi"/>
                <w:color w:val="auto"/>
                <w:sz w:val="22"/>
                <w:szCs w:val="22"/>
              </w:rPr>
              <w:t xml:space="preserve">Develop the vocabulary of disadvantaged pupils, in general </w:t>
            </w:r>
            <w:r>
              <w:rPr>
                <w:rFonts w:asciiTheme="minorHAnsi" w:hAnsiTheme="minorHAnsi" w:cstheme="minorHAnsi"/>
                <w:color w:val="auto"/>
                <w:sz w:val="22"/>
                <w:szCs w:val="22"/>
              </w:rPr>
              <w:lastRenderedPageBreak/>
              <w:t>and across the curriculum.</w:t>
            </w:r>
          </w:p>
        </w:tc>
        <w:tc>
          <w:tcPr>
            <w:tcW w:w="3402" w:type="dxa"/>
          </w:tcPr>
          <w:p w14:paraId="04875641" w14:textId="5D8935CF" w:rsidR="00A6241E" w:rsidRDefault="00A6241E" w:rsidP="00463BB3">
            <w:pPr>
              <w:spacing w:after="0" w:line="240" w:lineRule="auto"/>
              <w:rPr>
                <w:rFonts w:asciiTheme="minorHAnsi" w:hAnsiTheme="minorHAnsi" w:cstheme="minorHAnsi"/>
              </w:rPr>
            </w:pPr>
            <w:r w:rsidRPr="00591D6C">
              <w:rPr>
                <w:rFonts w:asciiTheme="minorHAnsi" w:hAnsiTheme="minorHAnsi" w:cstheme="minorHAnsi"/>
                <w:color w:val="auto"/>
                <w:sz w:val="22"/>
                <w:szCs w:val="22"/>
              </w:rPr>
              <w:lastRenderedPageBreak/>
              <w:t xml:space="preserve">Assessments and observations indicate significantly weaker oral language among disadvantaged pupils. There is a higher rate of pupils with SEND where </w:t>
            </w:r>
            <w:r w:rsidRPr="00591D6C">
              <w:rPr>
                <w:rFonts w:asciiTheme="minorHAnsi" w:hAnsiTheme="minorHAnsi" w:cstheme="minorHAnsi"/>
                <w:color w:val="auto"/>
                <w:sz w:val="22"/>
                <w:szCs w:val="22"/>
              </w:rPr>
              <w:lastRenderedPageBreak/>
              <w:t xml:space="preserve">communication and interaction </w:t>
            </w:r>
            <w:proofErr w:type="gramStart"/>
            <w:r w:rsidRPr="00591D6C">
              <w:rPr>
                <w:rFonts w:asciiTheme="minorHAnsi" w:hAnsiTheme="minorHAnsi" w:cstheme="minorHAnsi"/>
                <w:color w:val="auto"/>
                <w:sz w:val="22"/>
                <w:szCs w:val="22"/>
              </w:rPr>
              <w:t>is</w:t>
            </w:r>
            <w:proofErr w:type="gramEnd"/>
            <w:r w:rsidRPr="00591D6C">
              <w:rPr>
                <w:rFonts w:asciiTheme="minorHAnsi" w:hAnsiTheme="minorHAnsi" w:cstheme="minorHAnsi"/>
                <w:color w:val="auto"/>
                <w:sz w:val="22"/>
                <w:szCs w:val="22"/>
              </w:rPr>
              <w:t xml:space="preserve"> identified.</w:t>
            </w:r>
          </w:p>
        </w:tc>
        <w:tc>
          <w:tcPr>
            <w:tcW w:w="3260" w:type="dxa"/>
          </w:tcPr>
          <w:p w14:paraId="5704A486" w14:textId="5A2D7AAA" w:rsidR="00A6241E" w:rsidRDefault="00A6241E" w:rsidP="00463BB3">
            <w:pPr>
              <w:spacing w:after="0" w:line="240" w:lineRule="auto"/>
              <w:rPr>
                <w:rFonts w:asciiTheme="minorHAnsi" w:hAnsiTheme="minorHAnsi" w:cstheme="minorHAnsi"/>
              </w:rPr>
            </w:pPr>
            <w:r>
              <w:rPr>
                <w:rFonts w:asciiTheme="minorHAnsi" w:hAnsiTheme="minorHAnsi" w:cstheme="minorHAnsi"/>
                <w:color w:val="auto"/>
                <w:sz w:val="22"/>
                <w:szCs w:val="22"/>
              </w:rPr>
              <w:lastRenderedPageBreak/>
              <w:t>T</w:t>
            </w:r>
            <w:r w:rsidRPr="00874447">
              <w:rPr>
                <w:rFonts w:asciiTheme="minorHAnsi" w:hAnsiTheme="minorHAnsi" w:cstheme="minorHAnsi"/>
                <w:color w:val="auto"/>
                <w:sz w:val="22"/>
                <w:szCs w:val="22"/>
              </w:rPr>
              <w:t xml:space="preserve">he </w:t>
            </w:r>
            <w:r>
              <w:rPr>
                <w:rFonts w:asciiTheme="minorHAnsi" w:hAnsiTheme="minorHAnsi" w:cstheme="minorHAnsi"/>
                <w:color w:val="auto"/>
                <w:sz w:val="22"/>
                <w:szCs w:val="22"/>
              </w:rPr>
              <w:t>Talk boost</w:t>
            </w:r>
            <w:r w:rsidRPr="00874447">
              <w:rPr>
                <w:rFonts w:asciiTheme="minorHAnsi" w:hAnsiTheme="minorHAnsi" w:cstheme="minorHAnsi"/>
                <w:color w:val="auto"/>
                <w:sz w:val="22"/>
                <w:szCs w:val="22"/>
              </w:rPr>
              <w:t xml:space="preserve"> </w:t>
            </w:r>
            <w:r>
              <w:rPr>
                <w:rFonts w:asciiTheme="minorHAnsi" w:hAnsiTheme="minorHAnsi" w:cstheme="minorHAnsi"/>
                <w:color w:val="auto"/>
                <w:sz w:val="22"/>
                <w:szCs w:val="22"/>
              </w:rPr>
              <w:t>is a</w:t>
            </w:r>
            <w:r w:rsidRPr="00874447">
              <w:rPr>
                <w:rFonts w:asciiTheme="minorHAnsi" w:hAnsiTheme="minorHAnsi" w:cstheme="minorHAnsi"/>
                <w:color w:val="auto"/>
                <w:sz w:val="22"/>
                <w:szCs w:val="22"/>
              </w:rPr>
              <w:t xml:space="preserve"> language </w:t>
            </w:r>
            <w:r>
              <w:rPr>
                <w:rFonts w:asciiTheme="minorHAnsi" w:hAnsiTheme="minorHAnsi" w:cstheme="minorHAnsi"/>
                <w:color w:val="auto"/>
                <w:sz w:val="22"/>
                <w:szCs w:val="22"/>
              </w:rPr>
              <w:t>intervention</w:t>
            </w:r>
            <w:r w:rsidRPr="00874447">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which running </w:t>
            </w:r>
            <w:r w:rsidRPr="00874447">
              <w:rPr>
                <w:rFonts w:asciiTheme="minorHAnsi" w:hAnsiTheme="minorHAnsi" w:cstheme="minorHAnsi"/>
                <w:color w:val="auto"/>
                <w:sz w:val="22"/>
                <w:szCs w:val="22"/>
              </w:rPr>
              <w:t xml:space="preserve">in EYFS successfully. </w:t>
            </w:r>
            <w:r>
              <w:rPr>
                <w:rFonts w:asciiTheme="minorHAnsi" w:hAnsiTheme="minorHAnsi" w:cstheme="minorHAnsi"/>
                <w:color w:val="auto"/>
                <w:sz w:val="22"/>
                <w:szCs w:val="22"/>
              </w:rPr>
              <w:t>Power of reading</w:t>
            </w:r>
            <w:r w:rsidRPr="00874447">
              <w:rPr>
                <w:rFonts w:asciiTheme="minorHAnsi" w:hAnsiTheme="minorHAnsi" w:cstheme="minorHAnsi"/>
                <w:color w:val="auto"/>
                <w:sz w:val="22"/>
                <w:szCs w:val="22"/>
              </w:rPr>
              <w:t xml:space="preserve"> has also been successfully piloted in KS1</w:t>
            </w:r>
            <w:r>
              <w:rPr>
                <w:rFonts w:asciiTheme="minorHAnsi" w:hAnsiTheme="minorHAnsi" w:cstheme="minorHAnsi"/>
                <w:color w:val="auto"/>
                <w:sz w:val="22"/>
                <w:szCs w:val="22"/>
              </w:rPr>
              <w:t xml:space="preserve"> and KS2</w:t>
            </w:r>
            <w:r w:rsidRPr="00874447">
              <w:rPr>
                <w:rFonts w:asciiTheme="minorHAnsi" w:hAnsiTheme="minorHAnsi" w:cstheme="minorHAnsi"/>
                <w:color w:val="auto"/>
                <w:sz w:val="22"/>
                <w:szCs w:val="22"/>
              </w:rPr>
              <w:t xml:space="preserve">, to </w:t>
            </w:r>
            <w:r w:rsidRPr="00874447">
              <w:rPr>
                <w:rFonts w:asciiTheme="minorHAnsi" w:hAnsiTheme="minorHAnsi" w:cstheme="minorHAnsi"/>
                <w:color w:val="auto"/>
                <w:sz w:val="22"/>
                <w:szCs w:val="22"/>
              </w:rPr>
              <w:lastRenderedPageBreak/>
              <w:t>improve vocabulary development.</w:t>
            </w:r>
          </w:p>
        </w:tc>
        <w:tc>
          <w:tcPr>
            <w:tcW w:w="3260" w:type="dxa"/>
          </w:tcPr>
          <w:p w14:paraId="62AA6EA1" w14:textId="179367BD" w:rsidR="00A6241E" w:rsidRDefault="00A6241E" w:rsidP="00537CCC">
            <w:pPr>
              <w:spacing w:after="0" w:line="240" w:lineRule="auto"/>
              <w:contextualSpacing/>
              <w:rPr>
                <w:rFonts w:ascii="Twinkl" w:hAnsi="Twinkl"/>
                <w:b/>
                <w:bCs/>
                <w:i/>
                <w:iCs/>
              </w:rPr>
            </w:pPr>
            <w:r>
              <w:rPr>
                <w:rFonts w:asciiTheme="minorHAnsi" w:hAnsiTheme="minorHAnsi" w:cstheme="minorHAnsi"/>
                <w:color w:val="auto"/>
                <w:sz w:val="22"/>
                <w:szCs w:val="22"/>
              </w:rPr>
              <w:lastRenderedPageBreak/>
              <w:t xml:space="preserve">Enrolled on Voice 21 project which focusses on Oracy. School </w:t>
            </w:r>
            <w:proofErr w:type="gramStart"/>
            <w:r>
              <w:rPr>
                <w:rFonts w:asciiTheme="minorHAnsi" w:hAnsiTheme="minorHAnsi" w:cstheme="minorHAnsi"/>
                <w:color w:val="auto"/>
                <w:sz w:val="22"/>
                <w:szCs w:val="22"/>
              </w:rPr>
              <w:t>have</w:t>
            </w:r>
            <w:proofErr w:type="gramEnd"/>
            <w:r>
              <w:rPr>
                <w:rFonts w:asciiTheme="minorHAnsi" w:hAnsiTheme="minorHAnsi" w:cstheme="minorHAnsi"/>
                <w:color w:val="auto"/>
                <w:sz w:val="22"/>
                <w:szCs w:val="22"/>
              </w:rPr>
              <w:t xml:space="preserve"> a vision a detailed academy improvement plan to ensure we are </w:t>
            </w:r>
            <w:r w:rsidRPr="00E33ABF">
              <w:rPr>
                <w:rFonts w:ascii="Twinkl" w:hAnsi="Twinkl"/>
                <w:b/>
                <w:bCs/>
                <w:i/>
                <w:iCs/>
              </w:rPr>
              <w:t xml:space="preserve">"Empowering Confident </w:t>
            </w:r>
            <w:r w:rsidRPr="00E33ABF">
              <w:rPr>
                <w:rFonts w:ascii="Twinkl" w:hAnsi="Twinkl"/>
                <w:b/>
                <w:bCs/>
                <w:i/>
                <w:iCs/>
              </w:rPr>
              <w:lastRenderedPageBreak/>
              <w:t>Communicators for Success in School and Beyond"</w:t>
            </w:r>
          </w:p>
          <w:p w14:paraId="0D56FDBC" w14:textId="77777777"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Talk boost continues to be implemented.</w:t>
            </w:r>
          </w:p>
          <w:p w14:paraId="2AB93319" w14:textId="00767DD5" w:rsidR="00A6241E" w:rsidRDefault="00A6241E" w:rsidP="00463BB3">
            <w:pPr>
              <w:spacing w:after="0"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Increased vocabulary from Power of reading resources and lessons has had a good impact. This is to </w:t>
            </w:r>
            <w:proofErr w:type="gramStart"/>
            <w:r>
              <w:rPr>
                <w:rFonts w:asciiTheme="minorHAnsi" w:hAnsiTheme="minorHAnsi" w:cstheme="minorHAnsi"/>
                <w:color w:val="auto"/>
                <w:sz w:val="22"/>
                <w:szCs w:val="22"/>
              </w:rPr>
              <w:t>continue</w:t>
            </w:r>
            <w:proofErr w:type="gramEnd"/>
            <w:r>
              <w:rPr>
                <w:rFonts w:asciiTheme="minorHAnsi" w:hAnsiTheme="minorHAnsi" w:cstheme="minorHAnsi"/>
                <w:color w:val="auto"/>
                <w:sz w:val="22"/>
                <w:szCs w:val="22"/>
              </w:rPr>
              <w:t xml:space="preserve"> and EY have introduced Gregg </w:t>
            </w:r>
            <w:proofErr w:type="spellStart"/>
            <w:r>
              <w:rPr>
                <w:rFonts w:asciiTheme="minorHAnsi" w:hAnsiTheme="minorHAnsi" w:cstheme="minorHAnsi"/>
                <w:color w:val="auto"/>
                <w:sz w:val="22"/>
                <w:szCs w:val="22"/>
              </w:rPr>
              <w:t>Boterill</w:t>
            </w:r>
            <w:proofErr w:type="spellEnd"/>
            <w:r>
              <w:rPr>
                <w:rFonts w:asciiTheme="minorHAnsi" w:hAnsiTheme="minorHAnsi" w:cstheme="minorHAnsi"/>
                <w:color w:val="auto"/>
                <w:sz w:val="22"/>
                <w:szCs w:val="22"/>
              </w:rPr>
              <w:t xml:space="preserve"> Drawing club to promote speech, vocabulary and writing skills.</w:t>
            </w:r>
          </w:p>
        </w:tc>
        <w:tc>
          <w:tcPr>
            <w:tcW w:w="3686" w:type="dxa"/>
          </w:tcPr>
          <w:p w14:paraId="666D4485" w14:textId="77777777" w:rsidR="00A6241E" w:rsidRDefault="00A6241E" w:rsidP="003D53B4">
            <w:pPr>
              <w:spacing w:after="0"/>
              <w:jc w:val="center"/>
              <w:rPr>
                <w:rFonts w:asciiTheme="minorHAnsi" w:hAnsiTheme="minorHAnsi" w:cstheme="minorHAnsi"/>
                <w:color w:val="auto"/>
                <w:sz w:val="22"/>
                <w:szCs w:val="22"/>
              </w:rPr>
            </w:pPr>
          </w:p>
        </w:tc>
      </w:tr>
    </w:tbl>
    <w:p w14:paraId="05F95FFE" w14:textId="77777777" w:rsidR="00987C38" w:rsidRDefault="00987C38" w:rsidP="00463BB3">
      <w:pPr>
        <w:spacing w:after="0" w:line="240" w:lineRule="auto"/>
        <w:rPr>
          <w:rFonts w:asciiTheme="minorHAnsi" w:hAnsiTheme="minorHAnsi" w:cstheme="minorHAnsi"/>
        </w:rPr>
      </w:pPr>
    </w:p>
    <w:p w14:paraId="5FF9E026" w14:textId="77777777" w:rsidR="00FD1FAD" w:rsidRDefault="00FD1FAD" w:rsidP="00463BB3">
      <w:pPr>
        <w:spacing w:after="0" w:line="240" w:lineRule="auto"/>
        <w:rPr>
          <w:b/>
          <w:bCs/>
          <w:u w:val="single"/>
        </w:rPr>
      </w:pPr>
    </w:p>
    <w:p w14:paraId="28EF3547" w14:textId="77777777" w:rsidR="00FD1FAD" w:rsidRDefault="00FD1FAD" w:rsidP="00463BB3">
      <w:pPr>
        <w:spacing w:after="0" w:line="240" w:lineRule="auto"/>
        <w:rPr>
          <w:b/>
          <w:bCs/>
          <w:u w:val="single"/>
        </w:rPr>
      </w:pPr>
    </w:p>
    <w:p w14:paraId="33F16F48" w14:textId="77777777" w:rsidR="00FD1FAD" w:rsidRDefault="00FD1FAD" w:rsidP="00463BB3">
      <w:pPr>
        <w:spacing w:after="0" w:line="240" w:lineRule="auto"/>
        <w:rPr>
          <w:b/>
          <w:bCs/>
          <w:u w:val="single"/>
        </w:rPr>
      </w:pPr>
    </w:p>
    <w:p w14:paraId="4A8D4831" w14:textId="77777777" w:rsidR="00FD1FAD" w:rsidRDefault="00FD1FAD" w:rsidP="00463BB3">
      <w:pPr>
        <w:spacing w:after="0" w:line="240" w:lineRule="auto"/>
        <w:rPr>
          <w:b/>
          <w:bCs/>
          <w:u w:val="single"/>
        </w:rPr>
      </w:pPr>
    </w:p>
    <w:p w14:paraId="009A3176" w14:textId="77777777" w:rsidR="00FD1FAD" w:rsidRDefault="00FD1FAD" w:rsidP="00463BB3">
      <w:pPr>
        <w:spacing w:after="0" w:line="240" w:lineRule="auto"/>
        <w:rPr>
          <w:b/>
          <w:bCs/>
          <w:u w:val="single"/>
        </w:rPr>
      </w:pPr>
    </w:p>
    <w:p w14:paraId="541B6997" w14:textId="77777777" w:rsidR="00FD1FAD" w:rsidRDefault="00FD1FAD" w:rsidP="00463BB3">
      <w:pPr>
        <w:spacing w:after="0" w:line="240" w:lineRule="auto"/>
        <w:rPr>
          <w:b/>
          <w:bCs/>
          <w:u w:val="single"/>
        </w:rPr>
      </w:pPr>
    </w:p>
    <w:p w14:paraId="5C27F3AF" w14:textId="77777777" w:rsidR="00FD1FAD" w:rsidRDefault="00FD1FAD" w:rsidP="00463BB3">
      <w:pPr>
        <w:spacing w:after="0" w:line="240" w:lineRule="auto"/>
        <w:rPr>
          <w:b/>
          <w:bCs/>
          <w:u w:val="single"/>
        </w:rPr>
      </w:pPr>
    </w:p>
    <w:p w14:paraId="6C4A01A7" w14:textId="77777777" w:rsidR="00FD1FAD" w:rsidRDefault="00FD1FAD" w:rsidP="00463BB3">
      <w:pPr>
        <w:spacing w:after="0" w:line="240" w:lineRule="auto"/>
        <w:rPr>
          <w:b/>
          <w:bCs/>
          <w:u w:val="single"/>
        </w:rPr>
      </w:pPr>
    </w:p>
    <w:p w14:paraId="004AC6C6" w14:textId="77777777" w:rsidR="00FD1FAD" w:rsidRDefault="00FD1FAD" w:rsidP="00463BB3">
      <w:pPr>
        <w:spacing w:after="0" w:line="240" w:lineRule="auto"/>
        <w:rPr>
          <w:b/>
          <w:bCs/>
          <w:u w:val="single"/>
        </w:rPr>
      </w:pPr>
    </w:p>
    <w:p w14:paraId="692B86BC" w14:textId="77777777" w:rsidR="00FD1FAD" w:rsidRDefault="00FD1FAD" w:rsidP="00463BB3">
      <w:pPr>
        <w:spacing w:after="0" w:line="240" w:lineRule="auto"/>
        <w:rPr>
          <w:b/>
          <w:bCs/>
          <w:u w:val="single"/>
        </w:rPr>
      </w:pPr>
    </w:p>
    <w:p w14:paraId="3FE329C8" w14:textId="77777777" w:rsidR="00FD1FAD" w:rsidRDefault="00FD1FAD" w:rsidP="00463BB3">
      <w:pPr>
        <w:spacing w:after="0" w:line="240" w:lineRule="auto"/>
        <w:rPr>
          <w:b/>
          <w:bCs/>
          <w:u w:val="single"/>
        </w:rPr>
      </w:pPr>
    </w:p>
    <w:p w14:paraId="4B82C8E9" w14:textId="77777777" w:rsidR="00FD1FAD" w:rsidRDefault="00FD1FAD" w:rsidP="00463BB3">
      <w:pPr>
        <w:spacing w:after="0" w:line="240" w:lineRule="auto"/>
        <w:rPr>
          <w:b/>
          <w:bCs/>
          <w:u w:val="single"/>
        </w:rPr>
      </w:pPr>
    </w:p>
    <w:p w14:paraId="2283DBBD" w14:textId="77777777" w:rsidR="00FD1FAD" w:rsidRDefault="00FD1FAD" w:rsidP="00463BB3">
      <w:pPr>
        <w:spacing w:after="0" w:line="240" w:lineRule="auto"/>
        <w:rPr>
          <w:b/>
          <w:bCs/>
          <w:u w:val="single"/>
        </w:rPr>
      </w:pPr>
    </w:p>
    <w:p w14:paraId="682724F8" w14:textId="77777777" w:rsidR="00FD1FAD" w:rsidRDefault="00FD1FAD" w:rsidP="00463BB3">
      <w:pPr>
        <w:spacing w:after="0" w:line="240" w:lineRule="auto"/>
        <w:rPr>
          <w:b/>
          <w:bCs/>
          <w:u w:val="single"/>
        </w:rPr>
      </w:pPr>
    </w:p>
    <w:p w14:paraId="74FF90BF" w14:textId="77777777" w:rsidR="00FD1FAD" w:rsidRDefault="00FD1FAD" w:rsidP="00463BB3">
      <w:pPr>
        <w:spacing w:after="0" w:line="240" w:lineRule="auto"/>
        <w:rPr>
          <w:b/>
          <w:bCs/>
          <w:u w:val="single"/>
        </w:rPr>
      </w:pPr>
    </w:p>
    <w:p w14:paraId="1FCBD181" w14:textId="77777777" w:rsidR="00FD1FAD" w:rsidRDefault="00FD1FAD" w:rsidP="00463BB3">
      <w:pPr>
        <w:spacing w:after="0" w:line="240" w:lineRule="auto"/>
        <w:rPr>
          <w:b/>
          <w:bCs/>
          <w:u w:val="single"/>
        </w:rPr>
      </w:pPr>
    </w:p>
    <w:p w14:paraId="168E78CA" w14:textId="77777777" w:rsidR="00FD1FAD" w:rsidRDefault="00FD1FAD" w:rsidP="00463BB3">
      <w:pPr>
        <w:spacing w:after="0" w:line="240" w:lineRule="auto"/>
        <w:rPr>
          <w:b/>
          <w:bCs/>
          <w:u w:val="single"/>
        </w:rPr>
      </w:pPr>
    </w:p>
    <w:p w14:paraId="478F73C6" w14:textId="77777777" w:rsidR="00FD1FAD" w:rsidRDefault="00FD1FAD" w:rsidP="00463BB3">
      <w:pPr>
        <w:spacing w:after="0" w:line="240" w:lineRule="auto"/>
        <w:rPr>
          <w:b/>
          <w:bCs/>
          <w:u w:val="single"/>
        </w:rPr>
      </w:pPr>
    </w:p>
    <w:p w14:paraId="2EC8E8E5" w14:textId="77777777" w:rsidR="00FD1FAD" w:rsidRDefault="00FD1FAD" w:rsidP="00463BB3">
      <w:pPr>
        <w:spacing w:after="0" w:line="240" w:lineRule="auto"/>
        <w:rPr>
          <w:b/>
          <w:bCs/>
          <w:u w:val="single"/>
        </w:rPr>
      </w:pPr>
    </w:p>
    <w:p w14:paraId="1F1DB3AC" w14:textId="77777777" w:rsidR="00FD1FAD" w:rsidRDefault="00FD1FAD" w:rsidP="00463BB3">
      <w:pPr>
        <w:spacing w:after="0" w:line="240" w:lineRule="auto"/>
        <w:rPr>
          <w:b/>
          <w:bCs/>
          <w:u w:val="single"/>
        </w:rPr>
      </w:pPr>
    </w:p>
    <w:p w14:paraId="18439BE7" w14:textId="77777777" w:rsidR="00FD1FAD" w:rsidRDefault="00FD1FAD" w:rsidP="00463BB3">
      <w:pPr>
        <w:spacing w:after="0" w:line="240" w:lineRule="auto"/>
        <w:rPr>
          <w:b/>
          <w:bCs/>
          <w:u w:val="single"/>
        </w:rPr>
      </w:pPr>
    </w:p>
    <w:p w14:paraId="2DFE72DE" w14:textId="77777777" w:rsidR="00FD1FAD" w:rsidRDefault="00FD1FAD" w:rsidP="00463BB3">
      <w:pPr>
        <w:spacing w:after="0" w:line="240" w:lineRule="auto"/>
        <w:rPr>
          <w:b/>
          <w:bCs/>
          <w:u w:val="single"/>
        </w:rPr>
      </w:pPr>
    </w:p>
    <w:p w14:paraId="33F0B49C" w14:textId="415326A6" w:rsidR="00987C38" w:rsidRPr="00132570" w:rsidRDefault="00132570" w:rsidP="00463BB3">
      <w:pPr>
        <w:spacing w:after="0" w:line="240" w:lineRule="auto"/>
        <w:rPr>
          <w:b/>
          <w:u w:val="single"/>
        </w:rPr>
      </w:pPr>
      <w:r w:rsidRPr="00132570">
        <w:rPr>
          <w:b/>
          <w:bCs/>
          <w:u w:val="single"/>
        </w:rPr>
        <w:lastRenderedPageBreak/>
        <w:t>Appendix 1 – Data summary</w:t>
      </w:r>
    </w:p>
    <w:p w14:paraId="37910EC8" w14:textId="77777777" w:rsidR="00132570" w:rsidRDefault="00132570" w:rsidP="00463BB3">
      <w:pPr>
        <w:spacing w:after="0" w:line="240" w:lineRule="auto"/>
        <w:rPr>
          <w:rFonts w:asciiTheme="minorHAnsi" w:hAnsiTheme="minorHAnsi" w:cstheme="minorHAnsi"/>
        </w:rPr>
      </w:pPr>
    </w:p>
    <w:tbl>
      <w:tblPr>
        <w:tblStyle w:val="TableGrid"/>
        <w:tblW w:w="14701" w:type="dxa"/>
        <w:tblLook w:val="04A0" w:firstRow="1" w:lastRow="0" w:firstColumn="1" w:lastColumn="0" w:noHBand="0" w:noVBand="1"/>
      </w:tblPr>
      <w:tblGrid>
        <w:gridCol w:w="987"/>
        <w:gridCol w:w="1074"/>
        <w:gridCol w:w="1404"/>
        <w:gridCol w:w="1404"/>
        <w:gridCol w:w="1405"/>
        <w:gridCol w:w="1404"/>
        <w:gridCol w:w="1405"/>
        <w:gridCol w:w="1404"/>
        <w:gridCol w:w="1405"/>
        <w:gridCol w:w="1404"/>
        <w:gridCol w:w="1405"/>
      </w:tblGrid>
      <w:tr w:rsidR="003C2B36" w14:paraId="364DC2CC" w14:textId="77777777" w:rsidTr="00216AE6">
        <w:tc>
          <w:tcPr>
            <w:tcW w:w="2061" w:type="dxa"/>
            <w:gridSpan w:val="2"/>
          </w:tcPr>
          <w:p w14:paraId="351B917C" w14:textId="77777777" w:rsidR="00E043B8" w:rsidRPr="008F69E7" w:rsidRDefault="00E043B8" w:rsidP="008F69E7">
            <w:pPr>
              <w:spacing w:after="0" w:line="240" w:lineRule="auto"/>
              <w:jc w:val="center"/>
              <w:rPr>
                <w:rFonts w:asciiTheme="minorHAnsi" w:eastAsia="Times New Roman" w:hAnsiTheme="minorHAnsi" w:cstheme="minorHAnsi"/>
                <w:lang w:eastAsia="en-GB"/>
              </w:rPr>
            </w:pPr>
          </w:p>
        </w:tc>
        <w:tc>
          <w:tcPr>
            <w:tcW w:w="1404" w:type="dxa"/>
          </w:tcPr>
          <w:p w14:paraId="071AE2E6" w14:textId="77777777" w:rsidR="00E043B8" w:rsidRDefault="00E043B8" w:rsidP="008F69E7">
            <w:pPr>
              <w:spacing w:after="0" w:line="240" w:lineRule="auto"/>
              <w:jc w:val="center"/>
              <w:rPr>
                <w:rFonts w:asciiTheme="minorHAnsi" w:hAnsiTheme="minorHAnsi" w:cstheme="minorHAnsi"/>
              </w:rPr>
            </w:pPr>
            <w:r>
              <w:rPr>
                <w:rFonts w:asciiTheme="minorHAnsi" w:hAnsiTheme="minorHAnsi" w:cstheme="minorHAnsi"/>
              </w:rPr>
              <w:t>2023-24</w:t>
            </w:r>
          </w:p>
          <w:p w14:paraId="7721C310" w14:textId="3B379B00" w:rsidR="00441C37" w:rsidRPr="008F69E7" w:rsidRDefault="00441C37" w:rsidP="008F69E7">
            <w:pPr>
              <w:spacing w:after="0" w:line="240" w:lineRule="auto"/>
              <w:jc w:val="center"/>
              <w:rPr>
                <w:rFonts w:asciiTheme="minorHAnsi" w:hAnsiTheme="minorHAnsi" w:cstheme="minorHAnsi"/>
              </w:rPr>
            </w:pPr>
            <w:r>
              <w:rPr>
                <w:rFonts w:asciiTheme="minorHAnsi" w:hAnsiTheme="minorHAnsi" w:cstheme="minorHAnsi"/>
              </w:rPr>
              <w:t>ALL</w:t>
            </w:r>
          </w:p>
        </w:tc>
        <w:tc>
          <w:tcPr>
            <w:tcW w:w="1404" w:type="dxa"/>
            <w:shd w:val="clear" w:color="auto" w:fill="DBE5F1" w:themeFill="accent1" w:themeFillTint="33"/>
          </w:tcPr>
          <w:p w14:paraId="32659C8D" w14:textId="302BC7A9" w:rsidR="00E043B8" w:rsidRPr="008F69E7" w:rsidRDefault="00441C37" w:rsidP="008F69E7">
            <w:pPr>
              <w:spacing w:after="0" w:line="240" w:lineRule="auto"/>
              <w:jc w:val="center"/>
              <w:rPr>
                <w:rFonts w:asciiTheme="minorHAnsi" w:hAnsiTheme="minorHAnsi" w:cstheme="minorHAnsi"/>
              </w:rPr>
            </w:pPr>
            <w:r>
              <w:rPr>
                <w:rFonts w:asciiTheme="minorHAnsi" w:hAnsiTheme="minorHAnsi" w:cstheme="minorHAnsi"/>
              </w:rPr>
              <w:t>2023-24 PP</w:t>
            </w:r>
          </w:p>
        </w:tc>
        <w:tc>
          <w:tcPr>
            <w:tcW w:w="1405" w:type="dxa"/>
          </w:tcPr>
          <w:p w14:paraId="64372546" w14:textId="77777777" w:rsidR="00E043B8" w:rsidRDefault="00441C37" w:rsidP="008F69E7">
            <w:pPr>
              <w:spacing w:after="0" w:line="240" w:lineRule="auto"/>
              <w:jc w:val="center"/>
              <w:rPr>
                <w:rFonts w:asciiTheme="minorHAnsi" w:hAnsiTheme="minorHAnsi" w:cstheme="minorHAnsi"/>
              </w:rPr>
            </w:pPr>
            <w:r>
              <w:rPr>
                <w:rFonts w:asciiTheme="minorHAnsi" w:hAnsiTheme="minorHAnsi" w:cstheme="minorHAnsi"/>
              </w:rPr>
              <w:t>2023-24</w:t>
            </w:r>
          </w:p>
          <w:p w14:paraId="3C981FF2" w14:textId="302960C1" w:rsidR="001E1CF2" w:rsidRPr="008F69E7" w:rsidRDefault="001E1CF2" w:rsidP="008F69E7">
            <w:pPr>
              <w:spacing w:after="0" w:line="240" w:lineRule="auto"/>
              <w:jc w:val="center"/>
              <w:rPr>
                <w:rFonts w:asciiTheme="minorHAnsi" w:hAnsiTheme="minorHAnsi" w:cstheme="minorHAnsi"/>
              </w:rPr>
            </w:pPr>
            <w:r>
              <w:rPr>
                <w:rFonts w:asciiTheme="minorHAnsi" w:hAnsiTheme="minorHAnsi" w:cstheme="minorHAnsi"/>
              </w:rPr>
              <w:t>Non-PP</w:t>
            </w:r>
          </w:p>
        </w:tc>
        <w:tc>
          <w:tcPr>
            <w:tcW w:w="1404" w:type="dxa"/>
          </w:tcPr>
          <w:p w14:paraId="7DA91B22" w14:textId="795492FE" w:rsidR="00E043B8" w:rsidRPr="008F69E7" w:rsidRDefault="00E043B8" w:rsidP="008F69E7">
            <w:pPr>
              <w:spacing w:after="0" w:line="240" w:lineRule="auto"/>
              <w:jc w:val="center"/>
              <w:rPr>
                <w:rFonts w:asciiTheme="minorHAnsi" w:eastAsia="Times New Roman" w:hAnsiTheme="minorHAnsi" w:cstheme="minorHAnsi"/>
                <w:lang w:eastAsia="en-GB"/>
              </w:rPr>
            </w:pPr>
            <w:r w:rsidRPr="008F69E7">
              <w:rPr>
                <w:rFonts w:asciiTheme="minorHAnsi" w:eastAsia="Times New Roman" w:hAnsiTheme="minorHAnsi" w:cstheme="minorHAnsi"/>
                <w:lang w:eastAsia="en-GB"/>
              </w:rPr>
              <w:t>2022-23 ALL</w:t>
            </w:r>
          </w:p>
        </w:tc>
        <w:tc>
          <w:tcPr>
            <w:tcW w:w="1405" w:type="dxa"/>
            <w:shd w:val="clear" w:color="auto" w:fill="DBE5F1" w:themeFill="accent1" w:themeFillTint="33"/>
          </w:tcPr>
          <w:p w14:paraId="5B82E66E" w14:textId="69F4A4D2" w:rsidR="00E043B8" w:rsidRPr="008F69E7" w:rsidRDefault="00E043B8" w:rsidP="008F69E7">
            <w:pPr>
              <w:spacing w:after="0" w:line="240" w:lineRule="auto"/>
              <w:jc w:val="center"/>
              <w:rPr>
                <w:rFonts w:asciiTheme="minorHAnsi" w:eastAsia="Times New Roman" w:hAnsiTheme="minorHAnsi" w:cstheme="minorHAnsi"/>
                <w:lang w:eastAsia="en-GB"/>
              </w:rPr>
            </w:pPr>
            <w:r w:rsidRPr="008F69E7">
              <w:rPr>
                <w:rFonts w:asciiTheme="minorHAnsi" w:eastAsia="Times New Roman" w:hAnsiTheme="minorHAnsi" w:cstheme="minorHAnsi"/>
                <w:lang w:eastAsia="en-GB"/>
              </w:rPr>
              <w:t>2022-23 PP</w:t>
            </w:r>
          </w:p>
        </w:tc>
        <w:tc>
          <w:tcPr>
            <w:tcW w:w="1404" w:type="dxa"/>
          </w:tcPr>
          <w:p w14:paraId="47CEE633" w14:textId="6963F244" w:rsidR="00E043B8" w:rsidRPr="008F69E7" w:rsidRDefault="00E043B8" w:rsidP="008F69E7">
            <w:pPr>
              <w:spacing w:after="0" w:line="240" w:lineRule="auto"/>
              <w:jc w:val="center"/>
              <w:rPr>
                <w:rFonts w:asciiTheme="minorHAnsi" w:eastAsia="Times New Roman" w:hAnsiTheme="minorHAnsi" w:cstheme="minorHAnsi"/>
                <w:lang w:eastAsia="en-GB"/>
              </w:rPr>
            </w:pPr>
            <w:r w:rsidRPr="008F69E7">
              <w:rPr>
                <w:rFonts w:asciiTheme="minorHAnsi" w:eastAsia="Times New Roman" w:hAnsiTheme="minorHAnsi" w:cstheme="minorHAnsi"/>
                <w:lang w:eastAsia="en-GB"/>
              </w:rPr>
              <w:t xml:space="preserve">2022-23 </w:t>
            </w:r>
            <w:proofErr w:type="gramStart"/>
            <w:r w:rsidRPr="008F69E7">
              <w:rPr>
                <w:rFonts w:asciiTheme="minorHAnsi" w:eastAsia="Times New Roman" w:hAnsiTheme="minorHAnsi" w:cstheme="minorHAnsi"/>
                <w:lang w:eastAsia="en-GB"/>
              </w:rPr>
              <w:t>Non-PP</w:t>
            </w:r>
            <w:proofErr w:type="gramEnd"/>
          </w:p>
        </w:tc>
        <w:tc>
          <w:tcPr>
            <w:tcW w:w="1405" w:type="dxa"/>
          </w:tcPr>
          <w:p w14:paraId="6761FD01" w14:textId="3A51FCB6" w:rsidR="00E043B8" w:rsidRPr="008F69E7" w:rsidRDefault="00E043B8" w:rsidP="008F69E7">
            <w:pPr>
              <w:spacing w:after="0" w:line="240" w:lineRule="auto"/>
              <w:jc w:val="center"/>
              <w:rPr>
                <w:rFonts w:asciiTheme="minorHAnsi" w:eastAsia="Times New Roman" w:hAnsiTheme="minorHAnsi" w:cstheme="minorHAnsi"/>
                <w:lang w:eastAsia="en-GB"/>
              </w:rPr>
            </w:pPr>
            <w:r w:rsidRPr="008F69E7">
              <w:rPr>
                <w:rFonts w:asciiTheme="minorHAnsi" w:eastAsia="Times New Roman" w:hAnsiTheme="minorHAnsi" w:cstheme="minorHAnsi"/>
                <w:lang w:eastAsia="en-GB"/>
              </w:rPr>
              <w:t>2021-22 ALL</w:t>
            </w:r>
          </w:p>
        </w:tc>
        <w:tc>
          <w:tcPr>
            <w:tcW w:w="1404" w:type="dxa"/>
            <w:shd w:val="clear" w:color="auto" w:fill="DBE5F1" w:themeFill="accent1" w:themeFillTint="33"/>
          </w:tcPr>
          <w:p w14:paraId="3533FE55" w14:textId="76589C12" w:rsidR="00E043B8" w:rsidRPr="008F69E7" w:rsidRDefault="00E043B8" w:rsidP="008F69E7">
            <w:pPr>
              <w:spacing w:after="0" w:line="240" w:lineRule="auto"/>
              <w:jc w:val="center"/>
              <w:rPr>
                <w:rFonts w:asciiTheme="minorHAnsi" w:eastAsia="Times New Roman" w:hAnsiTheme="minorHAnsi" w:cstheme="minorHAnsi"/>
                <w:lang w:eastAsia="en-GB"/>
              </w:rPr>
            </w:pPr>
            <w:r w:rsidRPr="008F69E7">
              <w:rPr>
                <w:rFonts w:asciiTheme="minorHAnsi" w:eastAsia="Times New Roman" w:hAnsiTheme="minorHAnsi" w:cstheme="minorHAnsi"/>
                <w:lang w:eastAsia="en-GB"/>
              </w:rPr>
              <w:t>2021-22 PP</w:t>
            </w:r>
          </w:p>
        </w:tc>
        <w:tc>
          <w:tcPr>
            <w:tcW w:w="1405" w:type="dxa"/>
          </w:tcPr>
          <w:p w14:paraId="26B0DD18" w14:textId="23CFC15A" w:rsidR="00E043B8" w:rsidRPr="008F69E7" w:rsidRDefault="00E043B8" w:rsidP="008F69E7">
            <w:pPr>
              <w:spacing w:after="0" w:line="240" w:lineRule="auto"/>
              <w:jc w:val="center"/>
              <w:rPr>
                <w:rFonts w:asciiTheme="minorHAnsi" w:eastAsia="Times New Roman" w:hAnsiTheme="minorHAnsi" w:cstheme="minorHAnsi"/>
                <w:lang w:eastAsia="en-GB"/>
              </w:rPr>
            </w:pPr>
            <w:r w:rsidRPr="008F69E7">
              <w:rPr>
                <w:rFonts w:asciiTheme="minorHAnsi" w:eastAsia="Times New Roman" w:hAnsiTheme="minorHAnsi" w:cstheme="minorHAnsi"/>
                <w:lang w:eastAsia="en-GB"/>
              </w:rPr>
              <w:t xml:space="preserve">2021-22 </w:t>
            </w:r>
            <w:proofErr w:type="gramStart"/>
            <w:r w:rsidRPr="008F69E7">
              <w:rPr>
                <w:rFonts w:asciiTheme="minorHAnsi" w:eastAsia="Times New Roman" w:hAnsiTheme="minorHAnsi" w:cstheme="minorHAnsi"/>
                <w:lang w:eastAsia="en-GB"/>
              </w:rPr>
              <w:t>Non-PP</w:t>
            </w:r>
            <w:proofErr w:type="gramEnd"/>
          </w:p>
        </w:tc>
      </w:tr>
      <w:tr w:rsidR="003C2B36" w14:paraId="41E79867" w14:textId="77777777" w:rsidTr="00124B76">
        <w:tc>
          <w:tcPr>
            <w:tcW w:w="2061" w:type="dxa"/>
            <w:gridSpan w:val="2"/>
          </w:tcPr>
          <w:p w14:paraId="6036DC35" w14:textId="3EE1952F" w:rsidR="00E043B8" w:rsidRPr="008F69E7" w:rsidRDefault="00E043B8" w:rsidP="008F69E7">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Attendance</w:t>
            </w:r>
          </w:p>
        </w:tc>
        <w:tc>
          <w:tcPr>
            <w:tcW w:w="1404" w:type="dxa"/>
          </w:tcPr>
          <w:p w14:paraId="71EB5142" w14:textId="2080AFFD" w:rsidR="00E043B8" w:rsidRPr="00942C58" w:rsidRDefault="00124B76" w:rsidP="008F69E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93.6%</w:t>
            </w:r>
          </w:p>
        </w:tc>
        <w:tc>
          <w:tcPr>
            <w:tcW w:w="1404" w:type="dxa"/>
            <w:shd w:val="clear" w:color="auto" w:fill="DBE5F1" w:themeFill="accent1" w:themeFillTint="33"/>
          </w:tcPr>
          <w:p w14:paraId="7E8BF4BC" w14:textId="55FB26FB" w:rsidR="00E043B8" w:rsidRPr="00942C58" w:rsidRDefault="00651B5C" w:rsidP="008F69E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92.5%</w:t>
            </w:r>
          </w:p>
        </w:tc>
        <w:tc>
          <w:tcPr>
            <w:tcW w:w="1405" w:type="dxa"/>
          </w:tcPr>
          <w:p w14:paraId="2B466C3D" w14:textId="04C35E09" w:rsidR="00E043B8" w:rsidRPr="00942C58" w:rsidRDefault="003A676D" w:rsidP="008F69E7">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94.9</w:t>
            </w:r>
            <w:r w:rsidR="00651B5C">
              <w:rPr>
                <w:rFonts w:asciiTheme="minorHAnsi" w:hAnsiTheme="minorHAnsi" w:cstheme="minorHAnsi"/>
                <w:sz w:val="20"/>
                <w:szCs w:val="20"/>
              </w:rPr>
              <w:t>%</w:t>
            </w:r>
          </w:p>
        </w:tc>
        <w:tc>
          <w:tcPr>
            <w:tcW w:w="1404" w:type="dxa"/>
          </w:tcPr>
          <w:p w14:paraId="33AABDC3" w14:textId="5525EEC9" w:rsidR="00E043B8" w:rsidRPr="00942C58" w:rsidRDefault="00E043B8" w:rsidP="008F69E7">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93.2%</w:t>
            </w:r>
          </w:p>
        </w:tc>
        <w:tc>
          <w:tcPr>
            <w:tcW w:w="1405" w:type="dxa"/>
            <w:shd w:val="clear" w:color="auto" w:fill="DBE5F1" w:themeFill="accent1" w:themeFillTint="33"/>
          </w:tcPr>
          <w:p w14:paraId="383EB9E2" w14:textId="01D8B533" w:rsidR="00E043B8" w:rsidRPr="00942C58" w:rsidRDefault="00E043B8" w:rsidP="008F69E7">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92.3%</w:t>
            </w:r>
          </w:p>
        </w:tc>
        <w:tc>
          <w:tcPr>
            <w:tcW w:w="1404" w:type="dxa"/>
          </w:tcPr>
          <w:p w14:paraId="596DD6FC" w14:textId="1A53967D" w:rsidR="00E043B8" w:rsidRPr="00942C58" w:rsidRDefault="00E043B8" w:rsidP="008F69E7">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94.9%</w:t>
            </w:r>
          </w:p>
        </w:tc>
        <w:tc>
          <w:tcPr>
            <w:tcW w:w="1405" w:type="dxa"/>
          </w:tcPr>
          <w:p w14:paraId="65DD711D" w14:textId="4B229B3E" w:rsidR="00E043B8" w:rsidRPr="00942C58" w:rsidRDefault="00E043B8" w:rsidP="008F69E7">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94.1%</w:t>
            </w:r>
          </w:p>
        </w:tc>
        <w:tc>
          <w:tcPr>
            <w:tcW w:w="1404" w:type="dxa"/>
            <w:shd w:val="clear" w:color="auto" w:fill="DBE5F1" w:themeFill="accent1" w:themeFillTint="33"/>
          </w:tcPr>
          <w:p w14:paraId="7B495121" w14:textId="6984E7EA" w:rsidR="00E043B8" w:rsidRPr="00942C58" w:rsidRDefault="00E043B8" w:rsidP="008F69E7">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93.9%</w:t>
            </w:r>
          </w:p>
        </w:tc>
        <w:tc>
          <w:tcPr>
            <w:tcW w:w="1405" w:type="dxa"/>
          </w:tcPr>
          <w:p w14:paraId="46BA58E6" w14:textId="25548BAF" w:rsidR="00E043B8" w:rsidRPr="00942C58" w:rsidRDefault="00E043B8" w:rsidP="008F69E7">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94.7%</w:t>
            </w:r>
          </w:p>
        </w:tc>
      </w:tr>
      <w:tr w:rsidR="003C2B36" w14:paraId="4CFAFD6C" w14:textId="77777777" w:rsidTr="00216AE6">
        <w:tc>
          <w:tcPr>
            <w:tcW w:w="2061" w:type="dxa"/>
            <w:gridSpan w:val="2"/>
          </w:tcPr>
          <w:p w14:paraId="0AFF91A8" w14:textId="21163BDC" w:rsidR="00E043B8" w:rsidRPr="008F69E7" w:rsidRDefault="00E043B8" w:rsidP="00374F66">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EYFS GLD</w:t>
            </w:r>
          </w:p>
        </w:tc>
        <w:tc>
          <w:tcPr>
            <w:tcW w:w="1404" w:type="dxa"/>
          </w:tcPr>
          <w:p w14:paraId="3445C0FC" w14:textId="27FDC654" w:rsidR="00E043B8" w:rsidRPr="00942C58" w:rsidRDefault="001B2A48"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36%</w:t>
            </w:r>
            <w:r w:rsidR="00586E3C">
              <w:rPr>
                <w:rFonts w:asciiTheme="minorHAnsi" w:hAnsiTheme="minorHAnsi" w:cstheme="minorHAnsi"/>
                <w:sz w:val="20"/>
                <w:szCs w:val="20"/>
              </w:rPr>
              <w:t xml:space="preserve"> (5/14)</w:t>
            </w:r>
          </w:p>
        </w:tc>
        <w:tc>
          <w:tcPr>
            <w:tcW w:w="1404" w:type="dxa"/>
            <w:shd w:val="clear" w:color="auto" w:fill="DBE5F1" w:themeFill="accent1" w:themeFillTint="33"/>
          </w:tcPr>
          <w:p w14:paraId="6005E3D1" w14:textId="3C07B5DA" w:rsidR="00E043B8" w:rsidRDefault="00E771C9"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33%</w:t>
            </w:r>
            <w:r w:rsidR="00C1515D">
              <w:rPr>
                <w:rFonts w:asciiTheme="minorHAnsi" w:hAnsiTheme="minorHAnsi" w:cstheme="minorHAnsi"/>
                <w:sz w:val="20"/>
                <w:szCs w:val="20"/>
              </w:rPr>
              <w:t xml:space="preserve"> (2/</w:t>
            </w:r>
            <w:r w:rsidR="00586E3C">
              <w:rPr>
                <w:rFonts w:asciiTheme="minorHAnsi" w:hAnsiTheme="minorHAnsi" w:cstheme="minorHAnsi"/>
                <w:sz w:val="20"/>
                <w:szCs w:val="20"/>
              </w:rPr>
              <w:t>9)</w:t>
            </w:r>
          </w:p>
          <w:p w14:paraId="7E15568B" w14:textId="758F685B" w:rsidR="003D7638" w:rsidRPr="003C2B36" w:rsidRDefault="003C2B36" w:rsidP="003C2B36">
            <w:pPr>
              <w:spacing w:after="0" w:line="240" w:lineRule="auto"/>
              <w:rPr>
                <w:rFonts w:asciiTheme="minorHAnsi" w:hAnsiTheme="minorHAnsi" w:cstheme="minorHAnsi"/>
                <w:color w:val="FF0000"/>
                <w:sz w:val="20"/>
                <w:szCs w:val="20"/>
              </w:rPr>
            </w:pPr>
            <w:r>
              <w:rPr>
                <w:rFonts w:asciiTheme="minorHAnsi" w:hAnsiTheme="minorHAnsi" w:cstheme="minorHAnsi"/>
                <w:color w:val="FF0000"/>
                <w:sz w:val="20"/>
                <w:szCs w:val="20"/>
              </w:rPr>
              <w:t xml:space="preserve">- </w:t>
            </w:r>
            <w:r w:rsidRPr="003C2B36">
              <w:rPr>
                <w:rFonts w:asciiTheme="minorHAnsi" w:hAnsiTheme="minorHAnsi" w:cstheme="minorHAnsi"/>
                <w:color w:val="FF0000"/>
                <w:sz w:val="20"/>
                <w:szCs w:val="20"/>
              </w:rPr>
              <w:t>42% (SEND)</w:t>
            </w:r>
          </w:p>
        </w:tc>
        <w:tc>
          <w:tcPr>
            <w:tcW w:w="1405" w:type="dxa"/>
          </w:tcPr>
          <w:p w14:paraId="4CF1E264" w14:textId="2C9175BB" w:rsidR="008017E3" w:rsidRPr="00942C58" w:rsidRDefault="008017E3" w:rsidP="008017E3">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60% </w:t>
            </w:r>
            <w:r w:rsidR="00C1515D">
              <w:rPr>
                <w:rFonts w:asciiTheme="minorHAnsi" w:hAnsiTheme="minorHAnsi" w:cstheme="minorHAnsi"/>
                <w:sz w:val="20"/>
                <w:szCs w:val="20"/>
              </w:rPr>
              <w:t>(3/5)</w:t>
            </w:r>
          </w:p>
        </w:tc>
        <w:tc>
          <w:tcPr>
            <w:tcW w:w="1404" w:type="dxa"/>
          </w:tcPr>
          <w:p w14:paraId="098398E6" w14:textId="710E4ECC"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86% (6/7)</w:t>
            </w:r>
          </w:p>
        </w:tc>
        <w:tc>
          <w:tcPr>
            <w:tcW w:w="1405" w:type="dxa"/>
            <w:shd w:val="clear" w:color="auto" w:fill="DBE5F1" w:themeFill="accent1" w:themeFillTint="33"/>
          </w:tcPr>
          <w:p w14:paraId="188D723E" w14:textId="1ECC1CD6" w:rsidR="00E043B8" w:rsidRPr="00942C58" w:rsidRDefault="00E043B8" w:rsidP="00374F66">
            <w:pPr>
              <w:spacing w:after="0" w:line="240" w:lineRule="auto"/>
              <w:jc w:val="center"/>
              <w:rPr>
                <w:rFonts w:asciiTheme="minorHAnsi" w:eastAsia="Times New Roman" w:hAnsiTheme="minorHAnsi" w:cstheme="minorHAnsi"/>
                <w:color w:val="00B050"/>
                <w:sz w:val="20"/>
                <w:szCs w:val="20"/>
                <w:lang w:eastAsia="en-GB"/>
              </w:rPr>
            </w:pPr>
            <w:r w:rsidRPr="00942C58">
              <w:rPr>
                <w:rFonts w:asciiTheme="minorHAnsi" w:eastAsia="Times New Roman" w:hAnsiTheme="minorHAnsi" w:cstheme="minorHAnsi"/>
                <w:sz w:val="20"/>
                <w:szCs w:val="20"/>
                <w:lang w:eastAsia="en-GB"/>
              </w:rPr>
              <w:t>75% (3/4)</w:t>
            </w:r>
            <w:r w:rsidRPr="00942C58">
              <w:rPr>
                <w:rFonts w:asciiTheme="minorHAnsi" w:eastAsia="Times New Roman" w:hAnsiTheme="minorHAnsi" w:cstheme="minorHAnsi"/>
                <w:color w:val="00B050"/>
                <w:sz w:val="20"/>
                <w:szCs w:val="20"/>
                <w:lang w:eastAsia="en-GB"/>
              </w:rPr>
              <w:t xml:space="preserve"> +15%</w:t>
            </w:r>
          </w:p>
        </w:tc>
        <w:tc>
          <w:tcPr>
            <w:tcW w:w="1404" w:type="dxa"/>
          </w:tcPr>
          <w:p w14:paraId="05648154" w14:textId="5F66AA83"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100% (3/3)</w:t>
            </w:r>
          </w:p>
        </w:tc>
        <w:tc>
          <w:tcPr>
            <w:tcW w:w="1405" w:type="dxa"/>
          </w:tcPr>
          <w:p w14:paraId="7BC22DF5" w14:textId="11627D3E"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71% (5/7)</w:t>
            </w:r>
          </w:p>
        </w:tc>
        <w:tc>
          <w:tcPr>
            <w:tcW w:w="1404" w:type="dxa"/>
            <w:shd w:val="clear" w:color="auto" w:fill="DBE5F1" w:themeFill="accent1" w:themeFillTint="33"/>
          </w:tcPr>
          <w:p w14:paraId="636A03EB" w14:textId="01375D51"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60% (3/5)</w:t>
            </w:r>
          </w:p>
        </w:tc>
        <w:tc>
          <w:tcPr>
            <w:tcW w:w="1405" w:type="dxa"/>
          </w:tcPr>
          <w:p w14:paraId="75252835" w14:textId="61799875"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100% (2/2)</w:t>
            </w:r>
          </w:p>
        </w:tc>
      </w:tr>
      <w:tr w:rsidR="003C2B36" w14:paraId="1E95DE2F" w14:textId="77777777" w:rsidTr="00216AE6">
        <w:tc>
          <w:tcPr>
            <w:tcW w:w="2061" w:type="dxa"/>
            <w:gridSpan w:val="2"/>
          </w:tcPr>
          <w:p w14:paraId="53D8F465" w14:textId="08216799" w:rsidR="00E043B8" w:rsidRPr="008F69E7" w:rsidRDefault="00E043B8" w:rsidP="00374F66">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Y1 PSC</w:t>
            </w:r>
          </w:p>
        </w:tc>
        <w:tc>
          <w:tcPr>
            <w:tcW w:w="1404" w:type="dxa"/>
          </w:tcPr>
          <w:p w14:paraId="2DF891B5" w14:textId="4A3BC055" w:rsidR="00E043B8" w:rsidRPr="00942C58" w:rsidRDefault="00B54243"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90%</w:t>
            </w:r>
            <w:r w:rsidR="00586E3C">
              <w:rPr>
                <w:rFonts w:asciiTheme="minorHAnsi" w:hAnsiTheme="minorHAnsi" w:cstheme="minorHAnsi"/>
                <w:sz w:val="20"/>
                <w:szCs w:val="20"/>
              </w:rPr>
              <w:t xml:space="preserve"> (9/10)</w:t>
            </w:r>
          </w:p>
        </w:tc>
        <w:tc>
          <w:tcPr>
            <w:tcW w:w="1404" w:type="dxa"/>
            <w:shd w:val="clear" w:color="auto" w:fill="DBE5F1" w:themeFill="accent1" w:themeFillTint="33"/>
          </w:tcPr>
          <w:p w14:paraId="49BD0626" w14:textId="77777777" w:rsidR="00E043B8" w:rsidRDefault="003D7638"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100%</w:t>
            </w:r>
            <w:r w:rsidR="00586E3C">
              <w:rPr>
                <w:rFonts w:asciiTheme="minorHAnsi" w:hAnsiTheme="minorHAnsi" w:cstheme="minorHAnsi"/>
                <w:sz w:val="20"/>
                <w:szCs w:val="20"/>
              </w:rPr>
              <w:t xml:space="preserve"> </w:t>
            </w:r>
            <w:r w:rsidR="00783BE9">
              <w:rPr>
                <w:rFonts w:asciiTheme="minorHAnsi" w:hAnsiTheme="minorHAnsi" w:cstheme="minorHAnsi"/>
                <w:sz w:val="20"/>
                <w:szCs w:val="20"/>
              </w:rPr>
              <w:t>(5/5)</w:t>
            </w:r>
          </w:p>
          <w:p w14:paraId="3D82D172" w14:textId="3AE65459" w:rsidR="004150E4" w:rsidRPr="00CC528D" w:rsidRDefault="00CC528D" w:rsidP="00374F66">
            <w:pPr>
              <w:spacing w:after="0" w:line="240" w:lineRule="auto"/>
              <w:jc w:val="center"/>
              <w:rPr>
                <w:rFonts w:asciiTheme="minorHAnsi" w:hAnsiTheme="minorHAnsi" w:cstheme="minorHAnsi"/>
                <w:color w:val="92D050"/>
                <w:sz w:val="20"/>
                <w:szCs w:val="20"/>
              </w:rPr>
            </w:pPr>
            <w:r>
              <w:rPr>
                <w:rFonts w:asciiTheme="minorHAnsi" w:hAnsiTheme="minorHAnsi" w:cstheme="minorHAnsi"/>
                <w:color w:val="92D050"/>
                <w:sz w:val="20"/>
                <w:szCs w:val="20"/>
              </w:rPr>
              <w:t>+34%</w:t>
            </w:r>
          </w:p>
        </w:tc>
        <w:tc>
          <w:tcPr>
            <w:tcW w:w="1405" w:type="dxa"/>
          </w:tcPr>
          <w:p w14:paraId="6CAE7199" w14:textId="3D4BD223" w:rsidR="00E043B8" w:rsidRPr="00942C58" w:rsidRDefault="00783BE9"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80% (4/5)</w:t>
            </w:r>
          </w:p>
        </w:tc>
        <w:tc>
          <w:tcPr>
            <w:tcW w:w="1404" w:type="dxa"/>
          </w:tcPr>
          <w:p w14:paraId="4524B091" w14:textId="09C8854C"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86% (6/7)</w:t>
            </w:r>
          </w:p>
        </w:tc>
        <w:tc>
          <w:tcPr>
            <w:tcW w:w="1405" w:type="dxa"/>
            <w:shd w:val="clear" w:color="auto" w:fill="DBE5F1" w:themeFill="accent1" w:themeFillTint="33"/>
          </w:tcPr>
          <w:p w14:paraId="2B967767" w14:textId="75B7169F" w:rsidR="00E043B8" w:rsidRPr="00942C58" w:rsidRDefault="00E043B8" w:rsidP="00374F66">
            <w:pPr>
              <w:spacing w:after="0" w:line="240" w:lineRule="auto"/>
              <w:jc w:val="center"/>
              <w:rPr>
                <w:rFonts w:asciiTheme="minorHAnsi" w:eastAsia="Times New Roman" w:hAnsiTheme="minorHAnsi" w:cstheme="minorHAnsi"/>
                <w:color w:val="00B050"/>
                <w:sz w:val="20"/>
                <w:szCs w:val="20"/>
                <w:lang w:eastAsia="en-GB"/>
              </w:rPr>
            </w:pPr>
            <w:r w:rsidRPr="00942C58">
              <w:rPr>
                <w:rFonts w:asciiTheme="minorHAnsi" w:eastAsia="Times New Roman" w:hAnsiTheme="minorHAnsi" w:cstheme="minorHAnsi"/>
                <w:sz w:val="20"/>
                <w:szCs w:val="20"/>
                <w:lang w:eastAsia="en-GB"/>
              </w:rPr>
              <w:t xml:space="preserve">80% (4/5) </w:t>
            </w:r>
            <w:r w:rsidRPr="00942C58">
              <w:rPr>
                <w:rFonts w:asciiTheme="minorHAnsi" w:eastAsia="Times New Roman" w:hAnsiTheme="minorHAnsi" w:cstheme="minorHAnsi"/>
                <w:color w:val="00B050"/>
                <w:sz w:val="20"/>
                <w:szCs w:val="20"/>
                <w:lang w:eastAsia="en-GB"/>
              </w:rPr>
              <w:t>+ 66%</w:t>
            </w:r>
          </w:p>
        </w:tc>
        <w:tc>
          <w:tcPr>
            <w:tcW w:w="1404" w:type="dxa"/>
          </w:tcPr>
          <w:p w14:paraId="466F8442" w14:textId="6F3AD6BF"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100% (2/2)</w:t>
            </w:r>
          </w:p>
        </w:tc>
        <w:tc>
          <w:tcPr>
            <w:tcW w:w="1405" w:type="dxa"/>
          </w:tcPr>
          <w:p w14:paraId="3F31A9A6" w14:textId="68F3448A"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36% (4/11)</w:t>
            </w:r>
          </w:p>
        </w:tc>
        <w:tc>
          <w:tcPr>
            <w:tcW w:w="1404" w:type="dxa"/>
            <w:shd w:val="clear" w:color="auto" w:fill="DBE5F1" w:themeFill="accent1" w:themeFillTint="33"/>
          </w:tcPr>
          <w:p w14:paraId="6F461EB1" w14:textId="4AF9B7E8"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14% (1/7)</w:t>
            </w:r>
          </w:p>
        </w:tc>
        <w:tc>
          <w:tcPr>
            <w:tcW w:w="1405" w:type="dxa"/>
          </w:tcPr>
          <w:p w14:paraId="701460E3" w14:textId="2C03DB96"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75% (3/4)</w:t>
            </w:r>
          </w:p>
        </w:tc>
      </w:tr>
      <w:tr w:rsidR="003C2B36" w14:paraId="0F640CA4" w14:textId="77777777" w:rsidTr="00216AE6">
        <w:tc>
          <w:tcPr>
            <w:tcW w:w="987" w:type="dxa"/>
            <w:vMerge w:val="restart"/>
          </w:tcPr>
          <w:p w14:paraId="35481318" w14:textId="77777777" w:rsidR="00E043B8" w:rsidRDefault="00E043B8" w:rsidP="0098797A">
            <w:pPr>
              <w:spacing w:after="0" w:line="240" w:lineRule="auto"/>
              <w:jc w:val="center"/>
              <w:rPr>
                <w:rFonts w:asciiTheme="minorHAnsi" w:eastAsia="Times New Roman" w:hAnsiTheme="minorHAnsi" w:cstheme="minorHAnsi"/>
                <w:lang w:eastAsia="en-GB"/>
              </w:rPr>
            </w:pPr>
          </w:p>
          <w:p w14:paraId="3B101EBE" w14:textId="1F8B7DEC" w:rsidR="00E043B8" w:rsidRPr="008F69E7" w:rsidRDefault="00E043B8" w:rsidP="0098797A">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KS1</w:t>
            </w:r>
          </w:p>
        </w:tc>
        <w:tc>
          <w:tcPr>
            <w:tcW w:w="1074" w:type="dxa"/>
          </w:tcPr>
          <w:p w14:paraId="38852F5A" w14:textId="39D6F8DC" w:rsidR="00E043B8" w:rsidRPr="008F69E7" w:rsidRDefault="00E043B8" w:rsidP="0098797A">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Reading</w:t>
            </w:r>
          </w:p>
        </w:tc>
        <w:tc>
          <w:tcPr>
            <w:tcW w:w="1404" w:type="dxa"/>
          </w:tcPr>
          <w:p w14:paraId="70576359" w14:textId="6B45CE6D" w:rsidR="00E043B8" w:rsidRPr="00942C58" w:rsidRDefault="00923FB7" w:rsidP="009879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75</w:t>
            </w:r>
            <w:r w:rsidR="00CF0035">
              <w:rPr>
                <w:rFonts w:asciiTheme="minorHAnsi" w:hAnsiTheme="minorHAnsi" w:cstheme="minorHAnsi"/>
                <w:sz w:val="20"/>
                <w:szCs w:val="20"/>
              </w:rPr>
              <w:t>%</w:t>
            </w:r>
          </w:p>
        </w:tc>
        <w:tc>
          <w:tcPr>
            <w:tcW w:w="1404" w:type="dxa"/>
            <w:shd w:val="clear" w:color="auto" w:fill="DBE5F1" w:themeFill="accent1" w:themeFillTint="33"/>
          </w:tcPr>
          <w:p w14:paraId="62A3EB27" w14:textId="77777777" w:rsidR="00CC528D" w:rsidRDefault="009462B3" w:rsidP="009879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 xml:space="preserve">67% (4/6)   </w:t>
            </w:r>
          </w:p>
          <w:p w14:paraId="53713629" w14:textId="37159088" w:rsidR="00E043B8" w:rsidRPr="00942C58" w:rsidRDefault="00CC528D" w:rsidP="0098797A">
            <w:pPr>
              <w:spacing w:after="0" w:line="240" w:lineRule="auto"/>
              <w:jc w:val="center"/>
              <w:rPr>
                <w:rFonts w:asciiTheme="minorHAnsi" w:hAnsiTheme="minorHAnsi" w:cstheme="minorHAnsi"/>
                <w:sz w:val="20"/>
                <w:szCs w:val="20"/>
              </w:rPr>
            </w:pPr>
            <w:r w:rsidRPr="00CC528D">
              <w:rPr>
                <w:rFonts w:asciiTheme="minorHAnsi" w:hAnsiTheme="minorHAnsi" w:cstheme="minorHAnsi"/>
                <w:color w:val="92D050"/>
                <w:sz w:val="20"/>
                <w:szCs w:val="20"/>
              </w:rPr>
              <w:t>+67%</w:t>
            </w:r>
            <w:r w:rsidR="009462B3" w:rsidRPr="00CC528D">
              <w:rPr>
                <w:rFonts w:asciiTheme="minorHAnsi" w:hAnsiTheme="minorHAnsi" w:cstheme="minorHAnsi"/>
                <w:color w:val="92D050"/>
                <w:sz w:val="20"/>
                <w:szCs w:val="20"/>
              </w:rPr>
              <w:t xml:space="preserve">        </w:t>
            </w:r>
          </w:p>
        </w:tc>
        <w:tc>
          <w:tcPr>
            <w:tcW w:w="1405" w:type="dxa"/>
          </w:tcPr>
          <w:p w14:paraId="5C6C4448" w14:textId="26804402" w:rsidR="00E043B8" w:rsidRPr="00942C58" w:rsidRDefault="009462B3" w:rsidP="009879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100% (2/2)</w:t>
            </w:r>
          </w:p>
        </w:tc>
        <w:tc>
          <w:tcPr>
            <w:tcW w:w="1404" w:type="dxa"/>
          </w:tcPr>
          <w:p w14:paraId="68765800" w14:textId="2BE71DBA" w:rsidR="00E043B8" w:rsidRPr="00942C58" w:rsidRDefault="00E043B8" w:rsidP="0098797A">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31% (4/13)</w:t>
            </w:r>
          </w:p>
        </w:tc>
        <w:tc>
          <w:tcPr>
            <w:tcW w:w="1405" w:type="dxa"/>
            <w:shd w:val="clear" w:color="auto" w:fill="DBE5F1" w:themeFill="accent1" w:themeFillTint="33"/>
          </w:tcPr>
          <w:p w14:paraId="1F1ADCB5" w14:textId="01B4A312" w:rsidR="00E043B8" w:rsidRPr="00942C58" w:rsidRDefault="00E043B8" w:rsidP="0098797A">
            <w:pPr>
              <w:spacing w:after="0" w:line="240" w:lineRule="auto"/>
              <w:jc w:val="center"/>
              <w:rPr>
                <w:rFonts w:asciiTheme="minorHAnsi" w:eastAsia="Times New Roman" w:hAnsiTheme="minorHAnsi" w:cstheme="minorHAnsi"/>
                <w:color w:val="FF0000"/>
                <w:sz w:val="20"/>
                <w:szCs w:val="20"/>
                <w:lang w:eastAsia="en-GB"/>
              </w:rPr>
            </w:pPr>
            <w:r w:rsidRPr="00942C58">
              <w:rPr>
                <w:rFonts w:asciiTheme="minorHAnsi" w:eastAsia="Times New Roman" w:hAnsiTheme="minorHAnsi" w:cstheme="minorHAnsi"/>
                <w:sz w:val="20"/>
                <w:szCs w:val="20"/>
                <w:lang w:eastAsia="en-GB"/>
              </w:rPr>
              <w:t xml:space="preserve">0% (0/8) </w:t>
            </w:r>
            <w:r w:rsidRPr="00942C58">
              <w:rPr>
                <w:rFonts w:asciiTheme="minorHAnsi" w:eastAsia="Times New Roman" w:hAnsiTheme="minorHAnsi" w:cstheme="minorHAnsi"/>
                <w:color w:val="FF0000"/>
                <w:sz w:val="20"/>
                <w:szCs w:val="20"/>
                <w:lang w:eastAsia="en-GB"/>
              </w:rPr>
              <w:t>-50%</w:t>
            </w:r>
          </w:p>
        </w:tc>
        <w:tc>
          <w:tcPr>
            <w:tcW w:w="1404" w:type="dxa"/>
          </w:tcPr>
          <w:p w14:paraId="6491C406" w14:textId="5262198B" w:rsidR="00E043B8" w:rsidRPr="00942C58" w:rsidRDefault="00E043B8" w:rsidP="0098797A">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80% (4/5)</w:t>
            </w:r>
          </w:p>
        </w:tc>
        <w:tc>
          <w:tcPr>
            <w:tcW w:w="1405" w:type="dxa"/>
          </w:tcPr>
          <w:p w14:paraId="471A03D4" w14:textId="71E627A1" w:rsidR="00E043B8" w:rsidRPr="00942C58" w:rsidRDefault="00E043B8" w:rsidP="0098797A">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38% (3/8)</w:t>
            </w:r>
          </w:p>
        </w:tc>
        <w:tc>
          <w:tcPr>
            <w:tcW w:w="1404" w:type="dxa"/>
            <w:shd w:val="clear" w:color="auto" w:fill="DBE5F1" w:themeFill="accent1" w:themeFillTint="33"/>
          </w:tcPr>
          <w:p w14:paraId="4C11BA33" w14:textId="728BD480" w:rsidR="00E043B8" w:rsidRPr="00942C58" w:rsidRDefault="00E043B8" w:rsidP="0098797A">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50% (2/4)</w:t>
            </w:r>
          </w:p>
        </w:tc>
        <w:tc>
          <w:tcPr>
            <w:tcW w:w="1405" w:type="dxa"/>
          </w:tcPr>
          <w:p w14:paraId="5F211CBA" w14:textId="79643639" w:rsidR="00E043B8" w:rsidRPr="00942C58" w:rsidRDefault="00E043B8" w:rsidP="0098797A">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25% (1/4)</w:t>
            </w:r>
          </w:p>
        </w:tc>
      </w:tr>
      <w:tr w:rsidR="003C2B36" w14:paraId="52A0D428" w14:textId="77777777" w:rsidTr="00216AE6">
        <w:tc>
          <w:tcPr>
            <w:tcW w:w="987" w:type="dxa"/>
            <w:vMerge/>
          </w:tcPr>
          <w:p w14:paraId="263B3CCF" w14:textId="77777777" w:rsidR="00E043B8" w:rsidRPr="008F69E7" w:rsidRDefault="00E043B8" w:rsidP="0098797A">
            <w:pPr>
              <w:spacing w:after="0" w:line="240" w:lineRule="auto"/>
              <w:jc w:val="center"/>
              <w:rPr>
                <w:rFonts w:asciiTheme="minorHAnsi" w:eastAsia="Times New Roman" w:hAnsiTheme="minorHAnsi" w:cstheme="minorHAnsi"/>
                <w:lang w:eastAsia="en-GB"/>
              </w:rPr>
            </w:pPr>
          </w:p>
        </w:tc>
        <w:tc>
          <w:tcPr>
            <w:tcW w:w="1074" w:type="dxa"/>
          </w:tcPr>
          <w:p w14:paraId="0C45AEE5" w14:textId="3D85CC82" w:rsidR="00E043B8" w:rsidRPr="008F69E7" w:rsidRDefault="00E043B8" w:rsidP="0098797A">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Writing </w:t>
            </w:r>
          </w:p>
        </w:tc>
        <w:tc>
          <w:tcPr>
            <w:tcW w:w="1404" w:type="dxa"/>
          </w:tcPr>
          <w:p w14:paraId="063DF3C1" w14:textId="48567164" w:rsidR="00E043B8" w:rsidRPr="00942C58" w:rsidRDefault="00923FB7" w:rsidP="009879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75</w:t>
            </w:r>
            <w:r w:rsidR="00CF0035">
              <w:rPr>
                <w:rFonts w:asciiTheme="minorHAnsi" w:hAnsiTheme="minorHAnsi" w:cstheme="minorHAnsi"/>
                <w:sz w:val="20"/>
                <w:szCs w:val="20"/>
              </w:rPr>
              <w:t>%</w:t>
            </w:r>
          </w:p>
        </w:tc>
        <w:tc>
          <w:tcPr>
            <w:tcW w:w="1404" w:type="dxa"/>
            <w:shd w:val="clear" w:color="auto" w:fill="DBE5F1" w:themeFill="accent1" w:themeFillTint="33"/>
          </w:tcPr>
          <w:p w14:paraId="6254C566" w14:textId="77777777" w:rsidR="00E043B8" w:rsidRDefault="009462B3" w:rsidP="009879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67% (4/6)</w:t>
            </w:r>
          </w:p>
          <w:p w14:paraId="5BC53AAA" w14:textId="4AA1621E" w:rsidR="008A7762" w:rsidRPr="008A7762" w:rsidRDefault="00CC528D" w:rsidP="0098797A">
            <w:pPr>
              <w:spacing w:after="0" w:line="240" w:lineRule="auto"/>
              <w:jc w:val="center"/>
              <w:rPr>
                <w:rFonts w:asciiTheme="minorHAnsi" w:hAnsiTheme="minorHAnsi" w:cstheme="minorHAnsi"/>
                <w:color w:val="92D050"/>
                <w:sz w:val="20"/>
                <w:szCs w:val="20"/>
              </w:rPr>
            </w:pPr>
            <w:r>
              <w:rPr>
                <w:rFonts w:asciiTheme="minorHAnsi" w:hAnsiTheme="minorHAnsi" w:cstheme="minorHAnsi"/>
                <w:color w:val="92D050"/>
                <w:sz w:val="20"/>
                <w:szCs w:val="20"/>
              </w:rPr>
              <w:t>+67%</w:t>
            </w:r>
          </w:p>
        </w:tc>
        <w:tc>
          <w:tcPr>
            <w:tcW w:w="1405" w:type="dxa"/>
          </w:tcPr>
          <w:p w14:paraId="22C3CDA6" w14:textId="1E50D9BF" w:rsidR="00E043B8" w:rsidRPr="00942C58" w:rsidRDefault="009462B3" w:rsidP="0098797A">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100% (2/2)</w:t>
            </w:r>
          </w:p>
        </w:tc>
        <w:tc>
          <w:tcPr>
            <w:tcW w:w="1404" w:type="dxa"/>
          </w:tcPr>
          <w:p w14:paraId="68534D52" w14:textId="332B64B9" w:rsidR="00E043B8" w:rsidRPr="00942C58" w:rsidRDefault="00E043B8" w:rsidP="0098797A">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0% (0/13)</w:t>
            </w:r>
          </w:p>
        </w:tc>
        <w:tc>
          <w:tcPr>
            <w:tcW w:w="1405" w:type="dxa"/>
            <w:shd w:val="clear" w:color="auto" w:fill="DBE5F1" w:themeFill="accent1" w:themeFillTint="33"/>
          </w:tcPr>
          <w:p w14:paraId="5ECA4397" w14:textId="0252C10D" w:rsidR="00E043B8" w:rsidRPr="00942C58" w:rsidRDefault="00E043B8" w:rsidP="0098797A">
            <w:pPr>
              <w:spacing w:after="0" w:line="240" w:lineRule="auto"/>
              <w:jc w:val="center"/>
              <w:rPr>
                <w:rFonts w:asciiTheme="minorHAnsi" w:eastAsia="Times New Roman" w:hAnsiTheme="minorHAnsi" w:cstheme="minorHAnsi"/>
                <w:color w:val="FF0000"/>
                <w:sz w:val="20"/>
                <w:szCs w:val="20"/>
                <w:lang w:eastAsia="en-GB"/>
              </w:rPr>
            </w:pPr>
            <w:r w:rsidRPr="00942C58">
              <w:rPr>
                <w:rFonts w:asciiTheme="minorHAnsi" w:eastAsia="Times New Roman" w:hAnsiTheme="minorHAnsi" w:cstheme="minorHAnsi"/>
                <w:sz w:val="20"/>
                <w:szCs w:val="20"/>
                <w:lang w:eastAsia="en-GB"/>
              </w:rPr>
              <w:t>0% (0/8)</w:t>
            </w:r>
            <w:r w:rsidRPr="00942C58">
              <w:rPr>
                <w:rFonts w:asciiTheme="minorHAnsi" w:eastAsia="Times New Roman" w:hAnsiTheme="minorHAnsi" w:cstheme="minorHAnsi"/>
                <w:color w:val="FF0000"/>
                <w:sz w:val="20"/>
                <w:szCs w:val="20"/>
                <w:lang w:eastAsia="en-GB"/>
              </w:rPr>
              <w:t xml:space="preserve"> -75%</w:t>
            </w:r>
          </w:p>
        </w:tc>
        <w:tc>
          <w:tcPr>
            <w:tcW w:w="1404" w:type="dxa"/>
          </w:tcPr>
          <w:p w14:paraId="108FDAEA" w14:textId="555BDD9A" w:rsidR="00E043B8" w:rsidRPr="00942C58" w:rsidRDefault="00E043B8" w:rsidP="0098797A">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0% (0/5)</w:t>
            </w:r>
          </w:p>
        </w:tc>
        <w:tc>
          <w:tcPr>
            <w:tcW w:w="1405" w:type="dxa"/>
          </w:tcPr>
          <w:p w14:paraId="79CDFB6D" w14:textId="3A1B9ACA" w:rsidR="00E043B8" w:rsidRPr="00942C58" w:rsidRDefault="00E043B8" w:rsidP="0098797A">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50% (4/8)</w:t>
            </w:r>
          </w:p>
        </w:tc>
        <w:tc>
          <w:tcPr>
            <w:tcW w:w="1404" w:type="dxa"/>
            <w:shd w:val="clear" w:color="auto" w:fill="DBE5F1" w:themeFill="accent1" w:themeFillTint="33"/>
          </w:tcPr>
          <w:p w14:paraId="6E337C2E" w14:textId="14810F23" w:rsidR="00E043B8" w:rsidRPr="00942C58" w:rsidRDefault="00E043B8" w:rsidP="0098797A">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75% (3/4)</w:t>
            </w:r>
          </w:p>
        </w:tc>
        <w:tc>
          <w:tcPr>
            <w:tcW w:w="1405" w:type="dxa"/>
          </w:tcPr>
          <w:p w14:paraId="482FED04" w14:textId="362E70E1" w:rsidR="00E043B8" w:rsidRPr="00942C58" w:rsidRDefault="00E043B8" w:rsidP="0098797A">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25% (1/4)</w:t>
            </w:r>
          </w:p>
        </w:tc>
      </w:tr>
      <w:tr w:rsidR="003C2B36" w14:paraId="2E048396" w14:textId="77777777" w:rsidTr="00216AE6">
        <w:tc>
          <w:tcPr>
            <w:tcW w:w="987" w:type="dxa"/>
            <w:vMerge/>
          </w:tcPr>
          <w:p w14:paraId="07B20107" w14:textId="77777777" w:rsidR="00E043B8" w:rsidRPr="008F69E7" w:rsidRDefault="00E043B8" w:rsidP="00374F66">
            <w:pPr>
              <w:spacing w:after="0" w:line="240" w:lineRule="auto"/>
              <w:jc w:val="center"/>
              <w:rPr>
                <w:rFonts w:asciiTheme="minorHAnsi" w:eastAsia="Times New Roman" w:hAnsiTheme="minorHAnsi" w:cstheme="minorHAnsi"/>
                <w:lang w:eastAsia="en-GB"/>
              </w:rPr>
            </w:pPr>
          </w:p>
        </w:tc>
        <w:tc>
          <w:tcPr>
            <w:tcW w:w="1074" w:type="dxa"/>
          </w:tcPr>
          <w:p w14:paraId="7EF7DFAA" w14:textId="07F13F37" w:rsidR="00E043B8" w:rsidRPr="008F69E7" w:rsidRDefault="00E043B8" w:rsidP="00374F66">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Maths</w:t>
            </w:r>
          </w:p>
        </w:tc>
        <w:tc>
          <w:tcPr>
            <w:tcW w:w="1404" w:type="dxa"/>
          </w:tcPr>
          <w:p w14:paraId="43DD5A9D" w14:textId="00571048" w:rsidR="00E043B8" w:rsidRPr="00942C58" w:rsidRDefault="00ED19AF"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w:t>
            </w:r>
            <w:r w:rsidR="00923FB7">
              <w:rPr>
                <w:rFonts w:asciiTheme="minorHAnsi" w:hAnsiTheme="minorHAnsi" w:cstheme="minorHAnsi"/>
                <w:sz w:val="20"/>
                <w:szCs w:val="20"/>
              </w:rPr>
              <w:t>5</w:t>
            </w:r>
            <w:r w:rsidR="00CF0035">
              <w:rPr>
                <w:rFonts w:asciiTheme="minorHAnsi" w:hAnsiTheme="minorHAnsi" w:cstheme="minorHAnsi"/>
                <w:sz w:val="20"/>
                <w:szCs w:val="20"/>
              </w:rPr>
              <w:t>%</w:t>
            </w:r>
          </w:p>
        </w:tc>
        <w:tc>
          <w:tcPr>
            <w:tcW w:w="1404" w:type="dxa"/>
            <w:shd w:val="clear" w:color="auto" w:fill="DBE5F1" w:themeFill="accent1" w:themeFillTint="33"/>
          </w:tcPr>
          <w:p w14:paraId="0581582F" w14:textId="77777777" w:rsidR="00E043B8" w:rsidRDefault="009462B3"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67% (4/6)</w:t>
            </w:r>
          </w:p>
          <w:p w14:paraId="4DAF060F" w14:textId="6989C08F" w:rsidR="008A7762" w:rsidRPr="008A7762" w:rsidRDefault="008A7762" w:rsidP="00374F66">
            <w:pPr>
              <w:spacing w:after="0" w:line="240" w:lineRule="auto"/>
              <w:jc w:val="center"/>
              <w:rPr>
                <w:rFonts w:asciiTheme="minorHAnsi" w:hAnsiTheme="minorHAnsi" w:cstheme="minorHAnsi"/>
                <w:color w:val="92D050"/>
                <w:sz w:val="20"/>
                <w:szCs w:val="20"/>
              </w:rPr>
            </w:pPr>
            <w:r>
              <w:rPr>
                <w:rFonts w:asciiTheme="minorHAnsi" w:hAnsiTheme="minorHAnsi" w:cstheme="minorHAnsi"/>
                <w:color w:val="92D050"/>
                <w:sz w:val="20"/>
                <w:szCs w:val="20"/>
              </w:rPr>
              <w:t>19.5%</w:t>
            </w:r>
          </w:p>
        </w:tc>
        <w:tc>
          <w:tcPr>
            <w:tcW w:w="1405" w:type="dxa"/>
          </w:tcPr>
          <w:p w14:paraId="14BC9168" w14:textId="193051B7" w:rsidR="00E043B8" w:rsidRPr="00942C58" w:rsidRDefault="009462B3"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100% (2/2)</w:t>
            </w:r>
          </w:p>
        </w:tc>
        <w:tc>
          <w:tcPr>
            <w:tcW w:w="1404" w:type="dxa"/>
          </w:tcPr>
          <w:p w14:paraId="064C747F" w14:textId="3157EA19"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38% (5/13)</w:t>
            </w:r>
          </w:p>
        </w:tc>
        <w:tc>
          <w:tcPr>
            <w:tcW w:w="1405" w:type="dxa"/>
            <w:shd w:val="clear" w:color="auto" w:fill="DBE5F1" w:themeFill="accent1" w:themeFillTint="33"/>
          </w:tcPr>
          <w:p w14:paraId="3E1DE9CE" w14:textId="7FC58441" w:rsidR="00E043B8" w:rsidRPr="00942C58" w:rsidRDefault="00E043B8" w:rsidP="00374F66">
            <w:pPr>
              <w:spacing w:after="0" w:line="240" w:lineRule="auto"/>
              <w:jc w:val="center"/>
              <w:rPr>
                <w:rFonts w:asciiTheme="minorHAnsi" w:eastAsia="Times New Roman" w:hAnsiTheme="minorHAnsi" w:cstheme="minorHAnsi"/>
                <w:color w:val="FF0000"/>
                <w:sz w:val="20"/>
                <w:szCs w:val="20"/>
                <w:lang w:eastAsia="en-GB"/>
              </w:rPr>
            </w:pPr>
            <w:r w:rsidRPr="00942C58">
              <w:rPr>
                <w:rFonts w:asciiTheme="minorHAnsi" w:eastAsia="Times New Roman" w:hAnsiTheme="minorHAnsi" w:cstheme="minorHAnsi"/>
                <w:sz w:val="20"/>
                <w:szCs w:val="20"/>
                <w:lang w:eastAsia="en-GB"/>
              </w:rPr>
              <w:t xml:space="preserve">12.5% (1/8) </w:t>
            </w:r>
            <w:r w:rsidRPr="00942C58">
              <w:rPr>
                <w:rFonts w:asciiTheme="minorHAnsi" w:eastAsia="Times New Roman" w:hAnsiTheme="minorHAnsi" w:cstheme="minorHAnsi"/>
                <w:color w:val="FF0000"/>
                <w:sz w:val="20"/>
                <w:szCs w:val="20"/>
                <w:lang w:eastAsia="en-GB"/>
              </w:rPr>
              <w:t>-37.5%</w:t>
            </w:r>
          </w:p>
        </w:tc>
        <w:tc>
          <w:tcPr>
            <w:tcW w:w="1404" w:type="dxa"/>
          </w:tcPr>
          <w:p w14:paraId="1C9F4A1F" w14:textId="6C85E9AF"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80% (4/5)</w:t>
            </w:r>
          </w:p>
        </w:tc>
        <w:tc>
          <w:tcPr>
            <w:tcW w:w="1405" w:type="dxa"/>
          </w:tcPr>
          <w:p w14:paraId="25EB4947" w14:textId="7CE1777E"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38% (3/8)</w:t>
            </w:r>
          </w:p>
        </w:tc>
        <w:tc>
          <w:tcPr>
            <w:tcW w:w="1404" w:type="dxa"/>
            <w:shd w:val="clear" w:color="auto" w:fill="DBE5F1" w:themeFill="accent1" w:themeFillTint="33"/>
          </w:tcPr>
          <w:p w14:paraId="4E66DD3E" w14:textId="33A983E9"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50% (2/4)</w:t>
            </w:r>
          </w:p>
        </w:tc>
        <w:tc>
          <w:tcPr>
            <w:tcW w:w="1405" w:type="dxa"/>
          </w:tcPr>
          <w:p w14:paraId="5B42730E" w14:textId="741CC715"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25% (1/4)</w:t>
            </w:r>
          </w:p>
        </w:tc>
      </w:tr>
      <w:tr w:rsidR="003C2B36" w14:paraId="1CE29D10" w14:textId="77777777" w:rsidTr="00216AE6">
        <w:tc>
          <w:tcPr>
            <w:tcW w:w="987" w:type="dxa"/>
            <w:vMerge w:val="restart"/>
          </w:tcPr>
          <w:p w14:paraId="25ECC118" w14:textId="77777777" w:rsidR="00E043B8" w:rsidRDefault="00E043B8" w:rsidP="00374F66">
            <w:pPr>
              <w:spacing w:after="0" w:line="240" w:lineRule="auto"/>
              <w:jc w:val="center"/>
              <w:rPr>
                <w:rFonts w:asciiTheme="minorHAnsi" w:eastAsia="Times New Roman" w:hAnsiTheme="minorHAnsi" w:cstheme="minorHAnsi"/>
                <w:lang w:eastAsia="en-GB"/>
              </w:rPr>
            </w:pPr>
          </w:p>
          <w:p w14:paraId="6F62C9E6" w14:textId="77777777" w:rsidR="00E043B8" w:rsidRDefault="00E043B8" w:rsidP="00374F66">
            <w:pPr>
              <w:spacing w:after="0" w:line="240" w:lineRule="auto"/>
              <w:jc w:val="center"/>
              <w:rPr>
                <w:rFonts w:asciiTheme="minorHAnsi" w:eastAsia="Times New Roman" w:hAnsiTheme="minorHAnsi" w:cstheme="minorHAnsi"/>
                <w:lang w:eastAsia="en-GB"/>
              </w:rPr>
            </w:pPr>
          </w:p>
          <w:p w14:paraId="35465A11" w14:textId="570F7CE5" w:rsidR="00E043B8" w:rsidRPr="008F69E7" w:rsidRDefault="00E043B8" w:rsidP="00374F66">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KS2</w:t>
            </w:r>
          </w:p>
        </w:tc>
        <w:tc>
          <w:tcPr>
            <w:tcW w:w="1074" w:type="dxa"/>
          </w:tcPr>
          <w:p w14:paraId="7E38D5D3" w14:textId="4EADF741" w:rsidR="00E043B8" w:rsidRPr="008F69E7" w:rsidRDefault="00E043B8" w:rsidP="00374F66">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CRWM</w:t>
            </w:r>
          </w:p>
        </w:tc>
        <w:tc>
          <w:tcPr>
            <w:tcW w:w="1404" w:type="dxa"/>
          </w:tcPr>
          <w:p w14:paraId="36179790" w14:textId="4EBDCF41" w:rsidR="00E043B8" w:rsidRPr="00942C58" w:rsidRDefault="00A35EE8"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53% (</w:t>
            </w:r>
            <w:r w:rsidR="006E5A17">
              <w:rPr>
                <w:rFonts w:asciiTheme="minorHAnsi" w:hAnsiTheme="minorHAnsi" w:cstheme="minorHAnsi"/>
                <w:sz w:val="20"/>
                <w:szCs w:val="20"/>
              </w:rPr>
              <w:t>9/17)</w:t>
            </w:r>
          </w:p>
        </w:tc>
        <w:tc>
          <w:tcPr>
            <w:tcW w:w="1404" w:type="dxa"/>
            <w:shd w:val="clear" w:color="auto" w:fill="DBE5F1" w:themeFill="accent1" w:themeFillTint="33"/>
          </w:tcPr>
          <w:p w14:paraId="212A6049" w14:textId="77777777" w:rsidR="00E043B8" w:rsidRDefault="00CB0506"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50% (6/12)</w:t>
            </w:r>
          </w:p>
          <w:p w14:paraId="3779FA92" w14:textId="0F1280FE" w:rsidR="004150E4" w:rsidRPr="008A7762" w:rsidRDefault="008A7762" w:rsidP="00374F66">
            <w:pPr>
              <w:spacing w:after="0" w:line="240" w:lineRule="auto"/>
              <w:jc w:val="center"/>
              <w:rPr>
                <w:rFonts w:asciiTheme="minorHAnsi" w:hAnsiTheme="minorHAnsi" w:cstheme="minorHAnsi"/>
                <w:color w:val="92D050"/>
                <w:sz w:val="20"/>
                <w:szCs w:val="20"/>
              </w:rPr>
            </w:pPr>
            <w:r>
              <w:rPr>
                <w:rFonts w:asciiTheme="minorHAnsi" w:hAnsiTheme="minorHAnsi" w:cstheme="minorHAnsi"/>
                <w:color w:val="92D050"/>
                <w:sz w:val="20"/>
                <w:szCs w:val="20"/>
              </w:rPr>
              <w:t>+7%</w:t>
            </w:r>
          </w:p>
        </w:tc>
        <w:tc>
          <w:tcPr>
            <w:tcW w:w="1405" w:type="dxa"/>
          </w:tcPr>
          <w:p w14:paraId="1A58E583" w14:textId="130996D9" w:rsidR="00E043B8" w:rsidRPr="00942C58" w:rsidRDefault="00A37E21" w:rsidP="00374F66">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60% (3/5)</w:t>
            </w:r>
          </w:p>
        </w:tc>
        <w:tc>
          <w:tcPr>
            <w:tcW w:w="1404" w:type="dxa"/>
          </w:tcPr>
          <w:p w14:paraId="656FF2AA" w14:textId="348CD876"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50% (5/10)</w:t>
            </w:r>
          </w:p>
        </w:tc>
        <w:tc>
          <w:tcPr>
            <w:tcW w:w="1405" w:type="dxa"/>
            <w:shd w:val="clear" w:color="auto" w:fill="DBE5F1" w:themeFill="accent1" w:themeFillTint="33"/>
          </w:tcPr>
          <w:p w14:paraId="12BD5D12" w14:textId="4ABC9F7A" w:rsidR="00E043B8" w:rsidRPr="00942C58" w:rsidRDefault="00E043B8" w:rsidP="00374F66">
            <w:pPr>
              <w:spacing w:after="0" w:line="240" w:lineRule="auto"/>
              <w:jc w:val="center"/>
              <w:rPr>
                <w:rFonts w:asciiTheme="minorHAnsi" w:eastAsia="Times New Roman" w:hAnsiTheme="minorHAnsi" w:cstheme="minorHAnsi"/>
                <w:color w:val="00B050"/>
                <w:sz w:val="20"/>
                <w:szCs w:val="20"/>
                <w:lang w:eastAsia="en-GB"/>
              </w:rPr>
            </w:pPr>
            <w:r w:rsidRPr="00942C58">
              <w:rPr>
                <w:rFonts w:asciiTheme="minorHAnsi" w:eastAsia="Times New Roman" w:hAnsiTheme="minorHAnsi" w:cstheme="minorHAnsi"/>
                <w:sz w:val="20"/>
                <w:szCs w:val="20"/>
                <w:lang w:eastAsia="en-GB"/>
              </w:rPr>
              <w:t xml:space="preserve">43% (3/7) </w:t>
            </w:r>
            <w:r w:rsidRPr="00942C58">
              <w:rPr>
                <w:rFonts w:asciiTheme="minorHAnsi" w:eastAsia="Times New Roman" w:hAnsiTheme="minorHAnsi" w:cstheme="minorHAnsi"/>
                <w:color w:val="00B050"/>
                <w:sz w:val="20"/>
                <w:szCs w:val="20"/>
                <w:lang w:eastAsia="en-GB"/>
              </w:rPr>
              <w:t>+43%</w:t>
            </w:r>
          </w:p>
        </w:tc>
        <w:tc>
          <w:tcPr>
            <w:tcW w:w="1404" w:type="dxa"/>
          </w:tcPr>
          <w:p w14:paraId="05A831F1" w14:textId="738EEA2A"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66% (2/3)</w:t>
            </w:r>
          </w:p>
        </w:tc>
        <w:tc>
          <w:tcPr>
            <w:tcW w:w="1405" w:type="dxa"/>
          </w:tcPr>
          <w:p w14:paraId="20909915" w14:textId="638AB649"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20% (2/10)</w:t>
            </w:r>
          </w:p>
        </w:tc>
        <w:tc>
          <w:tcPr>
            <w:tcW w:w="1404" w:type="dxa"/>
            <w:shd w:val="clear" w:color="auto" w:fill="DBE5F1" w:themeFill="accent1" w:themeFillTint="33"/>
          </w:tcPr>
          <w:p w14:paraId="664D8CC0" w14:textId="5EF0B04C"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0% (0/6)</w:t>
            </w:r>
          </w:p>
        </w:tc>
        <w:tc>
          <w:tcPr>
            <w:tcW w:w="1405" w:type="dxa"/>
          </w:tcPr>
          <w:p w14:paraId="481D7E96" w14:textId="3772D536" w:rsidR="00E043B8" w:rsidRPr="00942C58" w:rsidRDefault="00E043B8" w:rsidP="00374F66">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50% (2/4)</w:t>
            </w:r>
          </w:p>
        </w:tc>
      </w:tr>
      <w:tr w:rsidR="003C2B36" w14:paraId="69BA516F" w14:textId="77777777" w:rsidTr="00216AE6">
        <w:tc>
          <w:tcPr>
            <w:tcW w:w="987" w:type="dxa"/>
            <w:vMerge/>
          </w:tcPr>
          <w:p w14:paraId="16358395" w14:textId="77777777" w:rsidR="00E043B8" w:rsidRPr="008F69E7" w:rsidRDefault="00E043B8" w:rsidP="00196382">
            <w:pPr>
              <w:spacing w:after="0" w:line="240" w:lineRule="auto"/>
              <w:jc w:val="center"/>
              <w:rPr>
                <w:rFonts w:asciiTheme="minorHAnsi" w:eastAsia="Times New Roman" w:hAnsiTheme="minorHAnsi" w:cstheme="minorHAnsi"/>
                <w:lang w:eastAsia="en-GB"/>
              </w:rPr>
            </w:pPr>
          </w:p>
        </w:tc>
        <w:tc>
          <w:tcPr>
            <w:tcW w:w="1074" w:type="dxa"/>
          </w:tcPr>
          <w:p w14:paraId="3CB025A9" w14:textId="632A28AB" w:rsidR="00E043B8" w:rsidRPr="008F69E7" w:rsidRDefault="00E043B8" w:rsidP="00196382">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Reading</w:t>
            </w:r>
          </w:p>
        </w:tc>
        <w:tc>
          <w:tcPr>
            <w:tcW w:w="1404" w:type="dxa"/>
          </w:tcPr>
          <w:p w14:paraId="025D6BD6" w14:textId="1172154F" w:rsidR="00E043B8" w:rsidRPr="00942C58" w:rsidRDefault="00F55B3D" w:rsidP="0019638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65</w:t>
            </w:r>
            <w:r w:rsidR="00CF0035">
              <w:rPr>
                <w:rFonts w:asciiTheme="minorHAnsi" w:hAnsiTheme="minorHAnsi" w:cstheme="minorHAnsi"/>
                <w:sz w:val="20"/>
                <w:szCs w:val="20"/>
              </w:rPr>
              <w:t>%</w:t>
            </w:r>
            <w:r w:rsidR="006E5A17">
              <w:rPr>
                <w:rFonts w:asciiTheme="minorHAnsi" w:hAnsiTheme="minorHAnsi" w:cstheme="minorHAnsi"/>
                <w:sz w:val="20"/>
                <w:szCs w:val="20"/>
              </w:rPr>
              <w:t xml:space="preserve"> (</w:t>
            </w:r>
            <w:r w:rsidR="00C14544">
              <w:rPr>
                <w:rFonts w:asciiTheme="minorHAnsi" w:hAnsiTheme="minorHAnsi" w:cstheme="minorHAnsi"/>
                <w:sz w:val="20"/>
                <w:szCs w:val="20"/>
              </w:rPr>
              <w:t>12/17)</w:t>
            </w:r>
          </w:p>
        </w:tc>
        <w:tc>
          <w:tcPr>
            <w:tcW w:w="1404" w:type="dxa"/>
            <w:shd w:val="clear" w:color="auto" w:fill="DBE5F1" w:themeFill="accent1" w:themeFillTint="33"/>
          </w:tcPr>
          <w:p w14:paraId="68E41683" w14:textId="77777777" w:rsidR="00E043B8" w:rsidRDefault="00E51BF1" w:rsidP="0019638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59%</w:t>
            </w:r>
            <w:r w:rsidR="004B1873">
              <w:rPr>
                <w:rFonts w:asciiTheme="minorHAnsi" w:hAnsiTheme="minorHAnsi" w:cstheme="minorHAnsi"/>
                <w:sz w:val="20"/>
                <w:szCs w:val="20"/>
              </w:rPr>
              <w:t xml:space="preserve"> (7/12)</w:t>
            </w:r>
          </w:p>
          <w:p w14:paraId="6D769F8D" w14:textId="08E05084" w:rsidR="004150E4" w:rsidRPr="004150E4" w:rsidRDefault="00147034" w:rsidP="00196382">
            <w:pPr>
              <w:spacing w:after="0" w:line="240" w:lineRule="auto"/>
              <w:jc w:val="center"/>
              <w:rPr>
                <w:rFonts w:asciiTheme="minorHAnsi" w:hAnsiTheme="minorHAnsi" w:cstheme="minorHAnsi"/>
                <w:color w:val="FF0000"/>
                <w:sz w:val="20"/>
                <w:szCs w:val="20"/>
              </w:rPr>
            </w:pPr>
            <w:r>
              <w:rPr>
                <w:rFonts w:asciiTheme="minorHAnsi" w:hAnsiTheme="minorHAnsi" w:cstheme="minorHAnsi"/>
                <w:color w:val="FF0000"/>
                <w:sz w:val="20"/>
                <w:szCs w:val="20"/>
              </w:rPr>
              <w:t>-27% SEND</w:t>
            </w:r>
          </w:p>
        </w:tc>
        <w:tc>
          <w:tcPr>
            <w:tcW w:w="1405" w:type="dxa"/>
          </w:tcPr>
          <w:p w14:paraId="75555298" w14:textId="5991B744" w:rsidR="00E043B8" w:rsidRPr="00942C58" w:rsidRDefault="00E51BF1" w:rsidP="0019638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80%</w:t>
            </w:r>
            <w:r w:rsidR="006C1EEB">
              <w:rPr>
                <w:rFonts w:asciiTheme="minorHAnsi" w:hAnsiTheme="minorHAnsi" w:cstheme="minorHAnsi"/>
                <w:sz w:val="20"/>
                <w:szCs w:val="20"/>
              </w:rPr>
              <w:t xml:space="preserve"> (4/5)</w:t>
            </w:r>
          </w:p>
        </w:tc>
        <w:tc>
          <w:tcPr>
            <w:tcW w:w="1404" w:type="dxa"/>
          </w:tcPr>
          <w:p w14:paraId="4CA19CBC" w14:textId="4670ED88"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70% (7/10)</w:t>
            </w:r>
          </w:p>
        </w:tc>
        <w:tc>
          <w:tcPr>
            <w:tcW w:w="1405" w:type="dxa"/>
            <w:shd w:val="clear" w:color="auto" w:fill="DBE5F1" w:themeFill="accent1" w:themeFillTint="33"/>
          </w:tcPr>
          <w:p w14:paraId="6F06B80D" w14:textId="501E18CC" w:rsidR="00E043B8" w:rsidRPr="00942C58" w:rsidRDefault="00E043B8" w:rsidP="00196382">
            <w:pPr>
              <w:spacing w:after="0" w:line="240" w:lineRule="auto"/>
              <w:jc w:val="center"/>
              <w:rPr>
                <w:rFonts w:asciiTheme="minorHAnsi" w:eastAsia="Times New Roman" w:hAnsiTheme="minorHAnsi" w:cstheme="minorHAnsi"/>
                <w:color w:val="00B050"/>
                <w:sz w:val="20"/>
                <w:szCs w:val="20"/>
                <w:lang w:eastAsia="en-GB"/>
              </w:rPr>
            </w:pPr>
            <w:r w:rsidRPr="00942C58">
              <w:rPr>
                <w:rFonts w:asciiTheme="minorHAnsi" w:eastAsia="Times New Roman" w:hAnsiTheme="minorHAnsi" w:cstheme="minorHAnsi"/>
                <w:sz w:val="20"/>
                <w:szCs w:val="20"/>
                <w:lang w:eastAsia="en-GB"/>
              </w:rPr>
              <w:t xml:space="preserve">86% (6/7) </w:t>
            </w:r>
            <w:r w:rsidRPr="00942C58">
              <w:rPr>
                <w:rFonts w:asciiTheme="minorHAnsi" w:eastAsia="Times New Roman" w:hAnsiTheme="minorHAnsi" w:cstheme="minorHAnsi"/>
                <w:color w:val="00B050"/>
                <w:sz w:val="20"/>
                <w:szCs w:val="20"/>
                <w:lang w:eastAsia="en-GB"/>
              </w:rPr>
              <w:t>+53%</w:t>
            </w:r>
          </w:p>
        </w:tc>
        <w:tc>
          <w:tcPr>
            <w:tcW w:w="1404" w:type="dxa"/>
          </w:tcPr>
          <w:p w14:paraId="6FCFD02B" w14:textId="7D422C1F"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66</w:t>
            </w:r>
            <w:proofErr w:type="gramStart"/>
            <w:r w:rsidRPr="00942C58">
              <w:rPr>
                <w:rFonts w:asciiTheme="minorHAnsi" w:eastAsia="Times New Roman" w:hAnsiTheme="minorHAnsi" w:cstheme="minorHAnsi"/>
                <w:sz w:val="20"/>
                <w:szCs w:val="20"/>
                <w:lang w:eastAsia="en-GB"/>
              </w:rPr>
              <w:t>%(</w:t>
            </w:r>
            <w:proofErr w:type="gramEnd"/>
            <w:r w:rsidRPr="00942C58">
              <w:rPr>
                <w:rFonts w:asciiTheme="minorHAnsi" w:eastAsia="Times New Roman" w:hAnsiTheme="minorHAnsi" w:cstheme="minorHAnsi"/>
                <w:sz w:val="20"/>
                <w:szCs w:val="20"/>
                <w:lang w:eastAsia="en-GB"/>
              </w:rPr>
              <w:t>2/3)</w:t>
            </w:r>
          </w:p>
        </w:tc>
        <w:tc>
          <w:tcPr>
            <w:tcW w:w="1405" w:type="dxa"/>
          </w:tcPr>
          <w:p w14:paraId="1271EECB" w14:textId="42A888F5"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40% (4/10)</w:t>
            </w:r>
          </w:p>
        </w:tc>
        <w:tc>
          <w:tcPr>
            <w:tcW w:w="1404" w:type="dxa"/>
            <w:shd w:val="clear" w:color="auto" w:fill="DBE5F1" w:themeFill="accent1" w:themeFillTint="33"/>
          </w:tcPr>
          <w:p w14:paraId="37E2AE40" w14:textId="798E3DCD"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33% (2/6)</w:t>
            </w:r>
          </w:p>
        </w:tc>
        <w:tc>
          <w:tcPr>
            <w:tcW w:w="1405" w:type="dxa"/>
          </w:tcPr>
          <w:p w14:paraId="0E439230" w14:textId="60E5E2CC"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50% (2/4)</w:t>
            </w:r>
          </w:p>
        </w:tc>
      </w:tr>
      <w:tr w:rsidR="003C2B36" w14:paraId="7CBBDF27" w14:textId="77777777" w:rsidTr="00216AE6">
        <w:tc>
          <w:tcPr>
            <w:tcW w:w="987" w:type="dxa"/>
            <w:vMerge/>
          </w:tcPr>
          <w:p w14:paraId="26707974" w14:textId="77777777" w:rsidR="00E043B8" w:rsidRPr="008F69E7" w:rsidRDefault="00E043B8" w:rsidP="00196382">
            <w:pPr>
              <w:spacing w:after="0" w:line="240" w:lineRule="auto"/>
              <w:jc w:val="center"/>
              <w:rPr>
                <w:rFonts w:asciiTheme="minorHAnsi" w:eastAsia="Times New Roman" w:hAnsiTheme="minorHAnsi" w:cstheme="minorHAnsi"/>
                <w:lang w:eastAsia="en-GB"/>
              </w:rPr>
            </w:pPr>
          </w:p>
        </w:tc>
        <w:tc>
          <w:tcPr>
            <w:tcW w:w="1074" w:type="dxa"/>
          </w:tcPr>
          <w:p w14:paraId="2BD30E7B" w14:textId="63670BC6" w:rsidR="00E043B8" w:rsidRPr="008F69E7" w:rsidRDefault="00E043B8" w:rsidP="00196382">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Writing </w:t>
            </w:r>
          </w:p>
        </w:tc>
        <w:tc>
          <w:tcPr>
            <w:tcW w:w="1404" w:type="dxa"/>
          </w:tcPr>
          <w:p w14:paraId="0CC75B35" w14:textId="30D7C660" w:rsidR="00E043B8" w:rsidRPr="00942C58" w:rsidRDefault="00CF0035" w:rsidP="0019638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53%</w:t>
            </w:r>
            <w:r w:rsidR="00C14544">
              <w:rPr>
                <w:rFonts w:asciiTheme="minorHAnsi" w:hAnsiTheme="minorHAnsi" w:cstheme="minorHAnsi"/>
                <w:sz w:val="20"/>
                <w:szCs w:val="20"/>
              </w:rPr>
              <w:t xml:space="preserve"> (9/17)</w:t>
            </w:r>
          </w:p>
        </w:tc>
        <w:tc>
          <w:tcPr>
            <w:tcW w:w="1404" w:type="dxa"/>
            <w:shd w:val="clear" w:color="auto" w:fill="DBE5F1" w:themeFill="accent1" w:themeFillTint="33"/>
          </w:tcPr>
          <w:p w14:paraId="3804735E" w14:textId="77777777" w:rsidR="00E043B8" w:rsidRDefault="00E51BF1" w:rsidP="0019638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50</w:t>
            </w:r>
            <w:proofErr w:type="gramStart"/>
            <w:r>
              <w:rPr>
                <w:rFonts w:asciiTheme="minorHAnsi" w:hAnsiTheme="minorHAnsi" w:cstheme="minorHAnsi"/>
                <w:sz w:val="20"/>
                <w:szCs w:val="20"/>
              </w:rPr>
              <w:t>%</w:t>
            </w:r>
            <w:r w:rsidR="004B1873">
              <w:rPr>
                <w:rFonts w:asciiTheme="minorHAnsi" w:hAnsiTheme="minorHAnsi" w:cstheme="minorHAnsi"/>
                <w:sz w:val="20"/>
                <w:szCs w:val="20"/>
              </w:rPr>
              <w:t>(</w:t>
            </w:r>
            <w:proofErr w:type="gramEnd"/>
            <w:r w:rsidR="004B1873">
              <w:rPr>
                <w:rFonts w:asciiTheme="minorHAnsi" w:hAnsiTheme="minorHAnsi" w:cstheme="minorHAnsi"/>
                <w:sz w:val="20"/>
                <w:szCs w:val="20"/>
              </w:rPr>
              <w:t>6/12)</w:t>
            </w:r>
          </w:p>
          <w:p w14:paraId="341B8B5A" w14:textId="25A4924A" w:rsidR="00147034" w:rsidRPr="00147034" w:rsidRDefault="00147034" w:rsidP="00196382">
            <w:pPr>
              <w:spacing w:after="0" w:line="240" w:lineRule="auto"/>
              <w:jc w:val="center"/>
              <w:rPr>
                <w:rFonts w:asciiTheme="minorHAnsi" w:hAnsiTheme="minorHAnsi" w:cstheme="minorHAnsi"/>
                <w:color w:val="92D050"/>
                <w:sz w:val="20"/>
                <w:szCs w:val="20"/>
              </w:rPr>
            </w:pPr>
            <w:r>
              <w:rPr>
                <w:rFonts w:asciiTheme="minorHAnsi" w:hAnsiTheme="minorHAnsi" w:cstheme="minorHAnsi"/>
                <w:color w:val="92D050"/>
                <w:sz w:val="20"/>
                <w:szCs w:val="20"/>
              </w:rPr>
              <w:t>+</w:t>
            </w:r>
            <w:r w:rsidR="008A7762">
              <w:rPr>
                <w:rFonts w:asciiTheme="minorHAnsi" w:hAnsiTheme="minorHAnsi" w:cstheme="minorHAnsi"/>
                <w:color w:val="92D050"/>
                <w:sz w:val="20"/>
                <w:szCs w:val="20"/>
              </w:rPr>
              <w:t>33%</w:t>
            </w:r>
          </w:p>
        </w:tc>
        <w:tc>
          <w:tcPr>
            <w:tcW w:w="1405" w:type="dxa"/>
          </w:tcPr>
          <w:p w14:paraId="3D70ED04" w14:textId="1EA4594F" w:rsidR="00E043B8" w:rsidRPr="00942C58" w:rsidRDefault="00E51BF1" w:rsidP="0019638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60%</w:t>
            </w:r>
            <w:r w:rsidR="006C1EEB">
              <w:rPr>
                <w:rFonts w:asciiTheme="minorHAnsi" w:hAnsiTheme="minorHAnsi" w:cstheme="minorHAnsi"/>
                <w:sz w:val="20"/>
                <w:szCs w:val="20"/>
              </w:rPr>
              <w:t xml:space="preserve"> (3/5)</w:t>
            </w:r>
          </w:p>
        </w:tc>
        <w:tc>
          <w:tcPr>
            <w:tcW w:w="1404" w:type="dxa"/>
          </w:tcPr>
          <w:p w14:paraId="5ADF4186" w14:textId="6607345E"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60% (6/10)</w:t>
            </w:r>
          </w:p>
        </w:tc>
        <w:tc>
          <w:tcPr>
            <w:tcW w:w="1405" w:type="dxa"/>
            <w:shd w:val="clear" w:color="auto" w:fill="DBE5F1" w:themeFill="accent1" w:themeFillTint="33"/>
          </w:tcPr>
          <w:p w14:paraId="41E19E67" w14:textId="5055DEDD" w:rsidR="00E043B8" w:rsidRPr="00942C58" w:rsidRDefault="00E043B8" w:rsidP="00196382">
            <w:pPr>
              <w:spacing w:after="0" w:line="240" w:lineRule="auto"/>
              <w:jc w:val="center"/>
              <w:rPr>
                <w:rFonts w:asciiTheme="minorHAnsi" w:eastAsia="Times New Roman" w:hAnsiTheme="minorHAnsi" w:cstheme="minorHAnsi"/>
                <w:color w:val="F79646" w:themeColor="accent6"/>
                <w:sz w:val="20"/>
                <w:szCs w:val="20"/>
                <w:lang w:eastAsia="en-GB"/>
              </w:rPr>
            </w:pPr>
            <w:r w:rsidRPr="00942C58">
              <w:rPr>
                <w:rFonts w:asciiTheme="minorHAnsi" w:eastAsia="Times New Roman" w:hAnsiTheme="minorHAnsi" w:cstheme="minorHAnsi"/>
                <w:sz w:val="20"/>
                <w:szCs w:val="20"/>
                <w:lang w:eastAsia="en-GB"/>
              </w:rPr>
              <w:t xml:space="preserve">17% (4/7) </w:t>
            </w:r>
            <w:r w:rsidRPr="00942C58">
              <w:rPr>
                <w:rFonts w:asciiTheme="minorHAnsi" w:eastAsia="Times New Roman" w:hAnsiTheme="minorHAnsi" w:cstheme="minorHAnsi"/>
                <w:color w:val="F79646" w:themeColor="accent6"/>
                <w:sz w:val="20"/>
                <w:szCs w:val="20"/>
                <w:lang w:eastAsia="en-GB"/>
              </w:rPr>
              <w:t>0%</w:t>
            </w:r>
          </w:p>
        </w:tc>
        <w:tc>
          <w:tcPr>
            <w:tcW w:w="1404" w:type="dxa"/>
          </w:tcPr>
          <w:p w14:paraId="07869E67" w14:textId="156AD015"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66% (2/3)</w:t>
            </w:r>
          </w:p>
        </w:tc>
        <w:tc>
          <w:tcPr>
            <w:tcW w:w="1405" w:type="dxa"/>
          </w:tcPr>
          <w:p w14:paraId="527785BF" w14:textId="569AF8EB"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30% (3/10)</w:t>
            </w:r>
          </w:p>
        </w:tc>
        <w:tc>
          <w:tcPr>
            <w:tcW w:w="1404" w:type="dxa"/>
            <w:shd w:val="clear" w:color="auto" w:fill="DBE5F1" w:themeFill="accent1" w:themeFillTint="33"/>
          </w:tcPr>
          <w:p w14:paraId="4E52D04B" w14:textId="6E3A99BA"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17% (1/6)</w:t>
            </w:r>
          </w:p>
        </w:tc>
        <w:tc>
          <w:tcPr>
            <w:tcW w:w="1405" w:type="dxa"/>
          </w:tcPr>
          <w:p w14:paraId="5A0DBA44" w14:textId="59286ACE"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50% (2/4)</w:t>
            </w:r>
          </w:p>
        </w:tc>
      </w:tr>
      <w:tr w:rsidR="003C2B36" w14:paraId="7B468CC0" w14:textId="77777777" w:rsidTr="00216AE6">
        <w:tc>
          <w:tcPr>
            <w:tcW w:w="987" w:type="dxa"/>
            <w:vMerge/>
          </w:tcPr>
          <w:p w14:paraId="7CDDD0F4" w14:textId="77777777" w:rsidR="00E043B8" w:rsidRPr="008F69E7" w:rsidRDefault="00E043B8" w:rsidP="00196382">
            <w:pPr>
              <w:spacing w:after="0" w:line="240" w:lineRule="auto"/>
              <w:jc w:val="center"/>
              <w:rPr>
                <w:rFonts w:asciiTheme="minorHAnsi" w:eastAsia="Times New Roman" w:hAnsiTheme="minorHAnsi" w:cstheme="minorHAnsi"/>
                <w:lang w:eastAsia="en-GB"/>
              </w:rPr>
            </w:pPr>
          </w:p>
        </w:tc>
        <w:tc>
          <w:tcPr>
            <w:tcW w:w="1074" w:type="dxa"/>
          </w:tcPr>
          <w:p w14:paraId="4E6CE2F0" w14:textId="033B9B1A" w:rsidR="00E043B8" w:rsidRPr="008F69E7" w:rsidRDefault="00E043B8" w:rsidP="00196382">
            <w:pPr>
              <w:spacing w:after="0" w:line="240" w:lineRule="auto"/>
              <w:jc w:val="center"/>
              <w:rPr>
                <w:rFonts w:asciiTheme="minorHAnsi" w:eastAsia="Times New Roman" w:hAnsiTheme="minorHAnsi" w:cstheme="minorHAnsi"/>
                <w:lang w:eastAsia="en-GB"/>
              </w:rPr>
            </w:pPr>
            <w:r>
              <w:rPr>
                <w:rFonts w:asciiTheme="minorHAnsi" w:eastAsia="Times New Roman" w:hAnsiTheme="minorHAnsi" w:cstheme="minorHAnsi"/>
                <w:lang w:eastAsia="en-GB"/>
              </w:rPr>
              <w:t>Maths</w:t>
            </w:r>
          </w:p>
        </w:tc>
        <w:tc>
          <w:tcPr>
            <w:tcW w:w="1404" w:type="dxa"/>
          </w:tcPr>
          <w:p w14:paraId="5DF93B81" w14:textId="7B897594" w:rsidR="00E043B8" w:rsidRPr="00942C58" w:rsidRDefault="00CF0035" w:rsidP="0019638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71</w:t>
            </w:r>
            <w:proofErr w:type="gramStart"/>
            <w:r>
              <w:rPr>
                <w:rFonts w:asciiTheme="minorHAnsi" w:hAnsiTheme="minorHAnsi" w:cstheme="minorHAnsi"/>
                <w:sz w:val="20"/>
                <w:szCs w:val="20"/>
              </w:rPr>
              <w:t>%</w:t>
            </w:r>
            <w:r w:rsidR="00C14544">
              <w:rPr>
                <w:rFonts w:asciiTheme="minorHAnsi" w:hAnsiTheme="minorHAnsi" w:cstheme="minorHAnsi"/>
                <w:sz w:val="20"/>
                <w:szCs w:val="20"/>
              </w:rPr>
              <w:t>(</w:t>
            </w:r>
            <w:proofErr w:type="gramEnd"/>
            <w:r w:rsidR="00C14544">
              <w:rPr>
                <w:rFonts w:asciiTheme="minorHAnsi" w:hAnsiTheme="minorHAnsi" w:cstheme="minorHAnsi"/>
                <w:sz w:val="20"/>
                <w:szCs w:val="20"/>
              </w:rPr>
              <w:t>13/17)</w:t>
            </w:r>
          </w:p>
        </w:tc>
        <w:tc>
          <w:tcPr>
            <w:tcW w:w="1404" w:type="dxa"/>
            <w:shd w:val="clear" w:color="auto" w:fill="DBE5F1" w:themeFill="accent1" w:themeFillTint="33"/>
          </w:tcPr>
          <w:p w14:paraId="0BB6C87F" w14:textId="77777777" w:rsidR="00E043B8" w:rsidRDefault="00E51BF1" w:rsidP="0019638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68%</w:t>
            </w:r>
            <w:r w:rsidR="006C1EEB">
              <w:rPr>
                <w:rFonts w:asciiTheme="minorHAnsi" w:hAnsiTheme="minorHAnsi" w:cstheme="minorHAnsi"/>
                <w:sz w:val="20"/>
                <w:szCs w:val="20"/>
              </w:rPr>
              <w:t xml:space="preserve"> (8/12)</w:t>
            </w:r>
          </w:p>
          <w:p w14:paraId="40E970DC" w14:textId="3A7A93D6" w:rsidR="00147034" w:rsidRPr="00147034" w:rsidRDefault="00147034" w:rsidP="00196382">
            <w:pPr>
              <w:spacing w:after="0" w:line="240" w:lineRule="auto"/>
              <w:jc w:val="center"/>
              <w:rPr>
                <w:rFonts w:asciiTheme="minorHAnsi" w:hAnsiTheme="minorHAnsi" w:cstheme="minorHAnsi"/>
                <w:color w:val="FF0000"/>
                <w:sz w:val="20"/>
                <w:szCs w:val="20"/>
              </w:rPr>
            </w:pPr>
            <w:r>
              <w:rPr>
                <w:rFonts w:asciiTheme="minorHAnsi" w:hAnsiTheme="minorHAnsi" w:cstheme="minorHAnsi"/>
                <w:color w:val="FF0000"/>
                <w:sz w:val="20"/>
                <w:szCs w:val="20"/>
              </w:rPr>
              <w:t>-18% SEND</w:t>
            </w:r>
          </w:p>
        </w:tc>
        <w:tc>
          <w:tcPr>
            <w:tcW w:w="1405" w:type="dxa"/>
          </w:tcPr>
          <w:p w14:paraId="0AB5287F" w14:textId="4A78DC8F" w:rsidR="00E043B8" w:rsidRPr="00942C58" w:rsidRDefault="00FA1E13" w:rsidP="00196382">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80%</w:t>
            </w:r>
            <w:r w:rsidR="006C1EEB">
              <w:rPr>
                <w:rFonts w:asciiTheme="minorHAnsi" w:hAnsiTheme="minorHAnsi" w:cstheme="minorHAnsi"/>
                <w:sz w:val="20"/>
                <w:szCs w:val="20"/>
              </w:rPr>
              <w:t xml:space="preserve"> (4/5)</w:t>
            </w:r>
          </w:p>
        </w:tc>
        <w:tc>
          <w:tcPr>
            <w:tcW w:w="1404" w:type="dxa"/>
          </w:tcPr>
          <w:p w14:paraId="424AF01F" w14:textId="1216AB45"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80% (8/10)</w:t>
            </w:r>
          </w:p>
        </w:tc>
        <w:tc>
          <w:tcPr>
            <w:tcW w:w="1405" w:type="dxa"/>
            <w:shd w:val="clear" w:color="auto" w:fill="DBE5F1" w:themeFill="accent1" w:themeFillTint="33"/>
          </w:tcPr>
          <w:p w14:paraId="4FEAB46C" w14:textId="3E95CFDF" w:rsidR="00E043B8" w:rsidRPr="00942C58" w:rsidRDefault="00E043B8" w:rsidP="00196382">
            <w:pPr>
              <w:spacing w:after="0" w:line="240" w:lineRule="auto"/>
              <w:jc w:val="center"/>
              <w:rPr>
                <w:rFonts w:asciiTheme="minorHAnsi" w:eastAsia="Times New Roman" w:hAnsiTheme="minorHAnsi" w:cstheme="minorHAnsi"/>
                <w:color w:val="00B050"/>
                <w:sz w:val="20"/>
                <w:szCs w:val="20"/>
                <w:lang w:eastAsia="en-GB"/>
              </w:rPr>
            </w:pPr>
            <w:r w:rsidRPr="00942C58">
              <w:rPr>
                <w:rFonts w:asciiTheme="minorHAnsi" w:eastAsia="Times New Roman" w:hAnsiTheme="minorHAnsi" w:cstheme="minorHAnsi"/>
                <w:sz w:val="20"/>
                <w:szCs w:val="20"/>
                <w:lang w:eastAsia="en-GB"/>
              </w:rPr>
              <w:t xml:space="preserve">86% (6/7) </w:t>
            </w:r>
            <w:r w:rsidRPr="00942C58">
              <w:rPr>
                <w:rFonts w:asciiTheme="minorHAnsi" w:eastAsia="Times New Roman" w:hAnsiTheme="minorHAnsi" w:cstheme="minorHAnsi"/>
                <w:color w:val="00B050"/>
                <w:sz w:val="20"/>
                <w:szCs w:val="20"/>
                <w:lang w:eastAsia="en-GB"/>
              </w:rPr>
              <w:t>+53%</w:t>
            </w:r>
          </w:p>
        </w:tc>
        <w:tc>
          <w:tcPr>
            <w:tcW w:w="1404" w:type="dxa"/>
          </w:tcPr>
          <w:p w14:paraId="7A1860EF" w14:textId="3DBD764B"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66% (2/3)</w:t>
            </w:r>
          </w:p>
        </w:tc>
        <w:tc>
          <w:tcPr>
            <w:tcW w:w="1405" w:type="dxa"/>
          </w:tcPr>
          <w:p w14:paraId="144B9887" w14:textId="124C2804"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40% (4/10</w:t>
            </w:r>
          </w:p>
        </w:tc>
        <w:tc>
          <w:tcPr>
            <w:tcW w:w="1404" w:type="dxa"/>
            <w:shd w:val="clear" w:color="auto" w:fill="DBE5F1" w:themeFill="accent1" w:themeFillTint="33"/>
          </w:tcPr>
          <w:p w14:paraId="33273581" w14:textId="7E9652F3"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33% (2/6)</w:t>
            </w:r>
          </w:p>
        </w:tc>
        <w:tc>
          <w:tcPr>
            <w:tcW w:w="1405" w:type="dxa"/>
          </w:tcPr>
          <w:p w14:paraId="023C7421" w14:textId="67F9269E" w:rsidR="00E043B8" w:rsidRPr="00942C58" w:rsidRDefault="00E043B8" w:rsidP="00196382">
            <w:pPr>
              <w:spacing w:after="0" w:line="240" w:lineRule="auto"/>
              <w:jc w:val="center"/>
              <w:rPr>
                <w:rFonts w:asciiTheme="minorHAnsi" w:eastAsia="Times New Roman" w:hAnsiTheme="minorHAnsi" w:cstheme="minorHAnsi"/>
                <w:sz w:val="20"/>
                <w:szCs w:val="20"/>
                <w:lang w:eastAsia="en-GB"/>
              </w:rPr>
            </w:pPr>
            <w:r w:rsidRPr="00942C58">
              <w:rPr>
                <w:rFonts w:asciiTheme="minorHAnsi" w:eastAsia="Times New Roman" w:hAnsiTheme="minorHAnsi" w:cstheme="minorHAnsi"/>
                <w:sz w:val="20"/>
                <w:szCs w:val="20"/>
                <w:lang w:eastAsia="en-GB"/>
              </w:rPr>
              <w:t>50% (2/4)</w:t>
            </w:r>
          </w:p>
        </w:tc>
      </w:tr>
    </w:tbl>
    <w:p w14:paraId="02B494E4" w14:textId="77777777" w:rsidR="00FB7E23" w:rsidRDefault="00FB7E23" w:rsidP="00463BB3">
      <w:pPr>
        <w:spacing w:after="0" w:line="240" w:lineRule="auto"/>
        <w:rPr>
          <w:rFonts w:asciiTheme="minorHAnsi" w:hAnsiTheme="minorHAnsi" w:cstheme="minorHAnsi"/>
        </w:rPr>
      </w:pPr>
    </w:p>
    <w:p w14:paraId="2A7D5548" w14:textId="00121A77" w:rsidR="00E66558" w:rsidRPr="007D777A" w:rsidRDefault="009D71E8" w:rsidP="00463BB3">
      <w:pPr>
        <w:pStyle w:val="Heading2"/>
        <w:spacing w:before="0" w:after="0"/>
        <w:rPr>
          <w:rFonts w:asciiTheme="minorHAnsi" w:hAnsiTheme="minorHAnsi" w:cstheme="minorHAnsi"/>
        </w:rPr>
      </w:pPr>
      <w:r w:rsidRPr="007D777A">
        <w:rPr>
          <w:rFonts w:asciiTheme="minorHAnsi" w:hAnsiTheme="minorHAnsi" w:cstheme="minorHAnsi"/>
        </w:rPr>
        <w:t>Externally provided programmes</w:t>
      </w:r>
    </w:p>
    <w:p w14:paraId="2A7D5549" w14:textId="77777777" w:rsidR="00E66558" w:rsidRPr="007D777A" w:rsidRDefault="009D71E8" w:rsidP="00463BB3">
      <w:pPr>
        <w:spacing w:after="0" w:line="240" w:lineRule="auto"/>
        <w:rPr>
          <w:rFonts w:asciiTheme="minorHAnsi" w:hAnsiTheme="minorHAnsi" w:cstheme="minorHAnsi"/>
          <w:i/>
          <w:iCs/>
        </w:rPr>
      </w:pPr>
      <w:r w:rsidRPr="007D777A">
        <w:rPr>
          <w:rFonts w:asciiTheme="minorHAnsi" w:hAnsiTheme="minorHAnsi" w:cstheme="minorHAnsi"/>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7462"/>
        <w:gridCol w:w="7239"/>
      </w:tblGrid>
      <w:tr w:rsidR="00E66558" w:rsidRPr="007D777A"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7D777A" w:rsidRDefault="009D71E8" w:rsidP="00463BB3">
            <w:pPr>
              <w:pStyle w:val="TableHeader"/>
              <w:spacing w:before="0" w:after="0"/>
              <w:jc w:val="left"/>
              <w:rPr>
                <w:rFonts w:asciiTheme="minorHAnsi" w:hAnsiTheme="minorHAnsi" w:cstheme="minorHAnsi"/>
              </w:rPr>
            </w:pPr>
            <w:r w:rsidRPr="007D777A">
              <w:rPr>
                <w:rFonts w:asciiTheme="minorHAnsi" w:hAnsiTheme="minorHAnsi" w:cstheme="minorHAnsi"/>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7D777A" w:rsidRDefault="009D71E8" w:rsidP="00463BB3">
            <w:pPr>
              <w:pStyle w:val="TableHeader"/>
              <w:spacing w:before="0" w:after="0"/>
              <w:jc w:val="left"/>
              <w:rPr>
                <w:rFonts w:asciiTheme="minorHAnsi" w:hAnsiTheme="minorHAnsi" w:cstheme="minorHAnsi"/>
              </w:rPr>
            </w:pPr>
            <w:r w:rsidRPr="007D777A">
              <w:rPr>
                <w:rFonts w:asciiTheme="minorHAnsi" w:hAnsiTheme="minorHAnsi" w:cstheme="minorHAnsi"/>
              </w:rPr>
              <w:t>Provider</w:t>
            </w:r>
          </w:p>
        </w:tc>
      </w:tr>
      <w:tr w:rsidR="00E66558" w:rsidRPr="007D777A"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0FE10400" w:rsidR="00E66558" w:rsidRPr="007D777A" w:rsidRDefault="004E3394" w:rsidP="00463BB3">
            <w:pPr>
              <w:pStyle w:val="TableRow"/>
              <w:spacing w:before="0" w:after="0"/>
              <w:rPr>
                <w:rFonts w:asciiTheme="minorHAnsi" w:hAnsiTheme="minorHAnsi" w:cstheme="minorHAnsi"/>
              </w:rPr>
            </w:pPr>
            <w:r>
              <w:t xml:space="preserve">Times Table Rockstars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3B981A01" w:rsidR="00E66558" w:rsidRPr="007D777A" w:rsidRDefault="004E3394" w:rsidP="00463BB3">
            <w:pPr>
              <w:pStyle w:val="TableRowCentered"/>
              <w:spacing w:before="0" w:after="0"/>
              <w:jc w:val="left"/>
              <w:rPr>
                <w:rFonts w:asciiTheme="minorHAnsi" w:hAnsiTheme="minorHAnsi" w:cstheme="minorHAnsi"/>
              </w:rPr>
            </w:pPr>
            <w:r>
              <w:t>Maths Circle</w:t>
            </w:r>
          </w:p>
        </w:tc>
      </w:tr>
      <w:tr w:rsidR="009F1F55" w:rsidRPr="007D777A" w14:paraId="06CFA6A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D99D4" w14:textId="45EE00F0" w:rsidR="009F1F55" w:rsidRPr="007D777A" w:rsidRDefault="000A1FF3" w:rsidP="00463BB3">
            <w:pPr>
              <w:pStyle w:val="TableRow"/>
              <w:spacing w:before="0" w:after="0"/>
              <w:rPr>
                <w:rFonts w:asciiTheme="minorHAnsi" w:hAnsiTheme="minorHAnsi" w:cstheme="minorHAnsi"/>
              </w:rPr>
            </w:pPr>
            <w:proofErr w:type="spellStart"/>
            <w:r>
              <w:t>Numbots</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34876" w14:textId="14760D18" w:rsidR="009F1F55" w:rsidRPr="007D777A" w:rsidRDefault="00F96B71" w:rsidP="00463BB3">
            <w:pPr>
              <w:pStyle w:val="TableRowCentered"/>
              <w:spacing w:before="0" w:after="0"/>
              <w:jc w:val="left"/>
              <w:rPr>
                <w:rFonts w:asciiTheme="minorHAnsi" w:hAnsiTheme="minorHAnsi" w:cstheme="minorHAnsi"/>
              </w:rPr>
            </w:pPr>
            <w:r>
              <w:t>Maths Circle</w:t>
            </w:r>
          </w:p>
        </w:tc>
      </w:tr>
      <w:tr w:rsidR="009F1F55" w:rsidRPr="007D777A" w14:paraId="5BE6731B"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61BF7" w14:textId="04164DCB" w:rsidR="009F1F55" w:rsidRPr="007D777A" w:rsidRDefault="00F96B71" w:rsidP="00463BB3">
            <w:pPr>
              <w:pStyle w:val="TableRow"/>
              <w:spacing w:before="0" w:after="0"/>
              <w:rPr>
                <w:rFonts w:asciiTheme="minorHAnsi" w:hAnsiTheme="minorHAnsi" w:cstheme="minorHAnsi"/>
              </w:rPr>
            </w:pPr>
            <w:r>
              <w:t>Read Write Inc</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BAA06" w14:textId="0CFCC67D" w:rsidR="009F1F55" w:rsidRPr="007D777A" w:rsidRDefault="00F96B71" w:rsidP="00463BB3">
            <w:pPr>
              <w:pStyle w:val="TableRowCentered"/>
              <w:spacing w:before="0" w:after="0"/>
              <w:jc w:val="left"/>
              <w:rPr>
                <w:rFonts w:asciiTheme="minorHAnsi" w:hAnsiTheme="minorHAnsi" w:cstheme="minorHAnsi"/>
              </w:rPr>
            </w:pPr>
            <w:r>
              <w:t>Ruth Miskin</w:t>
            </w:r>
          </w:p>
        </w:tc>
      </w:tr>
      <w:tr w:rsidR="009F1F55" w:rsidRPr="007D777A" w14:paraId="1625FD41"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E555A" w14:textId="5046B66A" w:rsidR="009F1F55" w:rsidRPr="007D777A" w:rsidRDefault="00F96B71" w:rsidP="00463BB3">
            <w:pPr>
              <w:pStyle w:val="TableRow"/>
              <w:spacing w:before="0" w:after="0"/>
              <w:rPr>
                <w:rFonts w:asciiTheme="minorHAnsi" w:hAnsiTheme="minorHAnsi" w:cstheme="minorHAnsi"/>
              </w:rPr>
            </w:pPr>
            <w:r>
              <w:t>Reading Plus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0D59" w14:textId="07D352FD" w:rsidR="009F1F55" w:rsidRPr="007D777A" w:rsidRDefault="0051480C" w:rsidP="00463BB3">
            <w:pPr>
              <w:pStyle w:val="TableRowCentered"/>
              <w:spacing w:before="0" w:after="0"/>
              <w:jc w:val="left"/>
              <w:rPr>
                <w:rFonts w:asciiTheme="minorHAnsi" w:hAnsiTheme="minorHAnsi" w:cstheme="minorHAnsi"/>
              </w:rPr>
            </w:pPr>
            <w:r>
              <w:t>Reading Solutions</w:t>
            </w:r>
          </w:p>
        </w:tc>
      </w:tr>
    </w:tbl>
    <w:p w14:paraId="2A7D5560" w14:textId="7FCDCEB5" w:rsidR="00E66558" w:rsidRPr="007D777A" w:rsidRDefault="00590651" w:rsidP="00463BB3">
      <w:pPr>
        <w:pStyle w:val="Heading1"/>
        <w:spacing w:after="0"/>
        <w:rPr>
          <w:rFonts w:asciiTheme="minorHAnsi" w:hAnsiTheme="minorHAnsi" w:cstheme="minorHAnsi"/>
        </w:rPr>
      </w:pPr>
      <w:r>
        <w:rPr>
          <w:rFonts w:asciiTheme="minorHAnsi" w:hAnsiTheme="minorHAnsi" w:cstheme="minorHAnsi"/>
        </w:rPr>
        <w:lastRenderedPageBreak/>
        <w:t>0</w:t>
      </w:r>
      <w:r w:rsidR="009D71E8" w:rsidRPr="007D777A">
        <w:rPr>
          <w:rFonts w:asciiTheme="minorHAnsi" w:hAnsiTheme="minorHAnsi" w:cstheme="minorHAnsi"/>
        </w:rPr>
        <w:t>ther information (optional)</w:t>
      </w:r>
    </w:p>
    <w:tbl>
      <w:tblPr>
        <w:tblW w:w="15021" w:type="dxa"/>
        <w:tblCellMar>
          <w:left w:w="10" w:type="dxa"/>
          <w:right w:w="10" w:type="dxa"/>
        </w:tblCellMar>
        <w:tblLook w:val="04A0" w:firstRow="1" w:lastRow="0" w:firstColumn="1" w:lastColumn="0" w:noHBand="0" w:noVBand="1"/>
      </w:tblPr>
      <w:tblGrid>
        <w:gridCol w:w="15021"/>
      </w:tblGrid>
      <w:tr w:rsidR="00E66558" w:rsidRPr="007D777A" w14:paraId="2A7D5563" w14:textId="77777777" w:rsidTr="00FD747D">
        <w:tc>
          <w:tcPr>
            <w:tcW w:w="15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1" w14:textId="77777777" w:rsidR="00E66558" w:rsidRPr="007D777A" w:rsidRDefault="009D71E8" w:rsidP="00463BB3">
            <w:pPr>
              <w:spacing w:after="0" w:line="240" w:lineRule="auto"/>
              <w:rPr>
                <w:rFonts w:asciiTheme="minorHAnsi" w:hAnsiTheme="minorHAnsi" w:cstheme="minorHAnsi"/>
                <w:i/>
                <w:iCs/>
              </w:rPr>
            </w:pPr>
            <w:r w:rsidRPr="007D777A">
              <w:rPr>
                <w:rFonts w:asciiTheme="minorHAnsi" w:hAnsiTheme="minorHAnsi" w:cstheme="minorHAnsi"/>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Pr="007D777A" w:rsidRDefault="00E66558" w:rsidP="00463BB3">
            <w:pPr>
              <w:spacing w:after="0" w:line="240" w:lineRule="auto"/>
              <w:rPr>
                <w:rFonts w:asciiTheme="minorHAnsi" w:hAnsiTheme="minorHAnsi" w:cstheme="minorHAnsi"/>
                <w:i/>
                <w:iCs/>
              </w:rPr>
            </w:pPr>
          </w:p>
        </w:tc>
      </w:tr>
      <w:bookmarkEnd w:id="14"/>
      <w:bookmarkEnd w:id="15"/>
      <w:bookmarkEnd w:id="16"/>
    </w:tbl>
    <w:p w14:paraId="2A7D5564" w14:textId="77777777" w:rsidR="00E66558" w:rsidRDefault="00E66558" w:rsidP="00463BB3">
      <w:pPr>
        <w:spacing w:after="0" w:line="240" w:lineRule="auto"/>
      </w:pPr>
    </w:p>
    <w:sectPr w:rsidR="00E66558" w:rsidSect="00FD1FAD">
      <w:pgSz w:w="16838" w:h="11906" w:orient="landscape"/>
      <w:pgMar w:top="993" w:right="1134" w:bottom="1276" w:left="993"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57A5" w14:textId="77777777" w:rsidR="007A50E5" w:rsidRDefault="007A50E5">
      <w:pPr>
        <w:spacing w:after="0" w:line="240" w:lineRule="auto"/>
      </w:pPr>
      <w:r>
        <w:separator/>
      </w:r>
    </w:p>
  </w:endnote>
  <w:endnote w:type="continuationSeparator" w:id="0">
    <w:p w14:paraId="3510272F" w14:textId="77777777" w:rsidR="007A50E5" w:rsidRDefault="007A50E5">
      <w:pPr>
        <w:spacing w:after="0" w:line="240" w:lineRule="auto"/>
      </w:pPr>
      <w:r>
        <w:continuationSeparator/>
      </w:r>
    </w:p>
  </w:endnote>
  <w:endnote w:type="continuationNotice" w:id="1">
    <w:p w14:paraId="12E6CAC3" w14:textId="77777777" w:rsidR="007A50E5" w:rsidRDefault="007A50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auto"/>
    <w:pitch w:val="variable"/>
    <w:sig w:usb0="E00002FF" w:usb1="5000785B" w:usb2="00000000" w:usb3="00000000" w:csb0="0000019F" w:csb1="00000000"/>
  </w:font>
  <w:font w:name="Twinkl">
    <w:altName w:val="Calibri"/>
    <w:charset w:val="00"/>
    <w:family w:val="auto"/>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6E37A884" w:rsidR="004968AA" w:rsidRDefault="009D71E8">
    <w:pPr>
      <w:pStyle w:val="Footer"/>
      <w:ind w:firstLine="4513"/>
    </w:pPr>
    <w:r>
      <w:fldChar w:fldCharType="begin"/>
    </w:r>
    <w:r>
      <w:instrText xml:space="preserve"> PAGE </w:instrText>
    </w:r>
    <w:r>
      <w:fldChar w:fldCharType="separate"/>
    </w:r>
    <w:r w:rsidR="304D3DF2" w:rsidRPr="304D3DF2">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0843" w14:textId="77777777" w:rsidR="007A50E5" w:rsidRDefault="007A50E5">
      <w:pPr>
        <w:spacing w:after="0" w:line="240" w:lineRule="auto"/>
      </w:pPr>
      <w:r>
        <w:separator/>
      </w:r>
    </w:p>
  </w:footnote>
  <w:footnote w:type="continuationSeparator" w:id="0">
    <w:p w14:paraId="1B512341" w14:textId="77777777" w:rsidR="007A50E5" w:rsidRDefault="007A50E5">
      <w:pPr>
        <w:spacing w:after="0" w:line="240" w:lineRule="auto"/>
      </w:pPr>
      <w:r>
        <w:continuationSeparator/>
      </w:r>
    </w:p>
  </w:footnote>
  <w:footnote w:type="continuationNotice" w:id="1">
    <w:p w14:paraId="3FF2D039" w14:textId="77777777" w:rsidR="007A50E5" w:rsidRDefault="007A50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3A55"/>
    <w:multiLevelType w:val="hybridMultilevel"/>
    <w:tmpl w:val="407E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9551A"/>
    <w:multiLevelType w:val="hybridMultilevel"/>
    <w:tmpl w:val="334E9D32"/>
    <w:lvl w:ilvl="0" w:tplc="A716946C">
      <w:numFmt w:val="bullet"/>
      <w:lvlText w:val="•"/>
      <w:lvlJc w:val="left"/>
      <w:pPr>
        <w:ind w:left="391"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91B5F"/>
    <w:multiLevelType w:val="hybridMultilevel"/>
    <w:tmpl w:val="67022468"/>
    <w:lvl w:ilvl="0" w:tplc="A716946C">
      <w:numFmt w:val="bullet"/>
      <w:lvlText w:val="•"/>
      <w:lvlJc w:val="left"/>
      <w:pPr>
        <w:ind w:left="391" w:hanging="360"/>
      </w:pPr>
      <w:rPr>
        <w:rFonts w:ascii="Calibri" w:eastAsia="Times New Roman" w:hAnsi="Calibri" w:cs="Calibri"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3" w15:restartNumberingAfterBreak="0">
    <w:nsid w:val="10641132"/>
    <w:multiLevelType w:val="hybridMultilevel"/>
    <w:tmpl w:val="15BE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1031C"/>
    <w:multiLevelType w:val="hybridMultilevel"/>
    <w:tmpl w:val="0FEC3C6E"/>
    <w:lvl w:ilvl="0" w:tplc="2E20E95C">
      <w:start w:val="35"/>
      <w:numFmt w:val="bullet"/>
      <w:lvlText w:val="-"/>
      <w:lvlJc w:val="left"/>
      <w:pPr>
        <w:ind w:left="417" w:hanging="360"/>
      </w:pPr>
      <w:rPr>
        <w:rFonts w:ascii="Calibri" w:eastAsia="Times New Roman"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5" w15:restartNumberingAfterBreak="0">
    <w:nsid w:val="141F16C9"/>
    <w:multiLevelType w:val="hybridMultilevel"/>
    <w:tmpl w:val="4FE0B7D4"/>
    <w:lvl w:ilvl="0" w:tplc="58E6D094">
      <w:start w:val="35"/>
      <w:numFmt w:val="bullet"/>
      <w:lvlText w:val="–"/>
      <w:lvlJc w:val="left"/>
      <w:pPr>
        <w:ind w:left="417" w:hanging="360"/>
      </w:pPr>
      <w:rPr>
        <w:rFonts w:ascii="Calibri" w:eastAsia="Times New Roman"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6"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F308C4"/>
    <w:multiLevelType w:val="hybridMultilevel"/>
    <w:tmpl w:val="9596073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E5D378C"/>
    <w:multiLevelType w:val="hybridMultilevel"/>
    <w:tmpl w:val="A37EBA3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2B855BF"/>
    <w:multiLevelType w:val="multilevel"/>
    <w:tmpl w:val="8CA0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4F4634"/>
    <w:multiLevelType w:val="hybridMultilevel"/>
    <w:tmpl w:val="D662F720"/>
    <w:lvl w:ilvl="0" w:tplc="A716946C">
      <w:numFmt w:val="bullet"/>
      <w:lvlText w:val="•"/>
      <w:lvlJc w:val="left"/>
      <w:pPr>
        <w:ind w:left="422" w:hanging="360"/>
      </w:pPr>
      <w:rPr>
        <w:rFonts w:ascii="Calibri" w:eastAsia="Times New Roman" w:hAnsi="Calibri" w:cs="Calibri"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7" w15:restartNumberingAfterBreak="0">
    <w:nsid w:val="46FE4CF2"/>
    <w:multiLevelType w:val="multilevel"/>
    <w:tmpl w:val="2D98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68C4657"/>
    <w:multiLevelType w:val="hybridMultilevel"/>
    <w:tmpl w:val="7870BC2C"/>
    <w:lvl w:ilvl="0" w:tplc="CBD2E7F0">
      <w:start w:val="39"/>
      <w:numFmt w:val="bullet"/>
      <w:lvlText w:val=""/>
      <w:lvlJc w:val="left"/>
      <w:pPr>
        <w:ind w:left="2230" w:hanging="360"/>
      </w:pPr>
      <w:rPr>
        <w:rFonts w:ascii="Symbol" w:eastAsia="Calibri" w:hAnsi="Symbol" w:cs="Calibri" w:hint="default"/>
      </w:rPr>
    </w:lvl>
    <w:lvl w:ilvl="1" w:tplc="08090003" w:tentative="1">
      <w:start w:val="1"/>
      <w:numFmt w:val="bullet"/>
      <w:lvlText w:val="o"/>
      <w:lvlJc w:val="left"/>
      <w:pPr>
        <w:ind w:left="2950" w:hanging="360"/>
      </w:pPr>
      <w:rPr>
        <w:rFonts w:ascii="Courier New" w:hAnsi="Courier New" w:cs="Courier New" w:hint="default"/>
      </w:rPr>
    </w:lvl>
    <w:lvl w:ilvl="2" w:tplc="08090005" w:tentative="1">
      <w:start w:val="1"/>
      <w:numFmt w:val="bullet"/>
      <w:lvlText w:val=""/>
      <w:lvlJc w:val="left"/>
      <w:pPr>
        <w:ind w:left="3670" w:hanging="360"/>
      </w:pPr>
      <w:rPr>
        <w:rFonts w:ascii="Wingdings" w:hAnsi="Wingdings" w:hint="default"/>
      </w:rPr>
    </w:lvl>
    <w:lvl w:ilvl="3" w:tplc="08090001" w:tentative="1">
      <w:start w:val="1"/>
      <w:numFmt w:val="bullet"/>
      <w:lvlText w:val=""/>
      <w:lvlJc w:val="left"/>
      <w:pPr>
        <w:ind w:left="4390" w:hanging="360"/>
      </w:pPr>
      <w:rPr>
        <w:rFonts w:ascii="Symbol" w:hAnsi="Symbol" w:hint="default"/>
      </w:rPr>
    </w:lvl>
    <w:lvl w:ilvl="4" w:tplc="08090003" w:tentative="1">
      <w:start w:val="1"/>
      <w:numFmt w:val="bullet"/>
      <w:lvlText w:val="o"/>
      <w:lvlJc w:val="left"/>
      <w:pPr>
        <w:ind w:left="5110" w:hanging="360"/>
      </w:pPr>
      <w:rPr>
        <w:rFonts w:ascii="Courier New" w:hAnsi="Courier New" w:cs="Courier New" w:hint="default"/>
      </w:rPr>
    </w:lvl>
    <w:lvl w:ilvl="5" w:tplc="08090005" w:tentative="1">
      <w:start w:val="1"/>
      <w:numFmt w:val="bullet"/>
      <w:lvlText w:val=""/>
      <w:lvlJc w:val="left"/>
      <w:pPr>
        <w:ind w:left="5830" w:hanging="360"/>
      </w:pPr>
      <w:rPr>
        <w:rFonts w:ascii="Wingdings" w:hAnsi="Wingdings" w:hint="default"/>
      </w:rPr>
    </w:lvl>
    <w:lvl w:ilvl="6" w:tplc="08090001" w:tentative="1">
      <w:start w:val="1"/>
      <w:numFmt w:val="bullet"/>
      <w:lvlText w:val=""/>
      <w:lvlJc w:val="left"/>
      <w:pPr>
        <w:ind w:left="6550" w:hanging="360"/>
      </w:pPr>
      <w:rPr>
        <w:rFonts w:ascii="Symbol" w:hAnsi="Symbol" w:hint="default"/>
      </w:rPr>
    </w:lvl>
    <w:lvl w:ilvl="7" w:tplc="08090003" w:tentative="1">
      <w:start w:val="1"/>
      <w:numFmt w:val="bullet"/>
      <w:lvlText w:val="o"/>
      <w:lvlJc w:val="left"/>
      <w:pPr>
        <w:ind w:left="7270" w:hanging="360"/>
      </w:pPr>
      <w:rPr>
        <w:rFonts w:ascii="Courier New" w:hAnsi="Courier New" w:cs="Courier New" w:hint="default"/>
      </w:rPr>
    </w:lvl>
    <w:lvl w:ilvl="8" w:tplc="08090005" w:tentative="1">
      <w:start w:val="1"/>
      <w:numFmt w:val="bullet"/>
      <w:lvlText w:val=""/>
      <w:lvlJc w:val="left"/>
      <w:pPr>
        <w:ind w:left="7990" w:hanging="360"/>
      </w:pPr>
      <w:rPr>
        <w:rFonts w:ascii="Wingdings" w:hAnsi="Wingdings" w:hint="default"/>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5FF02CF"/>
    <w:multiLevelType w:val="hybridMultilevel"/>
    <w:tmpl w:val="CDF6F108"/>
    <w:lvl w:ilvl="0" w:tplc="F5D81408">
      <w:start w:val="1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791840">
    <w:abstractNumId w:val="10"/>
  </w:num>
  <w:num w:numId="2" w16cid:durableId="995956360">
    <w:abstractNumId w:val="8"/>
  </w:num>
  <w:num w:numId="3" w16cid:durableId="320356945">
    <w:abstractNumId w:val="11"/>
  </w:num>
  <w:num w:numId="4" w16cid:durableId="1713190236">
    <w:abstractNumId w:val="12"/>
  </w:num>
  <w:num w:numId="5" w16cid:durableId="627858619">
    <w:abstractNumId w:val="6"/>
  </w:num>
  <w:num w:numId="6" w16cid:durableId="371156063">
    <w:abstractNumId w:val="14"/>
  </w:num>
  <w:num w:numId="7" w16cid:durableId="1189173366">
    <w:abstractNumId w:val="20"/>
  </w:num>
  <w:num w:numId="8" w16cid:durableId="274101515">
    <w:abstractNumId w:val="24"/>
  </w:num>
  <w:num w:numId="9" w16cid:durableId="637733327">
    <w:abstractNumId w:val="22"/>
  </w:num>
  <w:num w:numId="10" w16cid:durableId="1988196680">
    <w:abstractNumId w:val="21"/>
  </w:num>
  <w:num w:numId="11" w16cid:durableId="1111166226">
    <w:abstractNumId w:val="9"/>
  </w:num>
  <w:num w:numId="12" w16cid:durableId="797576877">
    <w:abstractNumId w:val="23"/>
  </w:num>
  <w:num w:numId="13" w16cid:durableId="131141159">
    <w:abstractNumId w:val="18"/>
  </w:num>
  <w:num w:numId="14" w16cid:durableId="760833428">
    <w:abstractNumId w:val="3"/>
  </w:num>
  <w:num w:numId="15" w16cid:durableId="333723319">
    <w:abstractNumId w:val="7"/>
  </w:num>
  <w:num w:numId="16" w16cid:durableId="741565932">
    <w:abstractNumId w:val="13"/>
  </w:num>
  <w:num w:numId="17" w16cid:durableId="2050447374">
    <w:abstractNumId w:val="19"/>
  </w:num>
  <w:num w:numId="18" w16cid:durableId="62603712">
    <w:abstractNumId w:val="15"/>
  </w:num>
  <w:num w:numId="19" w16cid:durableId="2076733144">
    <w:abstractNumId w:val="17"/>
  </w:num>
  <w:num w:numId="20" w16cid:durableId="274138408">
    <w:abstractNumId w:val="25"/>
  </w:num>
  <w:num w:numId="21" w16cid:durableId="1532498341">
    <w:abstractNumId w:val="0"/>
  </w:num>
  <w:num w:numId="22" w16cid:durableId="1590385531">
    <w:abstractNumId w:val="2"/>
  </w:num>
  <w:num w:numId="23" w16cid:durableId="202908807">
    <w:abstractNumId w:val="1"/>
  </w:num>
  <w:num w:numId="24" w16cid:durableId="1371145033">
    <w:abstractNumId w:val="16"/>
  </w:num>
  <w:num w:numId="25" w16cid:durableId="1118260923">
    <w:abstractNumId w:val="5"/>
  </w:num>
  <w:num w:numId="26" w16cid:durableId="1631547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134"/>
    <w:rsid w:val="00003F22"/>
    <w:rsid w:val="000043DF"/>
    <w:rsid w:val="00004EA4"/>
    <w:rsid w:val="00006005"/>
    <w:rsid w:val="00010DD0"/>
    <w:rsid w:val="000134ED"/>
    <w:rsid w:val="0001487E"/>
    <w:rsid w:val="0001560E"/>
    <w:rsid w:val="00016464"/>
    <w:rsid w:val="00016DD3"/>
    <w:rsid w:val="00016F01"/>
    <w:rsid w:val="00025CA8"/>
    <w:rsid w:val="000270EE"/>
    <w:rsid w:val="00027930"/>
    <w:rsid w:val="0003061E"/>
    <w:rsid w:val="00032676"/>
    <w:rsid w:val="0003275C"/>
    <w:rsid w:val="000327CA"/>
    <w:rsid w:val="00033CE7"/>
    <w:rsid w:val="000353B9"/>
    <w:rsid w:val="0003561B"/>
    <w:rsid w:val="00041339"/>
    <w:rsid w:val="0004296B"/>
    <w:rsid w:val="00042B15"/>
    <w:rsid w:val="0004534E"/>
    <w:rsid w:val="000514C9"/>
    <w:rsid w:val="0005537D"/>
    <w:rsid w:val="00061985"/>
    <w:rsid w:val="00062680"/>
    <w:rsid w:val="000651E8"/>
    <w:rsid w:val="00065BA3"/>
    <w:rsid w:val="00066980"/>
    <w:rsid w:val="00066B73"/>
    <w:rsid w:val="0006723D"/>
    <w:rsid w:val="00070885"/>
    <w:rsid w:val="00072D3D"/>
    <w:rsid w:val="00073655"/>
    <w:rsid w:val="00074441"/>
    <w:rsid w:val="00074DBA"/>
    <w:rsid w:val="0008272B"/>
    <w:rsid w:val="00083423"/>
    <w:rsid w:val="00084F8F"/>
    <w:rsid w:val="000867DD"/>
    <w:rsid w:val="0009097A"/>
    <w:rsid w:val="000927CF"/>
    <w:rsid w:val="0009313F"/>
    <w:rsid w:val="00095141"/>
    <w:rsid w:val="00096663"/>
    <w:rsid w:val="00097E23"/>
    <w:rsid w:val="000A1FF3"/>
    <w:rsid w:val="000A302D"/>
    <w:rsid w:val="000A33E5"/>
    <w:rsid w:val="000A3598"/>
    <w:rsid w:val="000A3B66"/>
    <w:rsid w:val="000A42EC"/>
    <w:rsid w:val="000A52C2"/>
    <w:rsid w:val="000A6AB7"/>
    <w:rsid w:val="000A6F83"/>
    <w:rsid w:val="000B069D"/>
    <w:rsid w:val="000B206D"/>
    <w:rsid w:val="000B29C9"/>
    <w:rsid w:val="000B46C9"/>
    <w:rsid w:val="000B5753"/>
    <w:rsid w:val="000B6BA5"/>
    <w:rsid w:val="000B717B"/>
    <w:rsid w:val="000B732F"/>
    <w:rsid w:val="000C0AA3"/>
    <w:rsid w:val="000C286E"/>
    <w:rsid w:val="000C2BCA"/>
    <w:rsid w:val="000C403C"/>
    <w:rsid w:val="000C51C3"/>
    <w:rsid w:val="000C53AA"/>
    <w:rsid w:val="000C6D6E"/>
    <w:rsid w:val="000D67BF"/>
    <w:rsid w:val="000E0E70"/>
    <w:rsid w:val="000E2777"/>
    <w:rsid w:val="000E4B09"/>
    <w:rsid w:val="000E52A1"/>
    <w:rsid w:val="000E6FAD"/>
    <w:rsid w:val="000E7C62"/>
    <w:rsid w:val="000F1037"/>
    <w:rsid w:val="000F18B8"/>
    <w:rsid w:val="000F3B1B"/>
    <w:rsid w:val="000F4D3C"/>
    <w:rsid w:val="000F62A9"/>
    <w:rsid w:val="000F75DE"/>
    <w:rsid w:val="00101D02"/>
    <w:rsid w:val="00105B9A"/>
    <w:rsid w:val="0010629A"/>
    <w:rsid w:val="00110B17"/>
    <w:rsid w:val="001123C5"/>
    <w:rsid w:val="001126B7"/>
    <w:rsid w:val="001146A9"/>
    <w:rsid w:val="00115632"/>
    <w:rsid w:val="0011696A"/>
    <w:rsid w:val="00116B9E"/>
    <w:rsid w:val="00120AB1"/>
    <w:rsid w:val="00122E72"/>
    <w:rsid w:val="00124B76"/>
    <w:rsid w:val="0012574A"/>
    <w:rsid w:val="00130FC5"/>
    <w:rsid w:val="00132570"/>
    <w:rsid w:val="0013304B"/>
    <w:rsid w:val="001364BA"/>
    <w:rsid w:val="001408BF"/>
    <w:rsid w:val="00143520"/>
    <w:rsid w:val="001440A3"/>
    <w:rsid w:val="00145905"/>
    <w:rsid w:val="0014591D"/>
    <w:rsid w:val="00147034"/>
    <w:rsid w:val="00150C60"/>
    <w:rsid w:val="00151551"/>
    <w:rsid w:val="00153941"/>
    <w:rsid w:val="00154131"/>
    <w:rsid w:val="00156219"/>
    <w:rsid w:val="00157CCE"/>
    <w:rsid w:val="00157DD0"/>
    <w:rsid w:val="0016121F"/>
    <w:rsid w:val="00165919"/>
    <w:rsid w:val="00167306"/>
    <w:rsid w:val="0016786F"/>
    <w:rsid w:val="00171E5A"/>
    <w:rsid w:val="001727C4"/>
    <w:rsid w:val="00172A89"/>
    <w:rsid w:val="00173DE0"/>
    <w:rsid w:val="00176056"/>
    <w:rsid w:val="00176D10"/>
    <w:rsid w:val="00177EAB"/>
    <w:rsid w:val="0018160A"/>
    <w:rsid w:val="00182A83"/>
    <w:rsid w:val="00182D57"/>
    <w:rsid w:val="00183C10"/>
    <w:rsid w:val="00185CC1"/>
    <w:rsid w:val="00187DEC"/>
    <w:rsid w:val="001906DD"/>
    <w:rsid w:val="00193889"/>
    <w:rsid w:val="00193C9F"/>
    <w:rsid w:val="00196382"/>
    <w:rsid w:val="001A1E90"/>
    <w:rsid w:val="001A381F"/>
    <w:rsid w:val="001A55E0"/>
    <w:rsid w:val="001B1D59"/>
    <w:rsid w:val="001B1F34"/>
    <w:rsid w:val="001B2A48"/>
    <w:rsid w:val="001B2EA6"/>
    <w:rsid w:val="001B480D"/>
    <w:rsid w:val="001B4C38"/>
    <w:rsid w:val="001B6C9B"/>
    <w:rsid w:val="001C02C2"/>
    <w:rsid w:val="001C0FAB"/>
    <w:rsid w:val="001C150B"/>
    <w:rsid w:val="001C3E72"/>
    <w:rsid w:val="001D07AE"/>
    <w:rsid w:val="001D4C9F"/>
    <w:rsid w:val="001D5CBF"/>
    <w:rsid w:val="001D6165"/>
    <w:rsid w:val="001D7797"/>
    <w:rsid w:val="001E17E2"/>
    <w:rsid w:val="001E1A8E"/>
    <w:rsid w:val="001E1CF2"/>
    <w:rsid w:val="001E2B50"/>
    <w:rsid w:val="001E30E0"/>
    <w:rsid w:val="001E3BEB"/>
    <w:rsid w:val="001E4A61"/>
    <w:rsid w:val="001E581B"/>
    <w:rsid w:val="001E5CC3"/>
    <w:rsid w:val="001E7C20"/>
    <w:rsid w:val="001F366C"/>
    <w:rsid w:val="001F685B"/>
    <w:rsid w:val="001F6F29"/>
    <w:rsid w:val="001F76C3"/>
    <w:rsid w:val="002011C3"/>
    <w:rsid w:val="00201507"/>
    <w:rsid w:val="00201E81"/>
    <w:rsid w:val="0020593B"/>
    <w:rsid w:val="00205D4D"/>
    <w:rsid w:val="00211048"/>
    <w:rsid w:val="0021332A"/>
    <w:rsid w:val="002159B9"/>
    <w:rsid w:val="002166DF"/>
    <w:rsid w:val="00216AE6"/>
    <w:rsid w:val="00221FF8"/>
    <w:rsid w:val="0022532D"/>
    <w:rsid w:val="00225623"/>
    <w:rsid w:val="00225CB9"/>
    <w:rsid w:val="00226460"/>
    <w:rsid w:val="00230D41"/>
    <w:rsid w:val="002320E8"/>
    <w:rsid w:val="00232D3A"/>
    <w:rsid w:val="002330EF"/>
    <w:rsid w:val="002350B0"/>
    <w:rsid w:val="0023648A"/>
    <w:rsid w:val="0023729E"/>
    <w:rsid w:val="00237DE3"/>
    <w:rsid w:val="00237E59"/>
    <w:rsid w:val="00240360"/>
    <w:rsid w:val="00241C24"/>
    <w:rsid w:val="00251584"/>
    <w:rsid w:val="0025347F"/>
    <w:rsid w:val="00254047"/>
    <w:rsid w:val="00255ACD"/>
    <w:rsid w:val="00257ECB"/>
    <w:rsid w:val="00260A8A"/>
    <w:rsid w:val="00260B2D"/>
    <w:rsid w:val="00262562"/>
    <w:rsid w:val="00262F26"/>
    <w:rsid w:val="00263C09"/>
    <w:rsid w:val="00264C59"/>
    <w:rsid w:val="00267C5E"/>
    <w:rsid w:val="0027013B"/>
    <w:rsid w:val="00271F32"/>
    <w:rsid w:val="002731FF"/>
    <w:rsid w:val="002736D9"/>
    <w:rsid w:val="00274BAF"/>
    <w:rsid w:val="00275732"/>
    <w:rsid w:val="00276313"/>
    <w:rsid w:val="00276A69"/>
    <w:rsid w:val="00277301"/>
    <w:rsid w:val="00282480"/>
    <w:rsid w:val="002845ED"/>
    <w:rsid w:val="00285C90"/>
    <w:rsid w:val="00285D3F"/>
    <w:rsid w:val="0028614F"/>
    <w:rsid w:val="00287379"/>
    <w:rsid w:val="002912FC"/>
    <w:rsid w:val="0029179B"/>
    <w:rsid w:val="002923D7"/>
    <w:rsid w:val="002932E6"/>
    <w:rsid w:val="0029331D"/>
    <w:rsid w:val="00296D4C"/>
    <w:rsid w:val="002A0D34"/>
    <w:rsid w:val="002A2623"/>
    <w:rsid w:val="002B1157"/>
    <w:rsid w:val="002B3C2B"/>
    <w:rsid w:val="002B4107"/>
    <w:rsid w:val="002B4648"/>
    <w:rsid w:val="002B5CF6"/>
    <w:rsid w:val="002B5E36"/>
    <w:rsid w:val="002B645F"/>
    <w:rsid w:val="002B742A"/>
    <w:rsid w:val="002C006E"/>
    <w:rsid w:val="002C2F6C"/>
    <w:rsid w:val="002C6489"/>
    <w:rsid w:val="002C77EF"/>
    <w:rsid w:val="002C7CE4"/>
    <w:rsid w:val="002D27D2"/>
    <w:rsid w:val="002D5AF3"/>
    <w:rsid w:val="002D79EC"/>
    <w:rsid w:val="002D7D23"/>
    <w:rsid w:val="002E1A73"/>
    <w:rsid w:val="002E2C4E"/>
    <w:rsid w:val="002E2DA0"/>
    <w:rsid w:val="002E3812"/>
    <w:rsid w:val="002E3B67"/>
    <w:rsid w:val="002F72FF"/>
    <w:rsid w:val="00300785"/>
    <w:rsid w:val="00303B14"/>
    <w:rsid w:val="003052CD"/>
    <w:rsid w:val="00305A55"/>
    <w:rsid w:val="00307714"/>
    <w:rsid w:val="00310269"/>
    <w:rsid w:val="00310DD3"/>
    <w:rsid w:val="00311F04"/>
    <w:rsid w:val="00313FB8"/>
    <w:rsid w:val="00315CD9"/>
    <w:rsid w:val="00316AA3"/>
    <w:rsid w:val="0031728A"/>
    <w:rsid w:val="003178C5"/>
    <w:rsid w:val="003208A8"/>
    <w:rsid w:val="00322A11"/>
    <w:rsid w:val="0032637B"/>
    <w:rsid w:val="00327050"/>
    <w:rsid w:val="00327F25"/>
    <w:rsid w:val="00331CA0"/>
    <w:rsid w:val="00332DC5"/>
    <w:rsid w:val="0033309E"/>
    <w:rsid w:val="003333F8"/>
    <w:rsid w:val="00334863"/>
    <w:rsid w:val="00334C5B"/>
    <w:rsid w:val="0033687B"/>
    <w:rsid w:val="00342ED3"/>
    <w:rsid w:val="00344630"/>
    <w:rsid w:val="00350EBE"/>
    <w:rsid w:val="003522D2"/>
    <w:rsid w:val="0035310C"/>
    <w:rsid w:val="0035400F"/>
    <w:rsid w:val="00354F76"/>
    <w:rsid w:val="00355237"/>
    <w:rsid w:val="003557C5"/>
    <w:rsid w:val="00355FB4"/>
    <w:rsid w:val="003604FF"/>
    <w:rsid w:val="0036056D"/>
    <w:rsid w:val="00362667"/>
    <w:rsid w:val="00362BA3"/>
    <w:rsid w:val="00362D41"/>
    <w:rsid w:val="00364395"/>
    <w:rsid w:val="003749F6"/>
    <w:rsid w:val="00374F66"/>
    <w:rsid w:val="00375B5E"/>
    <w:rsid w:val="003761E4"/>
    <w:rsid w:val="00376697"/>
    <w:rsid w:val="00377A23"/>
    <w:rsid w:val="00380C28"/>
    <w:rsid w:val="00383AB9"/>
    <w:rsid w:val="00385868"/>
    <w:rsid w:val="00386422"/>
    <w:rsid w:val="00386584"/>
    <w:rsid w:val="00386AE5"/>
    <w:rsid w:val="00390800"/>
    <w:rsid w:val="00395ECE"/>
    <w:rsid w:val="0039622C"/>
    <w:rsid w:val="003970E3"/>
    <w:rsid w:val="003A1E6E"/>
    <w:rsid w:val="003A5BA9"/>
    <w:rsid w:val="003A676D"/>
    <w:rsid w:val="003B2E2A"/>
    <w:rsid w:val="003B309F"/>
    <w:rsid w:val="003B327D"/>
    <w:rsid w:val="003B55A2"/>
    <w:rsid w:val="003B5AB6"/>
    <w:rsid w:val="003B6E2E"/>
    <w:rsid w:val="003B745E"/>
    <w:rsid w:val="003C06B3"/>
    <w:rsid w:val="003C139C"/>
    <w:rsid w:val="003C2B36"/>
    <w:rsid w:val="003C2FAA"/>
    <w:rsid w:val="003C3EF6"/>
    <w:rsid w:val="003C4822"/>
    <w:rsid w:val="003C7039"/>
    <w:rsid w:val="003D3483"/>
    <w:rsid w:val="003D354E"/>
    <w:rsid w:val="003D384C"/>
    <w:rsid w:val="003D3D2D"/>
    <w:rsid w:val="003D437D"/>
    <w:rsid w:val="003D53B4"/>
    <w:rsid w:val="003D7638"/>
    <w:rsid w:val="003E015A"/>
    <w:rsid w:val="003E6F92"/>
    <w:rsid w:val="003E71E5"/>
    <w:rsid w:val="003F1B5E"/>
    <w:rsid w:val="003F3D4F"/>
    <w:rsid w:val="003F40A0"/>
    <w:rsid w:val="003F741D"/>
    <w:rsid w:val="003F7BF6"/>
    <w:rsid w:val="00400E5C"/>
    <w:rsid w:val="00401D1A"/>
    <w:rsid w:val="00401FE3"/>
    <w:rsid w:val="004026B5"/>
    <w:rsid w:val="00402D6C"/>
    <w:rsid w:val="004044AA"/>
    <w:rsid w:val="00405323"/>
    <w:rsid w:val="00406305"/>
    <w:rsid w:val="004064CE"/>
    <w:rsid w:val="00406A08"/>
    <w:rsid w:val="00406BF7"/>
    <w:rsid w:val="00407E27"/>
    <w:rsid w:val="00413F62"/>
    <w:rsid w:val="004150E4"/>
    <w:rsid w:val="00416780"/>
    <w:rsid w:val="00417A8D"/>
    <w:rsid w:val="00420859"/>
    <w:rsid w:val="00421061"/>
    <w:rsid w:val="004335F2"/>
    <w:rsid w:val="004358D4"/>
    <w:rsid w:val="00436E86"/>
    <w:rsid w:val="00437B92"/>
    <w:rsid w:val="00441C37"/>
    <w:rsid w:val="00441D65"/>
    <w:rsid w:val="0044465C"/>
    <w:rsid w:val="00444AF1"/>
    <w:rsid w:val="00444D92"/>
    <w:rsid w:val="00453640"/>
    <w:rsid w:val="00454754"/>
    <w:rsid w:val="00454E90"/>
    <w:rsid w:val="00455B76"/>
    <w:rsid w:val="004604DF"/>
    <w:rsid w:val="00460C55"/>
    <w:rsid w:val="00461E5B"/>
    <w:rsid w:val="00462FA3"/>
    <w:rsid w:val="00463BB3"/>
    <w:rsid w:val="004654D1"/>
    <w:rsid w:val="004656D7"/>
    <w:rsid w:val="004674D9"/>
    <w:rsid w:val="004700D4"/>
    <w:rsid w:val="00471749"/>
    <w:rsid w:val="00471A9A"/>
    <w:rsid w:val="00472D25"/>
    <w:rsid w:val="004766EC"/>
    <w:rsid w:val="00477022"/>
    <w:rsid w:val="004818A8"/>
    <w:rsid w:val="004821DC"/>
    <w:rsid w:val="004839B4"/>
    <w:rsid w:val="004849B9"/>
    <w:rsid w:val="004852EA"/>
    <w:rsid w:val="0048585B"/>
    <w:rsid w:val="00485B20"/>
    <w:rsid w:val="00491B06"/>
    <w:rsid w:val="0049208F"/>
    <w:rsid w:val="00492148"/>
    <w:rsid w:val="00493932"/>
    <w:rsid w:val="004946CB"/>
    <w:rsid w:val="00494DB9"/>
    <w:rsid w:val="004968AA"/>
    <w:rsid w:val="004A0572"/>
    <w:rsid w:val="004A107F"/>
    <w:rsid w:val="004A2F75"/>
    <w:rsid w:val="004A65DA"/>
    <w:rsid w:val="004A6AE3"/>
    <w:rsid w:val="004B1873"/>
    <w:rsid w:val="004B4128"/>
    <w:rsid w:val="004C0652"/>
    <w:rsid w:val="004C0A6F"/>
    <w:rsid w:val="004C25C4"/>
    <w:rsid w:val="004C3602"/>
    <w:rsid w:val="004C78EE"/>
    <w:rsid w:val="004D030D"/>
    <w:rsid w:val="004D143F"/>
    <w:rsid w:val="004D1BDC"/>
    <w:rsid w:val="004D25A8"/>
    <w:rsid w:val="004D49AD"/>
    <w:rsid w:val="004D6E40"/>
    <w:rsid w:val="004D7804"/>
    <w:rsid w:val="004E1079"/>
    <w:rsid w:val="004E3394"/>
    <w:rsid w:val="004E69C8"/>
    <w:rsid w:val="004E7DE3"/>
    <w:rsid w:val="004F1624"/>
    <w:rsid w:val="004F53FB"/>
    <w:rsid w:val="004F7817"/>
    <w:rsid w:val="00500653"/>
    <w:rsid w:val="00501D3C"/>
    <w:rsid w:val="0050303E"/>
    <w:rsid w:val="00506576"/>
    <w:rsid w:val="0051141C"/>
    <w:rsid w:val="005116CE"/>
    <w:rsid w:val="005143CD"/>
    <w:rsid w:val="0051480C"/>
    <w:rsid w:val="00516644"/>
    <w:rsid w:val="005176A6"/>
    <w:rsid w:val="00521A91"/>
    <w:rsid w:val="00524841"/>
    <w:rsid w:val="0052580F"/>
    <w:rsid w:val="0052622C"/>
    <w:rsid w:val="00527594"/>
    <w:rsid w:val="00531360"/>
    <w:rsid w:val="005313A2"/>
    <w:rsid w:val="00533E26"/>
    <w:rsid w:val="00535DC9"/>
    <w:rsid w:val="0053606E"/>
    <w:rsid w:val="00537CCC"/>
    <w:rsid w:val="00537D01"/>
    <w:rsid w:val="00540979"/>
    <w:rsid w:val="0054117B"/>
    <w:rsid w:val="00541393"/>
    <w:rsid w:val="005462D5"/>
    <w:rsid w:val="00547FC4"/>
    <w:rsid w:val="00552E7C"/>
    <w:rsid w:val="0055330C"/>
    <w:rsid w:val="00553772"/>
    <w:rsid w:val="005568C6"/>
    <w:rsid w:val="00557529"/>
    <w:rsid w:val="00561358"/>
    <w:rsid w:val="00561A8D"/>
    <w:rsid w:val="00565715"/>
    <w:rsid w:val="00570588"/>
    <w:rsid w:val="00570B6E"/>
    <w:rsid w:val="00573C3F"/>
    <w:rsid w:val="005743E7"/>
    <w:rsid w:val="00575FE5"/>
    <w:rsid w:val="0058175C"/>
    <w:rsid w:val="00585178"/>
    <w:rsid w:val="00585A7D"/>
    <w:rsid w:val="00586615"/>
    <w:rsid w:val="00586E3C"/>
    <w:rsid w:val="00590651"/>
    <w:rsid w:val="00591D6C"/>
    <w:rsid w:val="00594796"/>
    <w:rsid w:val="00594864"/>
    <w:rsid w:val="005957A1"/>
    <w:rsid w:val="00596109"/>
    <w:rsid w:val="005962B4"/>
    <w:rsid w:val="005A03AD"/>
    <w:rsid w:val="005A2A7B"/>
    <w:rsid w:val="005A2B9E"/>
    <w:rsid w:val="005A4469"/>
    <w:rsid w:val="005A4DA0"/>
    <w:rsid w:val="005A71D0"/>
    <w:rsid w:val="005A7B72"/>
    <w:rsid w:val="005B0FB9"/>
    <w:rsid w:val="005B1576"/>
    <w:rsid w:val="005B1734"/>
    <w:rsid w:val="005B2919"/>
    <w:rsid w:val="005B48D1"/>
    <w:rsid w:val="005B4A06"/>
    <w:rsid w:val="005B7353"/>
    <w:rsid w:val="005C0740"/>
    <w:rsid w:val="005C1EE8"/>
    <w:rsid w:val="005C24F9"/>
    <w:rsid w:val="005C29D2"/>
    <w:rsid w:val="005C2AD6"/>
    <w:rsid w:val="005C3F07"/>
    <w:rsid w:val="005C4B6E"/>
    <w:rsid w:val="005C647A"/>
    <w:rsid w:val="005D0D17"/>
    <w:rsid w:val="005D1D24"/>
    <w:rsid w:val="005D40EB"/>
    <w:rsid w:val="005D4AB8"/>
    <w:rsid w:val="005E0EF5"/>
    <w:rsid w:val="005F0C2D"/>
    <w:rsid w:val="005F2C95"/>
    <w:rsid w:val="005F3374"/>
    <w:rsid w:val="005F36DC"/>
    <w:rsid w:val="005F4913"/>
    <w:rsid w:val="005F5365"/>
    <w:rsid w:val="0060002F"/>
    <w:rsid w:val="00603A3A"/>
    <w:rsid w:val="00603BE1"/>
    <w:rsid w:val="00603C89"/>
    <w:rsid w:val="0060427D"/>
    <w:rsid w:val="006063B3"/>
    <w:rsid w:val="00610FEB"/>
    <w:rsid w:val="006132B9"/>
    <w:rsid w:val="00613BBF"/>
    <w:rsid w:val="0061583F"/>
    <w:rsid w:val="00617865"/>
    <w:rsid w:val="0062293A"/>
    <w:rsid w:val="0062330B"/>
    <w:rsid w:val="006237FF"/>
    <w:rsid w:val="006239AC"/>
    <w:rsid w:val="00624BAC"/>
    <w:rsid w:val="00625C66"/>
    <w:rsid w:val="006274AD"/>
    <w:rsid w:val="00630342"/>
    <w:rsid w:val="0063229C"/>
    <w:rsid w:val="00643113"/>
    <w:rsid w:val="00645507"/>
    <w:rsid w:val="00645A47"/>
    <w:rsid w:val="00651B5C"/>
    <w:rsid w:val="006534C5"/>
    <w:rsid w:val="00653D2B"/>
    <w:rsid w:val="0065514A"/>
    <w:rsid w:val="00655C66"/>
    <w:rsid w:val="0066280F"/>
    <w:rsid w:val="00662FC9"/>
    <w:rsid w:val="00663E32"/>
    <w:rsid w:val="00665C87"/>
    <w:rsid w:val="00671268"/>
    <w:rsid w:val="00674E7F"/>
    <w:rsid w:val="006760D5"/>
    <w:rsid w:val="006767F8"/>
    <w:rsid w:val="006849B9"/>
    <w:rsid w:val="00691771"/>
    <w:rsid w:val="006962B8"/>
    <w:rsid w:val="006A5AEB"/>
    <w:rsid w:val="006A620F"/>
    <w:rsid w:val="006B00FF"/>
    <w:rsid w:val="006B0542"/>
    <w:rsid w:val="006B088E"/>
    <w:rsid w:val="006B1A79"/>
    <w:rsid w:val="006B3379"/>
    <w:rsid w:val="006B3838"/>
    <w:rsid w:val="006B45ED"/>
    <w:rsid w:val="006B4B6D"/>
    <w:rsid w:val="006C1EEB"/>
    <w:rsid w:val="006C30FB"/>
    <w:rsid w:val="006C39D9"/>
    <w:rsid w:val="006C5AA9"/>
    <w:rsid w:val="006C6772"/>
    <w:rsid w:val="006C696B"/>
    <w:rsid w:val="006C6A70"/>
    <w:rsid w:val="006D0032"/>
    <w:rsid w:val="006D0269"/>
    <w:rsid w:val="006D0E91"/>
    <w:rsid w:val="006D1CB2"/>
    <w:rsid w:val="006D2D3C"/>
    <w:rsid w:val="006E20F4"/>
    <w:rsid w:val="006E41CD"/>
    <w:rsid w:val="006E48AE"/>
    <w:rsid w:val="006E5A17"/>
    <w:rsid w:val="006E7AAC"/>
    <w:rsid w:val="006E7FB1"/>
    <w:rsid w:val="006F52C2"/>
    <w:rsid w:val="006F613D"/>
    <w:rsid w:val="006F7576"/>
    <w:rsid w:val="006F7BCE"/>
    <w:rsid w:val="00702229"/>
    <w:rsid w:val="00702E8D"/>
    <w:rsid w:val="0070439E"/>
    <w:rsid w:val="007046CF"/>
    <w:rsid w:val="007064F8"/>
    <w:rsid w:val="00710E53"/>
    <w:rsid w:val="007132B1"/>
    <w:rsid w:val="00715AD9"/>
    <w:rsid w:val="00723BDA"/>
    <w:rsid w:val="00724B67"/>
    <w:rsid w:val="007262E1"/>
    <w:rsid w:val="00726717"/>
    <w:rsid w:val="007333A1"/>
    <w:rsid w:val="00733411"/>
    <w:rsid w:val="0073659B"/>
    <w:rsid w:val="0073669D"/>
    <w:rsid w:val="00740594"/>
    <w:rsid w:val="00741B9E"/>
    <w:rsid w:val="00741EAD"/>
    <w:rsid w:val="007432D0"/>
    <w:rsid w:val="00745B9A"/>
    <w:rsid w:val="00746A27"/>
    <w:rsid w:val="00751B9E"/>
    <w:rsid w:val="00753174"/>
    <w:rsid w:val="007541A4"/>
    <w:rsid w:val="00755BDA"/>
    <w:rsid w:val="00760A19"/>
    <w:rsid w:val="00760C34"/>
    <w:rsid w:val="007639B0"/>
    <w:rsid w:val="00763E12"/>
    <w:rsid w:val="00766094"/>
    <w:rsid w:val="00767B78"/>
    <w:rsid w:val="0077024C"/>
    <w:rsid w:val="0077105D"/>
    <w:rsid w:val="00771776"/>
    <w:rsid w:val="007730F8"/>
    <w:rsid w:val="00776E86"/>
    <w:rsid w:val="007775B8"/>
    <w:rsid w:val="00782B52"/>
    <w:rsid w:val="00783BE9"/>
    <w:rsid w:val="0078778A"/>
    <w:rsid w:val="007903B6"/>
    <w:rsid w:val="00790690"/>
    <w:rsid w:val="0079121C"/>
    <w:rsid w:val="007936D0"/>
    <w:rsid w:val="00793FF6"/>
    <w:rsid w:val="007A1361"/>
    <w:rsid w:val="007A2A19"/>
    <w:rsid w:val="007A348D"/>
    <w:rsid w:val="007A50E5"/>
    <w:rsid w:val="007A5272"/>
    <w:rsid w:val="007A55D7"/>
    <w:rsid w:val="007B04C9"/>
    <w:rsid w:val="007B4A53"/>
    <w:rsid w:val="007B5C75"/>
    <w:rsid w:val="007C2F04"/>
    <w:rsid w:val="007C4EF7"/>
    <w:rsid w:val="007C7ACD"/>
    <w:rsid w:val="007D777A"/>
    <w:rsid w:val="007D795F"/>
    <w:rsid w:val="007E3414"/>
    <w:rsid w:val="007E345B"/>
    <w:rsid w:val="007E3509"/>
    <w:rsid w:val="007E595D"/>
    <w:rsid w:val="007E6F08"/>
    <w:rsid w:val="007F0846"/>
    <w:rsid w:val="007F3131"/>
    <w:rsid w:val="007F3BC6"/>
    <w:rsid w:val="00800ADF"/>
    <w:rsid w:val="00800E4E"/>
    <w:rsid w:val="008017E3"/>
    <w:rsid w:val="00801E1D"/>
    <w:rsid w:val="00803196"/>
    <w:rsid w:val="00804651"/>
    <w:rsid w:val="00806508"/>
    <w:rsid w:val="008068B3"/>
    <w:rsid w:val="00807AEB"/>
    <w:rsid w:val="0081058E"/>
    <w:rsid w:val="008111A3"/>
    <w:rsid w:val="0081131C"/>
    <w:rsid w:val="0081229F"/>
    <w:rsid w:val="00812C81"/>
    <w:rsid w:val="00814F39"/>
    <w:rsid w:val="008152C8"/>
    <w:rsid w:val="00816BB2"/>
    <w:rsid w:val="0082252B"/>
    <w:rsid w:val="008258FA"/>
    <w:rsid w:val="00831134"/>
    <w:rsid w:val="00831F43"/>
    <w:rsid w:val="00832190"/>
    <w:rsid w:val="0083256F"/>
    <w:rsid w:val="0083588F"/>
    <w:rsid w:val="00836D7F"/>
    <w:rsid w:val="00837F81"/>
    <w:rsid w:val="00842402"/>
    <w:rsid w:val="00844041"/>
    <w:rsid w:val="0085382D"/>
    <w:rsid w:val="00860708"/>
    <w:rsid w:val="0086355F"/>
    <w:rsid w:val="00863ABE"/>
    <w:rsid w:val="0086752E"/>
    <w:rsid w:val="00870252"/>
    <w:rsid w:val="00870BDC"/>
    <w:rsid w:val="00870C08"/>
    <w:rsid w:val="00873E9D"/>
    <w:rsid w:val="00874447"/>
    <w:rsid w:val="00877F31"/>
    <w:rsid w:val="0088290B"/>
    <w:rsid w:val="008866B1"/>
    <w:rsid w:val="008876CF"/>
    <w:rsid w:val="00892DAB"/>
    <w:rsid w:val="0089374E"/>
    <w:rsid w:val="00895DCE"/>
    <w:rsid w:val="008A1445"/>
    <w:rsid w:val="008A5EF1"/>
    <w:rsid w:val="008A7762"/>
    <w:rsid w:val="008B17DF"/>
    <w:rsid w:val="008B1D6F"/>
    <w:rsid w:val="008B3AAB"/>
    <w:rsid w:val="008B5209"/>
    <w:rsid w:val="008C2246"/>
    <w:rsid w:val="008C31F2"/>
    <w:rsid w:val="008C6A9B"/>
    <w:rsid w:val="008D072D"/>
    <w:rsid w:val="008D0954"/>
    <w:rsid w:val="008D14C8"/>
    <w:rsid w:val="008D2F07"/>
    <w:rsid w:val="008D4159"/>
    <w:rsid w:val="008D4D7C"/>
    <w:rsid w:val="008D5A5E"/>
    <w:rsid w:val="008E1817"/>
    <w:rsid w:val="008E2543"/>
    <w:rsid w:val="008E3622"/>
    <w:rsid w:val="008E4791"/>
    <w:rsid w:val="008E4C2F"/>
    <w:rsid w:val="008E5458"/>
    <w:rsid w:val="008E6607"/>
    <w:rsid w:val="008F13D3"/>
    <w:rsid w:val="008F306D"/>
    <w:rsid w:val="008F3C77"/>
    <w:rsid w:val="008F69E7"/>
    <w:rsid w:val="0090151F"/>
    <w:rsid w:val="00903A50"/>
    <w:rsid w:val="00903ADC"/>
    <w:rsid w:val="00904FE7"/>
    <w:rsid w:val="00907CEA"/>
    <w:rsid w:val="00911A6C"/>
    <w:rsid w:val="009151C7"/>
    <w:rsid w:val="009175CE"/>
    <w:rsid w:val="009231AA"/>
    <w:rsid w:val="00923F32"/>
    <w:rsid w:val="00923FB7"/>
    <w:rsid w:val="00924457"/>
    <w:rsid w:val="00925BFC"/>
    <w:rsid w:val="00926D86"/>
    <w:rsid w:val="00926D9A"/>
    <w:rsid w:val="0093114F"/>
    <w:rsid w:val="009311C0"/>
    <w:rsid w:val="00932114"/>
    <w:rsid w:val="0093580C"/>
    <w:rsid w:val="009424F5"/>
    <w:rsid w:val="00942C58"/>
    <w:rsid w:val="00942E04"/>
    <w:rsid w:val="0094463D"/>
    <w:rsid w:val="009458C0"/>
    <w:rsid w:val="009462B3"/>
    <w:rsid w:val="00946CD5"/>
    <w:rsid w:val="0094713A"/>
    <w:rsid w:val="0095067E"/>
    <w:rsid w:val="009516D5"/>
    <w:rsid w:val="00951E14"/>
    <w:rsid w:val="00952CDD"/>
    <w:rsid w:val="0096762F"/>
    <w:rsid w:val="00971365"/>
    <w:rsid w:val="00972171"/>
    <w:rsid w:val="0097255E"/>
    <w:rsid w:val="00972B3E"/>
    <w:rsid w:val="00973CDE"/>
    <w:rsid w:val="00975116"/>
    <w:rsid w:val="00981EF3"/>
    <w:rsid w:val="009855E5"/>
    <w:rsid w:val="00985BE1"/>
    <w:rsid w:val="0098797A"/>
    <w:rsid w:val="00987C38"/>
    <w:rsid w:val="009920F4"/>
    <w:rsid w:val="00992584"/>
    <w:rsid w:val="00994CD4"/>
    <w:rsid w:val="00997D35"/>
    <w:rsid w:val="009A0CD8"/>
    <w:rsid w:val="009A2DCF"/>
    <w:rsid w:val="009A6809"/>
    <w:rsid w:val="009A70B4"/>
    <w:rsid w:val="009B19D3"/>
    <w:rsid w:val="009B1DD1"/>
    <w:rsid w:val="009B24D6"/>
    <w:rsid w:val="009B669D"/>
    <w:rsid w:val="009B72E3"/>
    <w:rsid w:val="009B7E4E"/>
    <w:rsid w:val="009C007B"/>
    <w:rsid w:val="009C0DB4"/>
    <w:rsid w:val="009C1387"/>
    <w:rsid w:val="009C4414"/>
    <w:rsid w:val="009C62A7"/>
    <w:rsid w:val="009D0106"/>
    <w:rsid w:val="009D5AE9"/>
    <w:rsid w:val="009D6DB8"/>
    <w:rsid w:val="009D71E8"/>
    <w:rsid w:val="009D7A78"/>
    <w:rsid w:val="009D7DCC"/>
    <w:rsid w:val="009E626A"/>
    <w:rsid w:val="009F0F47"/>
    <w:rsid w:val="009F1058"/>
    <w:rsid w:val="009F1F55"/>
    <w:rsid w:val="009F3C99"/>
    <w:rsid w:val="009F4430"/>
    <w:rsid w:val="009F4FD7"/>
    <w:rsid w:val="009F659C"/>
    <w:rsid w:val="00A00215"/>
    <w:rsid w:val="00A01F09"/>
    <w:rsid w:val="00A0488A"/>
    <w:rsid w:val="00A05F58"/>
    <w:rsid w:val="00A12508"/>
    <w:rsid w:val="00A13428"/>
    <w:rsid w:val="00A135CE"/>
    <w:rsid w:val="00A16176"/>
    <w:rsid w:val="00A222BB"/>
    <w:rsid w:val="00A22E4F"/>
    <w:rsid w:val="00A233D2"/>
    <w:rsid w:val="00A24FC2"/>
    <w:rsid w:val="00A257C7"/>
    <w:rsid w:val="00A257EC"/>
    <w:rsid w:val="00A26360"/>
    <w:rsid w:val="00A26390"/>
    <w:rsid w:val="00A26C68"/>
    <w:rsid w:val="00A27B41"/>
    <w:rsid w:val="00A3059B"/>
    <w:rsid w:val="00A347AB"/>
    <w:rsid w:val="00A35157"/>
    <w:rsid w:val="00A35CE3"/>
    <w:rsid w:val="00A35DBD"/>
    <w:rsid w:val="00A35EE8"/>
    <w:rsid w:val="00A37E21"/>
    <w:rsid w:val="00A43DBB"/>
    <w:rsid w:val="00A46114"/>
    <w:rsid w:val="00A46261"/>
    <w:rsid w:val="00A4646F"/>
    <w:rsid w:val="00A47D06"/>
    <w:rsid w:val="00A53ED8"/>
    <w:rsid w:val="00A5502F"/>
    <w:rsid w:val="00A55C25"/>
    <w:rsid w:val="00A567F9"/>
    <w:rsid w:val="00A6241E"/>
    <w:rsid w:val="00A70789"/>
    <w:rsid w:val="00A70F03"/>
    <w:rsid w:val="00A73F23"/>
    <w:rsid w:val="00A7412F"/>
    <w:rsid w:val="00A74322"/>
    <w:rsid w:val="00A776F2"/>
    <w:rsid w:val="00A83619"/>
    <w:rsid w:val="00A86779"/>
    <w:rsid w:val="00A87F45"/>
    <w:rsid w:val="00A93A6F"/>
    <w:rsid w:val="00A9599C"/>
    <w:rsid w:val="00A95D38"/>
    <w:rsid w:val="00A95F0E"/>
    <w:rsid w:val="00A974DD"/>
    <w:rsid w:val="00AA26E3"/>
    <w:rsid w:val="00AA3FBB"/>
    <w:rsid w:val="00AA7E0E"/>
    <w:rsid w:val="00AB1674"/>
    <w:rsid w:val="00AB4AFC"/>
    <w:rsid w:val="00AB6969"/>
    <w:rsid w:val="00AB6A61"/>
    <w:rsid w:val="00AC19C2"/>
    <w:rsid w:val="00AD0DC8"/>
    <w:rsid w:val="00AD15CA"/>
    <w:rsid w:val="00AD39BE"/>
    <w:rsid w:val="00AD40E3"/>
    <w:rsid w:val="00AD71BC"/>
    <w:rsid w:val="00AD74FB"/>
    <w:rsid w:val="00AE1AAA"/>
    <w:rsid w:val="00AE1F1B"/>
    <w:rsid w:val="00AE1F22"/>
    <w:rsid w:val="00AE3232"/>
    <w:rsid w:val="00AE6ACC"/>
    <w:rsid w:val="00AE6C80"/>
    <w:rsid w:val="00AE6F59"/>
    <w:rsid w:val="00AE7DF8"/>
    <w:rsid w:val="00AF0E41"/>
    <w:rsid w:val="00AF1343"/>
    <w:rsid w:val="00AF21D1"/>
    <w:rsid w:val="00AF34A5"/>
    <w:rsid w:val="00AF3861"/>
    <w:rsid w:val="00AF7D0F"/>
    <w:rsid w:val="00B01028"/>
    <w:rsid w:val="00B01462"/>
    <w:rsid w:val="00B03817"/>
    <w:rsid w:val="00B053EF"/>
    <w:rsid w:val="00B102B9"/>
    <w:rsid w:val="00B11BB8"/>
    <w:rsid w:val="00B12B2D"/>
    <w:rsid w:val="00B144A4"/>
    <w:rsid w:val="00B14907"/>
    <w:rsid w:val="00B15223"/>
    <w:rsid w:val="00B217DD"/>
    <w:rsid w:val="00B23988"/>
    <w:rsid w:val="00B27C39"/>
    <w:rsid w:val="00B307AE"/>
    <w:rsid w:val="00B324F4"/>
    <w:rsid w:val="00B32C39"/>
    <w:rsid w:val="00B3370D"/>
    <w:rsid w:val="00B33D25"/>
    <w:rsid w:val="00B35CCB"/>
    <w:rsid w:val="00B4139E"/>
    <w:rsid w:val="00B437ED"/>
    <w:rsid w:val="00B43C00"/>
    <w:rsid w:val="00B507F6"/>
    <w:rsid w:val="00B5195F"/>
    <w:rsid w:val="00B52579"/>
    <w:rsid w:val="00B53CC6"/>
    <w:rsid w:val="00B54243"/>
    <w:rsid w:val="00B553EC"/>
    <w:rsid w:val="00B55DB0"/>
    <w:rsid w:val="00B56DDC"/>
    <w:rsid w:val="00B57BA7"/>
    <w:rsid w:val="00B57F31"/>
    <w:rsid w:val="00B608CA"/>
    <w:rsid w:val="00B61F6C"/>
    <w:rsid w:val="00B62FC6"/>
    <w:rsid w:val="00B63571"/>
    <w:rsid w:val="00B64AC4"/>
    <w:rsid w:val="00B665E3"/>
    <w:rsid w:val="00B66AE8"/>
    <w:rsid w:val="00B671B1"/>
    <w:rsid w:val="00B70B76"/>
    <w:rsid w:val="00B71E47"/>
    <w:rsid w:val="00B72938"/>
    <w:rsid w:val="00B73AA9"/>
    <w:rsid w:val="00B77096"/>
    <w:rsid w:val="00B879F5"/>
    <w:rsid w:val="00B948F5"/>
    <w:rsid w:val="00B94B0B"/>
    <w:rsid w:val="00BA4571"/>
    <w:rsid w:val="00BB2BE5"/>
    <w:rsid w:val="00BB4BDE"/>
    <w:rsid w:val="00BB4FF4"/>
    <w:rsid w:val="00BB796E"/>
    <w:rsid w:val="00BC39F9"/>
    <w:rsid w:val="00BC437C"/>
    <w:rsid w:val="00BC4E15"/>
    <w:rsid w:val="00BC563E"/>
    <w:rsid w:val="00BC5CD4"/>
    <w:rsid w:val="00BD1622"/>
    <w:rsid w:val="00BD5E8D"/>
    <w:rsid w:val="00BD6544"/>
    <w:rsid w:val="00BD735F"/>
    <w:rsid w:val="00BD7FCF"/>
    <w:rsid w:val="00BE0A91"/>
    <w:rsid w:val="00BE6A3E"/>
    <w:rsid w:val="00BE758A"/>
    <w:rsid w:val="00BE7624"/>
    <w:rsid w:val="00BF0BB4"/>
    <w:rsid w:val="00BF135D"/>
    <w:rsid w:val="00BF175C"/>
    <w:rsid w:val="00BF17EC"/>
    <w:rsid w:val="00BF1EAA"/>
    <w:rsid w:val="00BF3672"/>
    <w:rsid w:val="00BF3B35"/>
    <w:rsid w:val="00C0314B"/>
    <w:rsid w:val="00C042EE"/>
    <w:rsid w:val="00C043ED"/>
    <w:rsid w:val="00C0799C"/>
    <w:rsid w:val="00C07E37"/>
    <w:rsid w:val="00C11962"/>
    <w:rsid w:val="00C120A7"/>
    <w:rsid w:val="00C124B6"/>
    <w:rsid w:val="00C13A29"/>
    <w:rsid w:val="00C14544"/>
    <w:rsid w:val="00C1515D"/>
    <w:rsid w:val="00C1640B"/>
    <w:rsid w:val="00C235F9"/>
    <w:rsid w:val="00C3039D"/>
    <w:rsid w:val="00C30623"/>
    <w:rsid w:val="00C3490C"/>
    <w:rsid w:val="00C350CE"/>
    <w:rsid w:val="00C35426"/>
    <w:rsid w:val="00C40748"/>
    <w:rsid w:val="00C517D6"/>
    <w:rsid w:val="00C53B85"/>
    <w:rsid w:val="00C54578"/>
    <w:rsid w:val="00C6064F"/>
    <w:rsid w:val="00C607E5"/>
    <w:rsid w:val="00C64FAF"/>
    <w:rsid w:val="00C655FB"/>
    <w:rsid w:val="00C658A6"/>
    <w:rsid w:val="00C65CE9"/>
    <w:rsid w:val="00C713AC"/>
    <w:rsid w:val="00C71B5B"/>
    <w:rsid w:val="00C73193"/>
    <w:rsid w:val="00C751E1"/>
    <w:rsid w:val="00C76289"/>
    <w:rsid w:val="00C76A1E"/>
    <w:rsid w:val="00C77637"/>
    <w:rsid w:val="00C80139"/>
    <w:rsid w:val="00C8179A"/>
    <w:rsid w:val="00C81ACA"/>
    <w:rsid w:val="00C81C15"/>
    <w:rsid w:val="00C81DF4"/>
    <w:rsid w:val="00C82B7E"/>
    <w:rsid w:val="00C84AA9"/>
    <w:rsid w:val="00C86C80"/>
    <w:rsid w:val="00C90BD1"/>
    <w:rsid w:val="00C92F79"/>
    <w:rsid w:val="00C93782"/>
    <w:rsid w:val="00C93B71"/>
    <w:rsid w:val="00C9527F"/>
    <w:rsid w:val="00C953B7"/>
    <w:rsid w:val="00CA0B26"/>
    <w:rsid w:val="00CA0FC8"/>
    <w:rsid w:val="00CB0506"/>
    <w:rsid w:val="00CB0B30"/>
    <w:rsid w:val="00CB34BC"/>
    <w:rsid w:val="00CB77A4"/>
    <w:rsid w:val="00CC133D"/>
    <w:rsid w:val="00CC332C"/>
    <w:rsid w:val="00CC528D"/>
    <w:rsid w:val="00CC6E10"/>
    <w:rsid w:val="00CD29EA"/>
    <w:rsid w:val="00CD3EF4"/>
    <w:rsid w:val="00CE2791"/>
    <w:rsid w:val="00CE28F3"/>
    <w:rsid w:val="00CE28F9"/>
    <w:rsid w:val="00CE6D11"/>
    <w:rsid w:val="00CE7FC5"/>
    <w:rsid w:val="00CF0035"/>
    <w:rsid w:val="00CF17B7"/>
    <w:rsid w:val="00CF453D"/>
    <w:rsid w:val="00CF5BFC"/>
    <w:rsid w:val="00D02D56"/>
    <w:rsid w:val="00D04427"/>
    <w:rsid w:val="00D044A6"/>
    <w:rsid w:val="00D04A81"/>
    <w:rsid w:val="00D04C3A"/>
    <w:rsid w:val="00D06612"/>
    <w:rsid w:val="00D070D2"/>
    <w:rsid w:val="00D07E90"/>
    <w:rsid w:val="00D12FA1"/>
    <w:rsid w:val="00D145FF"/>
    <w:rsid w:val="00D14626"/>
    <w:rsid w:val="00D14A08"/>
    <w:rsid w:val="00D16D1E"/>
    <w:rsid w:val="00D1713F"/>
    <w:rsid w:val="00D17FBB"/>
    <w:rsid w:val="00D21A53"/>
    <w:rsid w:val="00D22043"/>
    <w:rsid w:val="00D23292"/>
    <w:rsid w:val="00D25CBA"/>
    <w:rsid w:val="00D30A2C"/>
    <w:rsid w:val="00D322B4"/>
    <w:rsid w:val="00D33FE5"/>
    <w:rsid w:val="00D34CD8"/>
    <w:rsid w:val="00D372F9"/>
    <w:rsid w:val="00D374A8"/>
    <w:rsid w:val="00D37632"/>
    <w:rsid w:val="00D3774E"/>
    <w:rsid w:val="00D377C4"/>
    <w:rsid w:val="00D4133A"/>
    <w:rsid w:val="00D424D4"/>
    <w:rsid w:val="00D444A4"/>
    <w:rsid w:val="00D45415"/>
    <w:rsid w:val="00D50264"/>
    <w:rsid w:val="00D503E2"/>
    <w:rsid w:val="00D516D5"/>
    <w:rsid w:val="00D51A3D"/>
    <w:rsid w:val="00D51EFF"/>
    <w:rsid w:val="00D52BD4"/>
    <w:rsid w:val="00D53909"/>
    <w:rsid w:val="00D53929"/>
    <w:rsid w:val="00D554AC"/>
    <w:rsid w:val="00D563B0"/>
    <w:rsid w:val="00D61BC8"/>
    <w:rsid w:val="00D62412"/>
    <w:rsid w:val="00D63EFA"/>
    <w:rsid w:val="00D66D32"/>
    <w:rsid w:val="00D71372"/>
    <w:rsid w:val="00D71F28"/>
    <w:rsid w:val="00D73F46"/>
    <w:rsid w:val="00D8044A"/>
    <w:rsid w:val="00D8062B"/>
    <w:rsid w:val="00D822E8"/>
    <w:rsid w:val="00D83FA5"/>
    <w:rsid w:val="00D8643C"/>
    <w:rsid w:val="00D965DC"/>
    <w:rsid w:val="00D970CB"/>
    <w:rsid w:val="00DA24BF"/>
    <w:rsid w:val="00DA2609"/>
    <w:rsid w:val="00DA2870"/>
    <w:rsid w:val="00DA31A8"/>
    <w:rsid w:val="00DA44E8"/>
    <w:rsid w:val="00DA4899"/>
    <w:rsid w:val="00DA6DF3"/>
    <w:rsid w:val="00DB1161"/>
    <w:rsid w:val="00DB1BF7"/>
    <w:rsid w:val="00DB4287"/>
    <w:rsid w:val="00DB693F"/>
    <w:rsid w:val="00DC2375"/>
    <w:rsid w:val="00DC47C0"/>
    <w:rsid w:val="00DC5607"/>
    <w:rsid w:val="00DC5F59"/>
    <w:rsid w:val="00DD0B1C"/>
    <w:rsid w:val="00DD0DCE"/>
    <w:rsid w:val="00DD1D95"/>
    <w:rsid w:val="00DD2036"/>
    <w:rsid w:val="00DD27BE"/>
    <w:rsid w:val="00DD2874"/>
    <w:rsid w:val="00DD2E0F"/>
    <w:rsid w:val="00DD3E12"/>
    <w:rsid w:val="00DD7028"/>
    <w:rsid w:val="00DD7E0E"/>
    <w:rsid w:val="00DE02BA"/>
    <w:rsid w:val="00DE1831"/>
    <w:rsid w:val="00DE2293"/>
    <w:rsid w:val="00DE2CD6"/>
    <w:rsid w:val="00DE3868"/>
    <w:rsid w:val="00DE4507"/>
    <w:rsid w:val="00DE6C54"/>
    <w:rsid w:val="00DF0553"/>
    <w:rsid w:val="00DF1A86"/>
    <w:rsid w:val="00DF47DC"/>
    <w:rsid w:val="00E001CE"/>
    <w:rsid w:val="00E0087D"/>
    <w:rsid w:val="00E0167D"/>
    <w:rsid w:val="00E01BA8"/>
    <w:rsid w:val="00E04144"/>
    <w:rsid w:val="00E043B8"/>
    <w:rsid w:val="00E04C88"/>
    <w:rsid w:val="00E04D1C"/>
    <w:rsid w:val="00E0517A"/>
    <w:rsid w:val="00E1078C"/>
    <w:rsid w:val="00E12449"/>
    <w:rsid w:val="00E13B23"/>
    <w:rsid w:val="00E14CF2"/>
    <w:rsid w:val="00E1788B"/>
    <w:rsid w:val="00E21105"/>
    <w:rsid w:val="00E24098"/>
    <w:rsid w:val="00E251DC"/>
    <w:rsid w:val="00E27DBA"/>
    <w:rsid w:val="00E30E73"/>
    <w:rsid w:val="00E311DD"/>
    <w:rsid w:val="00E403BC"/>
    <w:rsid w:val="00E43139"/>
    <w:rsid w:val="00E436E0"/>
    <w:rsid w:val="00E4395D"/>
    <w:rsid w:val="00E44113"/>
    <w:rsid w:val="00E46A5B"/>
    <w:rsid w:val="00E50A54"/>
    <w:rsid w:val="00E51BF1"/>
    <w:rsid w:val="00E5589D"/>
    <w:rsid w:val="00E560E8"/>
    <w:rsid w:val="00E62323"/>
    <w:rsid w:val="00E62E32"/>
    <w:rsid w:val="00E64A29"/>
    <w:rsid w:val="00E66558"/>
    <w:rsid w:val="00E67D6E"/>
    <w:rsid w:val="00E70ADE"/>
    <w:rsid w:val="00E73387"/>
    <w:rsid w:val="00E73B39"/>
    <w:rsid w:val="00E73C96"/>
    <w:rsid w:val="00E7408C"/>
    <w:rsid w:val="00E7566B"/>
    <w:rsid w:val="00E771C9"/>
    <w:rsid w:val="00E80CF5"/>
    <w:rsid w:val="00E8159E"/>
    <w:rsid w:val="00E851CB"/>
    <w:rsid w:val="00E87AFC"/>
    <w:rsid w:val="00E9018D"/>
    <w:rsid w:val="00E90454"/>
    <w:rsid w:val="00E90BE0"/>
    <w:rsid w:val="00E92644"/>
    <w:rsid w:val="00E97BE5"/>
    <w:rsid w:val="00EA021B"/>
    <w:rsid w:val="00EA1ABF"/>
    <w:rsid w:val="00EA3918"/>
    <w:rsid w:val="00EA4084"/>
    <w:rsid w:val="00EA5B86"/>
    <w:rsid w:val="00EA7D16"/>
    <w:rsid w:val="00EB10A2"/>
    <w:rsid w:val="00EB145D"/>
    <w:rsid w:val="00EB376D"/>
    <w:rsid w:val="00EB38DC"/>
    <w:rsid w:val="00EB3FE5"/>
    <w:rsid w:val="00EB46A5"/>
    <w:rsid w:val="00EB553F"/>
    <w:rsid w:val="00EB611B"/>
    <w:rsid w:val="00EB7E18"/>
    <w:rsid w:val="00EC3F22"/>
    <w:rsid w:val="00EC57E8"/>
    <w:rsid w:val="00EC7BC1"/>
    <w:rsid w:val="00ED0921"/>
    <w:rsid w:val="00ED0976"/>
    <w:rsid w:val="00ED1808"/>
    <w:rsid w:val="00ED19AF"/>
    <w:rsid w:val="00ED30B7"/>
    <w:rsid w:val="00ED453C"/>
    <w:rsid w:val="00ED6038"/>
    <w:rsid w:val="00ED61C0"/>
    <w:rsid w:val="00EE1963"/>
    <w:rsid w:val="00EE29B5"/>
    <w:rsid w:val="00EE67C8"/>
    <w:rsid w:val="00EE74AD"/>
    <w:rsid w:val="00EF33CB"/>
    <w:rsid w:val="00EF4201"/>
    <w:rsid w:val="00EF43FA"/>
    <w:rsid w:val="00EF45FB"/>
    <w:rsid w:val="00EF5396"/>
    <w:rsid w:val="00EF61F4"/>
    <w:rsid w:val="00F02A8F"/>
    <w:rsid w:val="00F0353E"/>
    <w:rsid w:val="00F07FDA"/>
    <w:rsid w:val="00F10C92"/>
    <w:rsid w:val="00F13DC8"/>
    <w:rsid w:val="00F141ED"/>
    <w:rsid w:val="00F15143"/>
    <w:rsid w:val="00F214ED"/>
    <w:rsid w:val="00F22B9D"/>
    <w:rsid w:val="00F23FA5"/>
    <w:rsid w:val="00F300EE"/>
    <w:rsid w:val="00F31081"/>
    <w:rsid w:val="00F31794"/>
    <w:rsid w:val="00F32ABE"/>
    <w:rsid w:val="00F32C64"/>
    <w:rsid w:val="00F339AC"/>
    <w:rsid w:val="00F348F5"/>
    <w:rsid w:val="00F34DAE"/>
    <w:rsid w:val="00F359B4"/>
    <w:rsid w:val="00F42784"/>
    <w:rsid w:val="00F42EC4"/>
    <w:rsid w:val="00F469F8"/>
    <w:rsid w:val="00F5158F"/>
    <w:rsid w:val="00F53140"/>
    <w:rsid w:val="00F5402F"/>
    <w:rsid w:val="00F55B3D"/>
    <w:rsid w:val="00F56A55"/>
    <w:rsid w:val="00F56B7F"/>
    <w:rsid w:val="00F57602"/>
    <w:rsid w:val="00F631BE"/>
    <w:rsid w:val="00F63708"/>
    <w:rsid w:val="00F63EE1"/>
    <w:rsid w:val="00F65C70"/>
    <w:rsid w:val="00F65E36"/>
    <w:rsid w:val="00F672D8"/>
    <w:rsid w:val="00F70CA9"/>
    <w:rsid w:val="00F755F7"/>
    <w:rsid w:val="00F81085"/>
    <w:rsid w:val="00F9074B"/>
    <w:rsid w:val="00F91904"/>
    <w:rsid w:val="00F929EB"/>
    <w:rsid w:val="00F937F3"/>
    <w:rsid w:val="00F93D4E"/>
    <w:rsid w:val="00F942B3"/>
    <w:rsid w:val="00F95771"/>
    <w:rsid w:val="00F964BC"/>
    <w:rsid w:val="00F96B71"/>
    <w:rsid w:val="00FA0A8E"/>
    <w:rsid w:val="00FA1E13"/>
    <w:rsid w:val="00FA3171"/>
    <w:rsid w:val="00FA32D2"/>
    <w:rsid w:val="00FA7397"/>
    <w:rsid w:val="00FB0FBB"/>
    <w:rsid w:val="00FB3066"/>
    <w:rsid w:val="00FB3999"/>
    <w:rsid w:val="00FB63FF"/>
    <w:rsid w:val="00FB7623"/>
    <w:rsid w:val="00FB7E23"/>
    <w:rsid w:val="00FC1525"/>
    <w:rsid w:val="00FC312F"/>
    <w:rsid w:val="00FD1339"/>
    <w:rsid w:val="00FD15E8"/>
    <w:rsid w:val="00FD199A"/>
    <w:rsid w:val="00FD1FAD"/>
    <w:rsid w:val="00FD3513"/>
    <w:rsid w:val="00FD4585"/>
    <w:rsid w:val="00FD4A96"/>
    <w:rsid w:val="00FD6BB7"/>
    <w:rsid w:val="00FD747D"/>
    <w:rsid w:val="00FE3838"/>
    <w:rsid w:val="00FE658A"/>
    <w:rsid w:val="00FF386A"/>
    <w:rsid w:val="00FF3E95"/>
    <w:rsid w:val="00FF45BE"/>
    <w:rsid w:val="00FF4B84"/>
    <w:rsid w:val="00FF4CA5"/>
    <w:rsid w:val="00FF6BD1"/>
    <w:rsid w:val="304D3DF2"/>
    <w:rsid w:val="4A430D16"/>
    <w:rsid w:val="6B5BB2E8"/>
    <w:rsid w:val="77D760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3E326F3-3D62-46DA-8B4C-B052FE37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3C7039"/>
    <w:pPr>
      <w:autoSpaceDN/>
    </w:pPr>
    <w:rPr>
      <w:rFonts w:ascii="Comic Sans MS" w:eastAsiaTheme="minorHAnsi" w:hAnsi="Comic Sans MS"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3B5AB6"/>
    <w:pPr>
      <w:suppressAutoHyphens w:val="0"/>
      <w:autoSpaceDN/>
      <w:spacing w:before="100" w:beforeAutospacing="1" w:after="100" w:afterAutospacing="1" w:line="240" w:lineRule="auto"/>
    </w:pPr>
    <w:rPr>
      <w:rFonts w:ascii="Times New Roman" w:hAnsi="Times New Roman"/>
      <w:color w:val="auto"/>
    </w:rPr>
  </w:style>
  <w:style w:type="character" w:customStyle="1" w:styleId="wixguard">
    <w:name w:val="wixguard"/>
    <w:basedOn w:val="DefaultParagraphFont"/>
    <w:rsid w:val="003B5AB6"/>
  </w:style>
  <w:style w:type="paragraph" w:styleId="NoSpacing">
    <w:name w:val="No Spacing"/>
    <w:uiPriority w:val="1"/>
    <w:qFormat/>
    <w:rsid w:val="00C6064F"/>
    <w:pPr>
      <w:suppressAutoHyphens/>
    </w:pPr>
    <w:rPr>
      <w:color w:val="0D0D0D"/>
      <w:sz w:val="24"/>
      <w:szCs w:val="24"/>
    </w:rPr>
  </w:style>
  <w:style w:type="character" w:customStyle="1" w:styleId="UnresolvedMention2">
    <w:name w:val="Unresolved Mention2"/>
    <w:basedOn w:val="DefaultParagraphFont"/>
    <w:uiPriority w:val="99"/>
    <w:semiHidden/>
    <w:unhideWhenUsed/>
    <w:rsid w:val="000927CF"/>
    <w:rPr>
      <w:color w:val="605E5C"/>
      <w:shd w:val="clear" w:color="auto" w:fill="E1DFDD"/>
    </w:rPr>
  </w:style>
  <w:style w:type="paragraph" w:customStyle="1" w:styleId="p1">
    <w:name w:val="p1"/>
    <w:basedOn w:val="Normal"/>
    <w:rsid w:val="00205D4D"/>
    <w:pPr>
      <w:suppressAutoHyphens w:val="0"/>
      <w:autoSpaceDN/>
      <w:spacing w:after="0" w:line="240" w:lineRule="auto"/>
    </w:pPr>
    <w:rPr>
      <w:rFonts w:cs="Arial"/>
      <w:color w:val="000000"/>
      <w:sz w:val="15"/>
      <w:szCs w:val="15"/>
    </w:rPr>
  </w:style>
  <w:style w:type="character" w:customStyle="1" w:styleId="apple-converted-space">
    <w:name w:val="apple-converted-space"/>
    <w:basedOn w:val="DefaultParagraphFont"/>
    <w:rsid w:val="00205D4D"/>
  </w:style>
  <w:style w:type="paragraph" w:customStyle="1" w:styleId="p2">
    <w:name w:val="p2"/>
    <w:basedOn w:val="Normal"/>
    <w:rsid w:val="00494DB9"/>
    <w:pPr>
      <w:suppressAutoHyphens w:val="0"/>
      <w:autoSpaceDN/>
      <w:spacing w:after="0" w:line="240" w:lineRule="auto"/>
    </w:pPr>
    <w:rPr>
      <w:rFonts w:cs="Arial"/>
      <w:color w:val="0C0C0C"/>
      <w:sz w:val="15"/>
      <w:szCs w:val="15"/>
    </w:rPr>
  </w:style>
  <w:style w:type="character" w:customStyle="1" w:styleId="s1">
    <w:name w:val="s1"/>
    <w:basedOn w:val="DefaultParagraphFont"/>
    <w:rsid w:val="00494DB9"/>
    <w:rPr>
      <w:rFonts w:ascii="Helvetica" w:hAnsi="Helvetica" w:hint="default"/>
      <w:sz w:val="15"/>
      <w:szCs w:val="15"/>
    </w:rPr>
  </w:style>
  <w:style w:type="character" w:customStyle="1" w:styleId="s2">
    <w:name w:val="s2"/>
    <w:basedOn w:val="DefaultParagraphFont"/>
    <w:rsid w:val="003C2FAA"/>
    <w:rPr>
      <w:rFonts w:ascii="Helvetica" w:hAnsi="Helvetica" w:hint="default"/>
      <w:color w:val="0C0C0C"/>
      <w:sz w:val="15"/>
      <w:szCs w:val="15"/>
    </w:rPr>
  </w:style>
  <w:style w:type="character" w:customStyle="1" w:styleId="s3">
    <w:name w:val="s3"/>
    <w:basedOn w:val="DefaultParagraphFont"/>
    <w:rsid w:val="003C2FAA"/>
    <w:rPr>
      <w:color w:val="0C0C0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326">
      <w:bodyDiv w:val="1"/>
      <w:marLeft w:val="0"/>
      <w:marRight w:val="0"/>
      <w:marTop w:val="0"/>
      <w:marBottom w:val="0"/>
      <w:divBdr>
        <w:top w:val="none" w:sz="0" w:space="0" w:color="auto"/>
        <w:left w:val="none" w:sz="0" w:space="0" w:color="auto"/>
        <w:bottom w:val="none" w:sz="0" w:space="0" w:color="auto"/>
        <w:right w:val="none" w:sz="0" w:space="0" w:color="auto"/>
      </w:divBdr>
      <w:divsChild>
        <w:div w:id="185170790">
          <w:marLeft w:val="0"/>
          <w:marRight w:val="0"/>
          <w:marTop w:val="0"/>
          <w:marBottom w:val="0"/>
          <w:divBdr>
            <w:top w:val="none" w:sz="0" w:space="0" w:color="auto"/>
            <w:left w:val="none" w:sz="0" w:space="0" w:color="auto"/>
            <w:bottom w:val="none" w:sz="0" w:space="0" w:color="auto"/>
            <w:right w:val="none" w:sz="0" w:space="0" w:color="auto"/>
          </w:divBdr>
        </w:div>
        <w:div w:id="846674597">
          <w:marLeft w:val="0"/>
          <w:marRight w:val="0"/>
          <w:marTop w:val="0"/>
          <w:marBottom w:val="0"/>
          <w:divBdr>
            <w:top w:val="none" w:sz="0" w:space="0" w:color="auto"/>
            <w:left w:val="none" w:sz="0" w:space="0" w:color="auto"/>
            <w:bottom w:val="none" w:sz="0" w:space="0" w:color="auto"/>
            <w:right w:val="none" w:sz="0" w:space="0" w:color="auto"/>
          </w:divBdr>
        </w:div>
        <w:div w:id="1400979921">
          <w:marLeft w:val="0"/>
          <w:marRight w:val="0"/>
          <w:marTop w:val="0"/>
          <w:marBottom w:val="0"/>
          <w:divBdr>
            <w:top w:val="none" w:sz="0" w:space="0" w:color="auto"/>
            <w:left w:val="none" w:sz="0" w:space="0" w:color="auto"/>
            <w:bottom w:val="none" w:sz="0" w:space="0" w:color="auto"/>
            <w:right w:val="none" w:sz="0" w:space="0" w:color="auto"/>
          </w:divBdr>
        </w:div>
      </w:divsChild>
    </w:div>
    <w:div w:id="166949040">
      <w:bodyDiv w:val="1"/>
      <w:marLeft w:val="0"/>
      <w:marRight w:val="0"/>
      <w:marTop w:val="0"/>
      <w:marBottom w:val="0"/>
      <w:divBdr>
        <w:top w:val="none" w:sz="0" w:space="0" w:color="auto"/>
        <w:left w:val="none" w:sz="0" w:space="0" w:color="auto"/>
        <w:bottom w:val="none" w:sz="0" w:space="0" w:color="auto"/>
        <w:right w:val="none" w:sz="0" w:space="0" w:color="auto"/>
      </w:divBdr>
      <w:divsChild>
        <w:div w:id="1058748300">
          <w:marLeft w:val="0"/>
          <w:marRight w:val="0"/>
          <w:marTop w:val="15"/>
          <w:marBottom w:val="0"/>
          <w:divBdr>
            <w:top w:val="single" w:sz="48" w:space="0" w:color="auto"/>
            <w:left w:val="single" w:sz="48" w:space="0" w:color="auto"/>
            <w:bottom w:val="single" w:sz="48" w:space="0" w:color="auto"/>
            <w:right w:val="single" w:sz="48" w:space="0" w:color="auto"/>
          </w:divBdr>
          <w:divsChild>
            <w:div w:id="373427983">
              <w:marLeft w:val="0"/>
              <w:marRight w:val="0"/>
              <w:marTop w:val="0"/>
              <w:marBottom w:val="0"/>
              <w:divBdr>
                <w:top w:val="none" w:sz="0" w:space="0" w:color="auto"/>
                <w:left w:val="none" w:sz="0" w:space="0" w:color="auto"/>
                <w:bottom w:val="none" w:sz="0" w:space="0" w:color="auto"/>
                <w:right w:val="none" w:sz="0" w:space="0" w:color="auto"/>
              </w:divBdr>
              <w:divsChild>
                <w:div w:id="61149303">
                  <w:marLeft w:val="0"/>
                  <w:marRight w:val="0"/>
                  <w:marTop w:val="0"/>
                  <w:marBottom w:val="0"/>
                  <w:divBdr>
                    <w:top w:val="none" w:sz="0" w:space="0" w:color="auto"/>
                    <w:left w:val="none" w:sz="0" w:space="0" w:color="auto"/>
                    <w:bottom w:val="none" w:sz="0" w:space="0" w:color="auto"/>
                    <w:right w:val="none" w:sz="0" w:space="0" w:color="auto"/>
                  </w:divBdr>
                </w:div>
                <w:div w:id="86778276">
                  <w:marLeft w:val="0"/>
                  <w:marRight w:val="0"/>
                  <w:marTop w:val="0"/>
                  <w:marBottom w:val="0"/>
                  <w:divBdr>
                    <w:top w:val="none" w:sz="0" w:space="0" w:color="auto"/>
                    <w:left w:val="none" w:sz="0" w:space="0" w:color="auto"/>
                    <w:bottom w:val="none" w:sz="0" w:space="0" w:color="auto"/>
                    <w:right w:val="none" w:sz="0" w:space="0" w:color="auto"/>
                  </w:divBdr>
                </w:div>
                <w:div w:id="134302299">
                  <w:marLeft w:val="0"/>
                  <w:marRight w:val="0"/>
                  <w:marTop w:val="0"/>
                  <w:marBottom w:val="0"/>
                  <w:divBdr>
                    <w:top w:val="none" w:sz="0" w:space="0" w:color="auto"/>
                    <w:left w:val="none" w:sz="0" w:space="0" w:color="auto"/>
                    <w:bottom w:val="none" w:sz="0" w:space="0" w:color="auto"/>
                    <w:right w:val="none" w:sz="0" w:space="0" w:color="auto"/>
                  </w:divBdr>
                </w:div>
                <w:div w:id="154997386">
                  <w:marLeft w:val="0"/>
                  <w:marRight w:val="0"/>
                  <w:marTop w:val="0"/>
                  <w:marBottom w:val="0"/>
                  <w:divBdr>
                    <w:top w:val="none" w:sz="0" w:space="0" w:color="auto"/>
                    <w:left w:val="none" w:sz="0" w:space="0" w:color="auto"/>
                    <w:bottom w:val="none" w:sz="0" w:space="0" w:color="auto"/>
                    <w:right w:val="none" w:sz="0" w:space="0" w:color="auto"/>
                  </w:divBdr>
                </w:div>
                <w:div w:id="200048517">
                  <w:marLeft w:val="0"/>
                  <w:marRight w:val="0"/>
                  <w:marTop w:val="0"/>
                  <w:marBottom w:val="0"/>
                  <w:divBdr>
                    <w:top w:val="none" w:sz="0" w:space="0" w:color="auto"/>
                    <w:left w:val="none" w:sz="0" w:space="0" w:color="auto"/>
                    <w:bottom w:val="none" w:sz="0" w:space="0" w:color="auto"/>
                    <w:right w:val="none" w:sz="0" w:space="0" w:color="auto"/>
                  </w:divBdr>
                </w:div>
                <w:div w:id="224994085">
                  <w:marLeft w:val="0"/>
                  <w:marRight w:val="0"/>
                  <w:marTop w:val="0"/>
                  <w:marBottom w:val="0"/>
                  <w:divBdr>
                    <w:top w:val="none" w:sz="0" w:space="0" w:color="auto"/>
                    <w:left w:val="none" w:sz="0" w:space="0" w:color="auto"/>
                    <w:bottom w:val="none" w:sz="0" w:space="0" w:color="auto"/>
                    <w:right w:val="none" w:sz="0" w:space="0" w:color="auto"/>
                  </w:divBdr>
                </w:div>
                <w:div w:id="278487113">
                  <w:marLeft w:val="0"/>
                  <w:marRight w:val="0"/>
                  <w:marTop w:val="0"/>
                  <w:marBottom w:val="0"/>
                  <w:divBdr>
                    <w:top w:val="none" w:sz="0" w:space="0" w:color="auto"/>
                    <w:left w:val="none" w:sz="0" w:space="0" w:color="auto"/>
                    <w:bottom w:val="none" w:sz="0" w:space="0" w:color="auto"/>
                    <w:right w:val="none" w:sz="0" w:space="0" w:color="auto"/>
                  </w:divBdr>
                </w:div>
                <w:div w:id="284242833">
                  <w:marLeft w:val="0"/>
                  <w:marRight w:val="0"/>
                  <w:marTop w:val="0"/>
                  <w:marBottom w:val="0"/>
                  <w:divBdr>
                    <w:top w:val="none" w:sz="0" w:space="0" w:color="auto"/>
                    <w:left w:val="none" w:sz="0" w:space="0" w:color="auto"/>
                    <w:bottom w:val="none" w:sz="0" w:space="0" w:color="auto"/>
                    <w:right w:val="none" w:sz="0" w:space="0" w:color="auto"/>
                  </w:divBdr>
                </w:div>
                <w:div w:id="312952502">
                  <w:marLeft w:val="0"/>
                  <w:marRight w:val="0"/>
                  <w:marTop w:val="0"/>
                  <w:marBottom w:val="0"/>
                  <w:divBdr>
                    <w:top w:val="none" w:sz="0" w:space="0" w:color="auto"/>
                    <w:left w:val="none" w:sz="0" w:space="0" w:color="auto"/>
                    <w:bottom w:val="none" w:sz="0" w:space="0" w:color="auto"/>
                    <w:right w:val="none" w:sz="0" w:space="0" w:color="auto"/>
                  </w:divBdr>
                </w:div>
                <w:div w:id="338509031">
                  <w:marLeft w:val="0"/>
                  <w:marRight w:val="0"/>
                  <w:marTop w:val="0"/>
                  <w:marBottom w:val="0"/>
                  <w:divBdr>
                    <w:top w:val="none" w:sz="0" w:space="0" w:color="auto"/>
                    <w:left w:val="none" w:sz="0" w:space="0" w:color="auto"/>
                    <w:bottom w:val="none" w:sz="0" w:space="0" w:color="auto"/>
                    <w:right w:val="none" w:sz="0" w:space="0" w:color="auto"/>
                  </w:divBdr>
                </w:div>
                <w:div w:id="344596077">
                  <w:marLeft w:val="0"/>
                  <w:marRight w:val="0"/>
                  <w:marTop w:val="0"/>
                  <w:marBottom w:val="0"/>
                  <w:divBdr>
                    <w:top w:val="none" w:sz="0" w:space="0" w:color="auto"/>
                    <w:left w:val="none" w:sz="0" w:space="0" w:color="auto"/>
                    <w:bottom w:val="none" w:sz="0" w:space="0" w:color="auto"/>
                    <w:right w:val="none" w:sz="0" w:space="0" w:color="auto"/>
                  </w:divBdr>
                </w:div>
                <w:div w:id="447315662">
                  <w:marLeft w:val="0"/>
                  <w:marRight w:val="0"/>
                  <w:marTop w:val="0"/>
                  <w:marBottom w:val="0"/>
                  <w:divBdr>
                    <w:top w:val="none" w:sz="0" w:space="0" w:color="auto"/>
                    <w:left w:val="none" w:sz="0" w:space="0" w:color="auto"/>
                    <w:bottom w:val="none" w:sz="0" w:space="0" w:color="auto"/>
                    <w:right w:val="none" w:sz="0" w:space="0" w:color="auto"/>
                  </w:divBdr>
                </w:div>
                <w:div w:id="450051864">
                  <w:marLeft w:val="0"/>
                  <w:marRight w:val="0"/>
                  <w:marTop w:val="0"/>
                  <w:marBottom w:val="0"/>
                  <w:divBdr>
                    <w:top w:val="none" w:sz="0" w:space="0" w:color="auto"/>
                    <w:left w:val="none" w:sz="0" w:space="0" w:color="auto"/>
                    <w:bottom w:val="none" w:sz="0" w:space="0" w:color="auto"/>
                    <w:right w:val="none" w:sz="0" w:space="0" w:color="auto"/>
                  </w:divBdr>
                </w:div>
                <w:div w:id="526989352">
                  <w:marLeft w:val="0"/>
                  <w:marRight w:val="0"/>
                  <w:marTop w:val="0"/>
                  <w:marBottom w:val="0"/>
                  <w:divBdr>
                    <w:top w:val="none" w:sz="0" w:space="0" w:color="auto"/>
                    <w:left w:val="none" w:sz="0" w:space="0" w:color="auto"/>
                    <w:bottom w:val="none" w:sz="0" w:space="0" w:color="auto"/>
                    <w:right w:val="none" w:sz="0" w:space="0" w:color="auto"/>
                  </w:divBdr>
                </w:div>
                <w:div w:id="529610786">
                  <w:marLeft w:val="0"/>
                  <w:marRight w:val="0"/>
                  <w:marTop w:val="0"/>
                  <w:marBottom w:val="0"/>
                  <w:divBdr>
                    <w:top w:val="none" w:sz="0" w:space="0" w:color="auto"/>
                    <w:left w:val="none" w:sz="0" w:space="0" w:color="auto"/>
                    <w:bottom w:val="none" w:sz="0" w:space="0" w:color="auto"/>
                    <w:right w:val="none" w:sz="0" w:space="0" w:color="auto"/>
                  </w:divBdr>
                </w:div>
                <w:div w:id="638609593">
                  <w:marLeft w:val="0"/>
                  <w:marRight w:val="0"/>
                  <w:marTop w:val="0"/>
                  <w:marBottom w:val="0"/>
                  <w:divBdr>
                    <w:top w:val="none" w:sz="0" w:space="0" w:color="auto"/>
                    <w:left w:val="none" w:sz="0" w:space="0" w:color="auto"/>
                    <w:bottom w:val="none" w:sz="0" w:space="0" w:color="auto"/>
                    <w:right w:val="none" w:sz="0" w:space="0" w:color="auto"/>
                  </w:divBdr>
                </w:div>
                <w:div w:id="698357969">
                  <w:marLeft w:val="0"/>
                  <w:marRight w:val="0"/>
                  <w:marTop w:val="0"/>
                  <w:marBottom w:val="0"/>
                  <w:divBdr>
                    <w:top w:val="none" w:sz="0" w:space="0" w:color="auto"/>
                    <w:left w:val="none" w:sz="0" w:space="0" w:color="auto"/>
                    <w:bottom w:val="none" w:sz="0" w:space="0" w:color="auto"/>
                    <w:right w:val="none" w:sz="0" w:space="0" w:color="auto"/>
                  </w:divBdr>
                </w:div>
                <w:div w:id="766851516">
                  <w:marLeft w:val="0"/>
                  <w:marRight w:val="0"/>
                  <w:marTop w:val="0"/>
                  <w:marBottom w:val="0"/>
                  <w:divBdr>
                    <w:top w:val="none" w:sz="0" w:space="0" w:color="auto"/>
                    <w:left w:val="none" w:sz="0" w:space="0" w:color="auto"/>
                    <w:bottom w:val="none" w:sz="0" w:space="0" w:color="auto"/>
                    <w:right w:val="none" w:sz="0" w:space="0" w:color="auto"/>
                  </w:divBdr>
                </w:div>
                <w:div w:id="818569340">
                  <w:marLeft w:val="0"/>
                  <w:marRight w:val="0"/>
                  <w:marTop w:val="0"/>
                  <w:marBottom w:val="0"/>
                  <w:divBdr>
                    <w:top w:val="none" w:sz="0" w:space="0" w:color="auto"/>
                    <w:left w:val="none" w:sz="0" w:space="0" w:color="auto"/>
                    <w:bottom w:val="none" w:sz="0" w:space="0" w:color="auto"/>
                    <w:right w:val="none" w:sz="0" w:space="0" w:color="auto"/>
                  </w:divBdr>
                </w:div>
                <w:div w:id="936446367">
                  <w:marLeft w:val="0"/>
                  <w:marRight w:val="0"/>
                  <w:marTop w:val="0"/>
                  <w:marBottom w:val="0"/>
                  <w:divBdr>
                    <w:top w:val="none" w:sz="0" w:space="0" w:color="auto"/>
                    <w:left w:val="none" w:sz="0" w:space="0" w:color="auto"/>
                    <w:bottom w:val="none" w:sz="0" w:space="0" w:color="auto"/>
                    <w:right w:val="none" w:sz="0" w:space="0" w:color="auto"/>
                  </w:divBdr>
                </w:div>
                <w:div w:id="996763145">
                  <w:marLeft w:val="0"/>
                  <w:marRight w:val="0"/>
                  <w:marTop w:val="0"/>
                  <w:marBottom w:val="0"/>
                  <w:divBdr>
                    <w:top w:val="none" w:sz="0" w:space="0" w:color="auto"/>
                    <w:left w:val="none" w:sz="0" w:space="0" w:color="auto"/>
                    <w:bottom w:val="none" w:sz="0" w:space="0" w:color="auto"/>
                    <w:right w:val="none" w:sz="0" w:space="0" w:color="auto"/>
                  </w:divBdr>
                </w:div>
                <w:div w:id="1077245931">
                  <w:marLeft w:val="0"/>
                  <w:marRight w:val="0"/>
                  <w:marTop w:val="0"/>
                  <w:marBottom w:val="0"/>
                  <w:divBdr>
                    <w:top w:val="none" w:sz="0" w:space="0" w:color="auto"/>
                    <w:left w:val="none" w:sz="0" w:space="0" w:color="auto"/>
                    <w:bottom w:val="none" w:sz="0" w:space="0" w:color="auto"/>
                    <w:right w:val="none" w:sz="0" w:space="0" w:color="auto"/>
                  </w:divBdr>
                </w:div>
                <w:div w:id="1142430517">
                  <w:marLeft w:val="0"/>
                  <w:marRight w:val="0"/>
                  <w:marTop w:val="0"/>
                  <w:marBottom w:val="0"/>
                  <w:divBdr>
                    <w:top w:val="none" w:sz="0" w:space="0" w:color="auto"/>
                    <w:left w:val="none" w:sz="0" w:space="0" w:color="auto"/>
                    <w:bottom w:val="none" w:sz="0" w:space="0" w:color="auto"/>
                    <w:right w:val="none" w:sz="0" w:space="0" w:color="auto"/>
                  </w:divBdr>
                </w:div>
                <w:div w:id="1173690728">
                  <w:marLeft w:val="0"/>
                  <w:marRight w:val="0"/>
                  <w:marTop w:val="0"/>
                  <w:marBottom w:val="0"/>
                  <w:divBdr>
                    <w:top w:val="none" w:sz="0" w:space="0" w:color="auto"/>
                    <w:left w:val="none" w:sz="0" w:space="0" w:color="auto"/>
                    <w:bottom w:val="none" w:sz="0" w:space="0" w:color="auto"/>
                    <w:right w:val="none" w:sz="0" w:space="0" w:color="auto"/>
                  </w:divBdr>
                </w:div>
                <w:div w:id="1188788058">
                  <w:marLeft w:val="0"/>
                  <w:marRight w:val="0"/>
                  <w:marTop w:val="0"/>
                  <w:marBottom w:val="0"/>
                  <w:divBdr>
                    <w:top w:val="none" w:sz="0" w:space="0" w:color="auto"/>
                    <w:left w:val="none" w:sz="0" w:space="0" w:color="auto"/>
                    <w:bottom w:val="none" w:sz="0" w:space="0" w:color="auto"/>
                    <w:right w:val="none" w:sz="0" w:space="0" w:color="auto"/>
                  </w:divBdr>
                </w:div>
                <w:div w:id="1199009218">
                  <w:marLeft w:val="0"/>
                  <w:marRight w:val="0"/>
                  <w:marTop w:val="0"/>
                  <w:marBottom w:val="0"/>
                  <w:divBdr>
                    <w:top w:val="none" w:sz="0" w:space="0" w:color="auto"/>
                    <w:left w:val="none" w:sz="0" w:space="0" w:color="auto"/>
                    <w:bottom w:val="none" w:sz="0" w:space="0" w:color="auto"/>
                    <w:right w:val="none" w:sz="0" w:space="0" w:color="auto"/>
                  </w:divBdr>
                </w:div>
                <w:div w:id="1202129220">
                  <w:marLeft w:val="0"/>
                  <w:marRight w:val="0"/>
                  <w:marTop w:val="0"/>
                  <w:marBottom w:val="0"/>
                  <w:divBdr>
                    <w:top w:val="none" w:sz="0" w:space="0" w:color="auto"/>
                    <w:left w:val="none" w:sz="0" w:space="0" w:color="auto"/>
                    <w:bottom w:val="none" w:sz="0" w:space="0" w:color="auto"/>
                    <w:right w:val="none" w:sz="0" w:space="0" w:color="auto"/>
                  </w:divBdr>
                </w:div>
                <w:div w:id="1209301441">
                  <w:marLeft w:val="0"/>
                  <w:marRight w:val="0"/>
                  <w:marTop w:val="0"/>
                  <w:marBottom w:val="0"/>
                  <w:divBdr>
                    <w:top w:val="none" w:sz="0" w:space="0" w:color="auto"/>
                    <w:left w:val="none" w:sz="0" w:space="0" w:color="auto"/>
                    <w:bottom w:val="none" w:sz="0" w:space="0" w:color="auto"/>
                    <w:right w:val="none" w:sz="0" w:space="0" w:color="auto"/>
                  </w:divBdr>
                </w:div>
                <w:div w:id="1240334682">
                  <w:marLeft w:val="0"/>
                  <w:marRight w:val="0"/>
                  <w:marTop w:val="0"/>
                  <w:marBottom w:val="0"/>
                  <w:divBdr>
                    <w:top w:val="none" w:sz="0" w:space="0" w:color="auto"/>
                    <w:left w:val="none" w:sz="0" w:space="0" w:color="auto"/>
                    <w:bottom w:val="none" w:sz="0" w:space="0" w:color="auto"/>
                    <w:right w:val="none" w:sz="0" w:space="0" w:color="auto"/>
                  </w:divBdr>
                </w:div>
                <w:div w:id="1289363255">
                  <w:marLeft w:val="0"/>
                  <w:marRight w:val="0"/>
                  <w:marTop w:val="0"/>
                  <w:marBottom w:val="0"/>
                  <w:divBdr>
                    <w:top w:val="none" w:sz="0" w:space="0" w:color="auto"/>
                    <w:left w:val="none" w:sz="0" w:space="0" w:color="auto"/>
                    <w:bottom w:val="none" w:sz="0" w:space="0" w:color="auto"/>
                    <w:right w:val="none" w:sz="0" w:space="0" w:color="auto"/>
                  </w:divBdr>
                </w:div>
                <w:div w:id="1302660345">
                  <w:marLeft w:val="0"/>
                  <w:marRight w:val="0"/>
                  <w:marTop w:val="0"/>
                  <w:marBottom w:val="0"/>
                  <w:divBdr>
                    <w:top w:val="none" w:sz="0" w:space="0" w:color="auto"/>
                    <w:left w:val="none" w:sz="0" w:space="0" w:color="auto"/>
                    <w:bottom w:val="none" w:sz="0" w:space="0" w:color="auto"/>
                    <w:right w:val="none" w:sz="0" w:space="0" w:color="auto"/>
                  </w:divBdr>
                </w:div>
                <w:div w:id="1463500287">
                  <w:marLeft w:val="0"/>
                  <w:marRight w:val="0"/>
                  <w:marTop w:val="0"/>
                  <w:marBottom w:val="0"/>
                  <w:divBdr>
                    <w:top w:val="none" w:sz="0" w:space="0" w:color="auto"/>
                    <w:left w:val="none" w:sz="0" w:space="0" w:color="auto"/>
                    <w:bottom w:val="none" w:sz="0" w:space="0" w:color="auto"/>
                    <w:right w:val="none" w:sz="0" w:space="0" w:color="auto"/>
                  </w:divBdr>
                </w:div>
                <w:div w:id="1621259855">
                  <w:marLeft w:val="0"/>
                  <w:marRight w:val="0"/>
                  <w:marTop w:val="0"/>
                  <w:marBottom w:val="0"/>
                  <w:divBdr>
                    <w:top w:val="none" w:sz="0" w:space="0" w:color="auto"/>
                    <w:left w:val="none" w:sz="0" w:space="0" w:color="auto"/>
                    <w:bottom w:val="none" w:sz="0" w:space="0" w:color="auto"/>
                    <w:right w:val="none" w:sz="0" w:space="0" w:color="auto"/>
                  </w:divBdr>
                </w:div>
                <w:div w:id="1726249647">
                  <w:marLeft w:val="0"/>
                  <w:marRight w:val="0"/>
                  <w:marTop w:val="0"/>
                  <w:marBottom w:val="0"/>
                  <w:divBdr>
                    <w:top w:val="none" w:sz="0" w:space="0" w:color="auto"/>
                    <w:left w:val="none" w:sz="0" w:space="0" w:color="auto"/>
                    <w:bottom w:val="none" w:sz="0" w:space="0" w:color="auto"/>
                    <w:right w:val="none" w:sz="0" w:space="0" w:color="auto"/>
                  </w:divBdr>
                </w:div>
                <w:div w:id="1766533283">
                  <w:marLeft w:val="0"/>
                  <w:marRight w:val="0"/>
                  <w:marTop w:val="0"/>
                  <w:marBottom w:val="0"/>
                  <w:divBdr>
                    <w:top w:val="none" w:sz="0" w:space="0" w:color="auto"/>
                    <w:left w:val="none" w:sz="0" w:space="0" w:color="auto"/>
                    <w:bottom w:val="none" w:sz="0" w:space="0" w:color="auto"/>
                    <w:right w:val="none" w:sz="0" w:space="0" w:color="auto"/>
                  </w:divBdr>
                </w:div>
                <w:div w:id="1817725110">
                  <w:marLeft w:val="0"/>
                  <w:marRight w:val="0"/>
                  <w:marTop w:val="0"/>
                  <w:marBottom w:val="0"/>
                  <w:divBdr>
                    <w:top w:val="none" w:sz="0" w:space="0" w:color="auto"/>
                    <w:left w:val="none" w:sz="0" w:space="0" w:color="auto"/>
                    <w:bottom w:val="none" w:sz="0" w:space="0" w:color="auto"/>
                    <w:right w:val="none" w:sz="0" w:space="0" w:color="auto"/>
                  </w:divBdr>
                </w:div>
                <w:div w:id="1884096426">
                  <w:marLeft w:val="0"/>
                  <w:marRight w:val="0"/>
                  <w:marTop w:val="0"/>
                  <w:marBottom w:val="0"/>
                  <w:divBdr>
                    <w:top w:val="none" w:sz="0" w:space="0" w:color="auto"/>
                    <w:left w:val="none" w:sz="0" w:space="0" w:color="auto"/>
                    <w:bottom w:val="none" w:sz="0" w:space="0" w:color="auto"/>
                    <w:right w:val="none" w:sz="0" w:space="0" w:color="auto"/>
                  </w:divBdr>
                </w:div>
                <w:div w:id="1931891122">
                  <w:marLeft w:val="0"/>
                  <w:marRight w:val="0"/>
                  <w:marTop w:val="0"/>
                  <w:marBottom w:val="0"/>
                  <w:divBdr>
                    <w:top w:val="none" w:sz="0" w:space="0" w:color="auto"/>
                    <w:left w:val="none" w:sz="0" w:space="0" w:color="auto"/>
                    <w:bottom w:val="none" w:sz="0" w:space="0" w:color="auto"/>
                    <w:right w:val="none" w:sz="0" w:space="0" w:color="auto"/>
                  </w:divBdr>
                </w:div>
                <w:div w:id="1978073857">
                  <w:marLeft w:val="0"/>
                  <w:marRight w:val="0"/>
                  <w:marTop w:val="0"/>
                  <w:marBottom w:val="0"/>
                  <w:divBdr>
                    <w:top w:val="none" w:sz="0" w:space="0" w:color="auto"/>
                    <w:left w:val="none" w:sz="0" w:space="0" w:color="auto"/>
                    <w:bottom w:val="none" w:sz="0" w:space="0" w:color="auto"/>
                    <w:right w:val="none" w:sz="0" w:space="0" w:color="auto"/>
                  </w:divBdr>
                </w:div>
                <w:div w:id="21178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148">
      <w:bodyDiv w:val="1"/>
      <w:marLeft w:val="0"/>
      <w:marRight w:val="0"/>
      <w:marTop w:val="0"/>
      <w:marBottom w:val="0"/>
      <w:divBdr>
        <w:top w:val="none" w:sz="0" w:space="0" w:color="auto"/>
        <w:left w:val="none" w:sz="0" w:space="0" w:color="auto"/>
        <w:bottom w:val="none" w:sz="0" w:space="0" w:color="auto"/>
        <w:right w:val="none" w:sz="0" w:space="0" w:color="auto"/>
      </w:divBdr>
      <w:divsChild>
        <w:div w:id="330643559">
          <w:marLeft w:val="0"/>
          <w:marRight w:val="0"/>
          <w:marTop w:val="0"/>
          <w:marBottom w:val="0"/>
          <w:divBdr>
            <w:top w:val="none" w:sz="0" w:space="0" w:color="auto"/>
            <w:left w:val="none" w:sz="0" w:space="0" w:color="auto"/>
            <w:bottom w:val="none" w:sz="0" w:space="0" w:color="auto"/>
            <w:right w:val="none" w:sz="0" w:space="0" w:color="auto"/>
          </w:divBdr>
        </w:div>
        <w:div w:id="1194879274">
          <w:marLeft w:val="0"/>
          <w:marRight w:val="0"/>
          <w:marTop w:val="0"/>
          <w:marBottom w:val="0"/>
          <w:divBdr>
            <w:top w:val="none" w:sz="0" w:space="0" w:color="auto"/>
            <w:left w:val="none" w:sz="0" w:space="0" w:color="auto"/>
            <w:bottom w:val="none" w:sz="0" w:space="0" w:color="auto"/>
            <w:right w:val="none" w:sz="0" w:space="0" w:color="auto"/>
          </w:divBdr>
        </w:div>
        <w:div w:id="1928297080">
          <w:marLeft w:val="0"/>
          <w:marRight w:val="0"/>
          <w:marTop w:val="0"/>
          <w:marBottom w:val="0"/>
          <w:divBdr>
            <w:top w:val="none" w:sz="0" w:space="0" w:color="auto"/>
            <w:left w:val="none" w:sz="0" w:space="0" w:color="auto"/>
            <w:bottom w:val="none" w:sz="0" w:space="0" w:color="auto"/>
            <w:right w:val="none" w:sz="0" w:space="0" w:color="auto"/>
          </w:divBdr>
        </w:div>
        <w:div w:id="2091000139">
          <w:marLeft w:val="0"/>
          <w:marRight w:val="0"/>
          <w:marTop w:val="0"/>
          <w:marBottom w:val="0"/>
          <w:divBdr>
            <w:top w:val="none" w:sz="0" w:space="0" w:color="auto"/>
            <w:left w:val="none" w:sz="0" w:space="0" w:color="auto"/>
            <w:bottom w:val="none" w:sz="0" w:space="0" w:color="auto"/>
            <w:right w:val="none" w:sz="0" w:space="0" w:color="auto"/>
          </w:divBdr>
        </w:div>
      </w:divsChild>
    </w:div>
    <w:div w:id="649602567">
      <w:bodyDiv w:val="1"/>
      <w:marLeft w:val="0"/>
      <w:marRight w:val="0"/>
      <w:marTop w:val="0"/>
      <w:marBottom w:val="0"/>
      <w:divBdr>
        <w:top w:val="none" w:sz="0" w:space="0" w:color="auto"/>
        <w:left w:val="none" w:sz="0" w:space="0" w:color="auto"/>
        <w:bottom w:val="none" w:sz="0" w:space="0" w:color="auto"/>
        <w:right w:val="none" w:sz="0" w:space="0" w:color="auto"/>
      </w:divBdr>
      <w:divsChild>
        <w:div w:id="276719701">
          <w:marLeft w:val="0"/>
          <w:marRight w:val="0"/>
          <w:marTop w:val="0"/>
          <w:marBottom w:val="0"/>
          <w:divBdr>
            <w:top w:val="none" w:sz="0" w:space="0" w:color="auto"/>
            <w:left w:val="none" w:sz="0" w:space="0" w:color="auto"/>
            <w:bottom w:val="none" w:sz="0" w:space="0" w:color="auto"/>
            <w:right w:val="none" w:sz="0" w:space="0" w:color="auto"/>
          </w:divBdr>
        </w:div>
        <w:div w:id="344790776">
          <w:marLeft w:val="0"/>
          <w:marRight w:val="0"/>
          <w:marTop w:val="0"/>
          <w:marBottom w:val="0"/>
          <w:divBdr>
            <w:top w:val="none" w:sz="0" w:space="0" w:color="auto"/>
            <w:left w:val="none" w:sz="0" w:space="0" w:color="auto"/>
            <w:bottom w:val="none" w:sz="0" w:space="0" w:color="auto"/>
            <w:right w:val="none" w:sz="0" w:space="0" w:color="auto"/>
          </w:divBdr>
        </w:div>
        <w:div w:id="902759661">
          <w:marLeft w:val="0"/>
          <w:marRight w:val="0"/>
          <w:marTop w:val="0"/>
          <w:marBottom w:val="0"/>
          <w:divBdr>
            <w:top w:val="none" w:sz="0" w:space="0" w:color="auto"/>
            <w:left w:val="none" w:sz="0" w:space="0" w:color="auto"/>
            <w:bottom w:val="none" w:sz="0" w:space="0" w:color="auto"/>
            <w:right w:val="none" w:sz="0" w:space="0" w:color="auto"/>
          </w:divBdr>
        </w:div>
      </w:divsChild>
    </w:div>
    <w:div w:id="746266028">
      <w:bodyDiv w:val="1"/>
      <w:marLeft w:val="0"/>
      <w:marRight w:val="0"/>
      <w:marTop w:val="0"/>
      <w:marBottom w:val="0"/>
      <w:divBdr>
        <w:top w:val="none" w:sz="0" w:space="0" w:color="auto"/>
        <w:left w:val="none" w:sz="0" w:space="0" w:color="auto"/>
        <w:bottom w:val="none" w:sz="0" w:space="0" w:color="auto"/>
        <w:right w:val="none" w:sz="0" w:space="0" w:color="auto"/>
      </w:divBdr>
      <w:divsChild>
        <w:div w:id="172303723">
          <w:marLeft w:val="0"/>
          <w:marRight w:val="0"/>
          <w:marTop w:val="0"/>
          <w:marBottom w:val="0"/>
          <w:divBdr>
            <w:top w:val="none" w:sz="0" w:space="0" w:color="auto"/>
            <w:left w:val="none" w:sz="0" w:space="0" w:color="auto"/>
            <w:bottom w:val="none" w:sz="0" w:space="0" w:color="auto"/>
            <w:right w:val="none" w:sz="0" w:space="0" w:color="auto"/>
          </w:divBdr>
        </w:div>
        <w:div w:id="182743474">
          <w:marLeft w:val="0"/>
          <w:marRight w:val="0"/>
          <w:marTop w:val="0"/>
          <w:marBottom w:val="0"/>
          <w:divBdr>
            <w:top w:val="none" w:sz="0" w:space="0" w:color="auto"/>
            <w:left w:val="none" w:sz="0" w:space="0" w:color="auto"/>
            <w:bottom w:val="none" w:sz="0" w:space="0" w:color="auto"/>
            <w:right w:val="none" w:sz="0" w:space="0" w:color="auto"/>
          </w:divBdr>
        </w:div>
        <w:div w:id="357779389">
          <w:marLeft w:val="0"/>
          <w:marRight w:val="0"/>
          <w:marTop w:val="0"/>
          <w:marBottom w:val="0"/>
          <w:divBdr>
            <w:top w:val="none" w:sz="0" w:space="0" w:color="auto"/>
            <w:left w:val="none" w:sz="0" w:space="0" w:color="auto"/>
            <w:bottom w:val="none" w:sz="0" w:space="0" w:color="auto"/>
            <w:right w:val="none" w:sz="0" w:space="0" w:color="auto"/>
          </w:divBdr>
        </w:div>
        <w:div w:id="1247881443">
          <w:marLeft w:val="0"/>
          <w:marRight w:val="0"/>
          <w:marTop w:val="0"/>
          <w:marBottom w:val="0"/>
          <w:divBdr>
            <w:top w:val="none" w:sz="0" w:space="0" w:color="auto"/>
            <w:left w:val="none" w:sz="0" w:space="0" w:color="auto"/>
            <w:bottom w:val="none" w:sz="0" w:space="0" w:color="auto"/>
            <w:right w:val="none" w:sz="0" w:space="0" w:color="auto"/>
          </w:divBdr>
        </w:div>
        <w:div w:id="1599633299">
          <w:marLeft w:val="0"/>
          <w:marRight w:val="0"/>
          <w:marTop w:val="0"/>
          <w:marBottom w:val="0"/>
          <w:divBdr>
            <w:top w:val="none" w:sz="0" w:space="0" w:color="auto"/>
            <w:left w:val="none" w:sz="0" w:space="0" w:color="auto"/>
            <w:bottom w:val="none" w:sz="0" w:space="0" w:color="auto"/>
            <w:right w:val="none" w:sz="0" w:space="0" w:color="auto"/>
          </w:divBdr>
        </w:div>
        <w:div w:id="2089300415">
          <w:marLeft w:val="0"/>
          <w:marRight w:val="0"/>
          <w:marTop w:val="0"/>
          <w:marBottom w:val="0"/>
          <w:divBdr>
            <w:top w:val="none" w:sz="0" w:space="0" w:color="auto"/>
            <w:left w:val="none" w:sz="0" w:space="0" w:color="auto"/>
            <w:bottom w:val="none" w:sz="0" w:space="0" w:color="auto"/>
            <w:right w:val="none" w:sz="0" w:space="0" w:color="auto"/>
          </w:divBdr>
        </w:div>
      </w:divsChild>
    </w:div>
    <w:div w:id="821776388">
      <w:bodyDiv w:val="1"/>
      <w:marLeft w:val="0"/>
      <w:marRight w:val="0"/>
      <w:marTop w:val="0"/>
      <w:marBottom w:val="0"/>
      <w:divBdr>
        <w:top w:val="none" w:sz="0" w:space="0" w:color="auto"/>
        <w:left w:val="none" w:sz="0" w:space="0" w:color="auto"/>
        <w:bottom w:val="none" w:sz="0" w:space="0" w:color="auto"/>
        <w:right w:val="none" w:sz="0" w:space="0" w:color="auto"/>
      </w:divBdr>
      <w:divsChild>
        <w:div w:id="76371084">
          <w:marLeft w:val="0"/>
          <w:marRight w:val="0"/>
          <w:marTop w:val="0"/>
          <w:marBottom w:val="0"/>
          <w:divBdr>
            <w:top w:val="none" w:sz="0" w:space="0" w:color="auto"/>
            <w:left w:val="none" w:sz="0" w:space="0" w:color="auto"/>
            <w:bottom w:val="none" w:sz="0" w:space="0" w:color="auto"/>
            <w:right w:val="none" w:sz="0" w:space="0" w:color="auto"/>
          </w:divBdr>
        </w:div>
        <w:div w:id="271866535">
          <w:marLeft w:val="0"/>
          <w:marRight w:val="0"/>
          <w:marTop w:val="0"/>
          <w:marBottom w:val="0"/>
          <w:divBdr>
            <w:top w:val="none" w:sz="0" w:space="0" w:color="auto"/>
            <w:left w:val="none" w:sz="0" w:space="0" w:color="auto"/>
            <w:bottom w:val="none" w:sz="0" w:space="0" w:color="auto"/>
            <w:right w:val="none" w:sz="0" w:space="0" w:color="auto"/>
          </w:divBdr>
        </w:div>
        <w:div w:id="299506630">
          <w:marLeft w:val="0"/>
          <w:marRight w:val="0"/>
          <w:marTop w:val="0"/>
          <w:marBottom w:val="0"/>
          <w:divBdr>
            <w:top w:val="none" w:sz="0" w:space="0" w:color="auto"/>
            <w:left w:val="none" w:sz="0" w:space="0" w:color="auto"/>
            <w:bottom w:val="none" w:sz="0" w:space="0" w:color="auto"/>
            <w:right w:val="none" w:sz="0" w:space="0" w:color="auto"/>
          </w:divBdr>
        </w:div>
        <w:div w:id="1121804572">
          <w:marLeft w:val="0"/>
          <w:marRight w:val="0"/>
          <w:marTop w:val="0"/>
          <w:marBottom w:val="0"/>
          <w:divBdr>
            <w:top w:val="none" w:sz="0" w:space="0" w:color="auto"/>
            <w:left w:val="none" w:sz="0" w:space="0" w:color="auto"/>
            <w:bottom w:val="none" w:sz="0" w:space="0" w:color="auto"/>
            <w:right w:val="none" w:sz="0" w:space="0" w:color="auto"/>
          </w:divBdr>
        </w:div>
        <w:div w:id="1314529427">
          <w:marLeft w:val="0"/>
          <w:marRight w:val="0"/>
          <w:marTop w:val="0"/>
          <w:marBottom w:val="0"/>
          <w:divBdr>
            <w:top w:val="none" w:sz="0" w:space="0" w:color="auto"/>
            <w:left w:val="none" w:sz="0" w:space="0" w:color="auto"/>
            <w:bottom w:val="none" w:sz="0" w:space="0" w:color="auto"/>
            <w:right w:val="none" w:sz="0" w:space="0" w:color="auto"/>
          </w:divBdr>
        </w:div>
        <w:div w:id="1523283897">
          <w:marLeft w:val="0"/>
          <w:marRight w:val="0"/>
          <w:marTop w:val="0"/>
          <w:marBottom w:val="0"/>
          <w:divBdr>
            <w:top w:val="none" w:sz="0" w:space="0" w:color="auto"/>
            <w:left w:val="none" w:sz="0" w:space="0" w:color="auto"/>
            <w:bottom w:val="none" w:sz="0" w:space="0" w:color="auto"/>
            <w:right w:val="none" w:sz="0" w:space="0" w:color="auto"/>
          </w:divBdr>
        </w:div>
      </w:divsChild>
    </w:div>
    <w:div w:id="977806041">
      <w:bodyDiv w:val="1"/>
      <w:marLeft w:val="0"/>
      <w:marRight w:val="0"/>
      <w:marTop w:val="0"/>
      <w:marBottom w:val="0"/>
      <w:divBdr>
        <w:top w:val="none" w:sz="0" w:space="0" w:color="auto"/>
        <w:left w:val="none" w:sz="0" w:space="0" w:color="auto"/>
        <w:bottom w:val="none" w:sz="0" w:space="0" w:color="auto"/>
        <w:right w:val="none" w:sz="0" w:space="0" w:color="auto"/>
      </w:divBdr>
      <w:divsChild>
        <w:div w:id="1237518475">
          <w:marLeft w:val="0"/>
          <w:marRight w:val="0"/>
          <w:marTop w:val="0"/>
          <w:marBottom w:val="360"/>
          <w:divBdr>
            <w:top w:val="none" w:sz="0" w:space="0" w:color="auto"/>
            <w:left w:val="none" w:sz="0" w:space="0" w:color="auto"/>
            <w:bottom w:val="none" w:sz="0" w:space="0" w:color="auto"/>
            <w:right w:val="none" w:sz="0" w:space="0" w:color="auto"/>
          </w:divBdr>
        </w:div>
        <w:div w:id="1998993010">
          <w:marLeft w:val="0"/>
          <w:marRight w:val="0"/>
          <w:marTop w:val="480"/>
          <w:marBottom w:val="990"/>
          <w:divBdr>
            <w:top w:val="none" w:sz="0" w:space="0" w:color="auto"/>
            <w:left w:val="none" w:sz="0" w:space="0" w:color="auto"/>
            <w:bottom w:val="none" w:sz="0" w:space="0" w:color="auto"/>
            <w:right w:val="none" w:sz="0" w:space="0" w:color="auto"/>
          </w:divBdr>
        </w:div>
      </w:divsChild>
    </w:div>
    <w:div w:id="1276403606">
      <w:bodyDiv w:val="1"/>
      <w:marLeft w:val="0"/>
      <w:marRight w:val="0"/>
      <w:marTop w:val="0"/>
      <w:marBottom w:val="0"/>
      <w:divBdr>
        <w:top w:val="none" w:sz="0" w:space="0" w:color="auto"/>
        <w:left w:val="none" w:sz="0" w:space="0" w:color="auto"/>
        <w:bottom w:val="none" w:sz="0" w:space="0" w:color="auto"/>
        <w:right w:val="none" w:sz="0" w:space="0" w:color="auto"/>
      </w:divBdr>
      <w:divsChild>
        <w:div w:id="723261397">
          <w:marLeft w:val="0"/>
          <w:marRight w:val="0"/>
          <w:marTop w:val="0"/>
          <w:marBottom w:val="0"/>
          <w:divBdr>
            <w:top w:val="none" w:sz="0" w:space="0" w:color="auto"/>
            <w:left w:val="none" w:sz="0" w:space="0" w:color="auto"/>
            <w:bottom w:val="none" w:sz="0" w:space="0" w:color="auto"/>
            <w:right w:val="none" w:sz="0" w:space="0" w:color="auto"/>
          </w:divBdr>
        </w:div>
        <w:div w:id="1303195630">
          <w:marLeft w:val="0"/>
          <w:marRight w:val="0"/>
          <w:marTop w:val="0"/>
          <w:marBottom w:val="0"/>
          <w:divBdr>
            <w:top w:val="none" w:sz="0" w:space="0" w:color="auto"/>
            <w:left w:val="none" w:sz="0" w:space="0" w:color="auto"/>
            <w:bottom w:val="none" w:sz="0" w:space="0" w:color="auto"/>
            <w:right w:val="none" w:sz="0" w:space="0" w:color="auto"/>
          </w:divBdr>
        </w:div>
        <w:div w:id="1360665603">
          <w:marLeft w:val="0"/>
          <w:marRight w:val="0"/>
          <w:marTop w:val="0"/>
          <w:marBottom w:val="0"/>
          <w:divBdr>
            <w:top w:val="none" w:sz="0" w:space="0" w:color="auto"/>
            <w:left w:val="none" w:sz="0" w:space="0" w:color="auto"/>
            <w:bottom w:val="none" w:sz="0" w:space="0" w:color="auto"/>
            <w:right w:val="none" w:sz="0" w:space="0" w:color="auto"/>
          </w:divBdr>
        </w:div>
        <w:div w:id="1573931439">
          <w:marLeft w:val="0"/>
          <w:marRight w:val="0"/>
          <w:marTop w:val="0"/>
          <w:marBottom w:val="0"/>
          <w:divBdr>
            <w:top w:val="none" w:sz="0" w:space="0" w:color="auto"/>
            <w:left w:val="none" w:sz="0" w:space="0" w:color="auto"/>
            <w:bottom w:val="none" w:sz="0" w:space="0" w:color="auto"/>
            <w:right w:val="none" w:sz="0" w:space="0" w:color="auto"/>
          </w:divBdr>
        </w:div>
      </w:divsChild>
    </w:div>
    <w:div w:id="1651985101">
      <w:bodyDiv w:val="1"/>
      <w:marLeft w:val="0"/>
      <w:marRight w:val="0"/>
      <w:marTop w:val="0"/>
      <w:marBottom w:val="0"/>
      <w:divBdr>
        <w:top w:val="none" w:sz="0" w:space="0" w:color="auto"/>
        <w:left w:val="none" w:sz="0" w:space="0" w:color="auto"/>
        <w:bottom w:val="none" w:sz="0" w:space="0" w:color="auto"/>
        <w:right w:val="none" w:sz="0" w:space="0" w:color="auto"/>
      </w:divBdr>
      <w:divsChild>
        <w:div w:id="1156190558">
          <w:marLeft w:val="0"/>
          <w:marRight w:val="0"/>
          <w:marTop w:val="0"/>
          <w:marBottom w:val="0"/>
          <w:divBdr>
            <w:top w:val="none" w:sz="0" w:space="0" w:color="auto"/>
            <w:left w:val="none" w:sz="0" w:space="0" w:color="auto"/>
            <w:bottom w:val="none" w:sz="0" w:space="0" w:color="auto"/>
            <w:right w:val="none" w:sz="0" w:space="0" w:color="auto"/>
          </w:divBdr>
        </w:div>
        <w:div w:id="1279098835">
          <w:marLeft w:val="0"/>
          <w:marRight w:val="0"/>
          <w:marTop w:val="0"/>
          <w:marBottom w:val="0"/>
          <w:divBdr>
            <w:top w:val="none" w:sz="0" w:space="0" w:color="auto"/>
            <w:left w:val="none" w:sz="0" w:space="0" w:color="auto"/>
            <w:bottom w:val="none" w:sz="0" w:space="0" w:color="auto"/>
            <w:right w:val="none" w:sz="0" w:space="0" w:color="auto"/>
          </w:divBdr>
        </w:div>
        <w:div w:id="1606226230">
          <w:marLeft w:val="0"/>
          <w:marRight w:val="0"/>
          <w:marTop w:val="0"/>
          <w:marBottom w:val="0"/>
          <w:divBdr>
            <w:top w:val="none" w:sz="0" w:space="0" w:color="auto"/>
            <w:left w:val="none" w:sz="0" w:space="0" w:color="auto"/>
            <w:bottom w:val="none" w:sz="0" w:space="0" w:color="auto"/>
            <w:right w:val="none" w:sz="0" w:space="0" w:color="auto"/>
          </w:divBdr>
        </w:div>
        <w:div w:id="2094668907">
          <w:marLeft w:val="0"/>
          <w:marRight w:val="0"/>
          <w:marTop w:val="0"/>
          <w:marBottom w:val="0"/>
          <w:divBdr>
            <w:top w:val="none" w:sz="0" w:space="0" w:color="auto"/>
            <w:left w:val="none" w:sz="0" w:space="0" w:color="auto"/>
            <w:bottom w:val="none" w:sz="0" w:space="0" w:color="auto"/>
            <w:right w:val="none" w:sz="0" w:space="0" w:color="auto"/>
          </w:divBdr>
        </w:div>
      </w:divsChild>
    </w:div>
    <w:div w:id="2020227757">
      <w:bodyDiv w:val="1"/>
      <w:marLeft w:val="0"/>
      <w:marRight w:val="0"/>
      <w:marTop w:val="0"/>
      <w:marBottom w:val="0"/>
      <w:divBdr>
        <w:top w:val="none" w:sz="0" w:space="0" w:color="auto"/>
        <w:left w:val="none" w:sz="0" w:space="0" w:color="auto"/>
        <w:bottom w:val="none" w:sz="0" w:space="0" w:color="auto"/>
        <w:right w:val="none" w:sz="0" w:space="0" w:color="auto"/>
      </w:divBdr>
      <w:divsChild>
        <w:div w:id="86317179">
          <w:marLeft w:val="0"/>
          <w:marRight w:val="0"/>
          <w:marTop w:val="480"/>
          <w:marBottom w:val="990"/>
          <w:divBdr>
            <w:top w:val="none" w:sz="0" w:space="0" w:color="auto"/>
            <w:left w:val="none" w:sz="0" w:space="0" w:color="auto"/>
            <w:bottom w:val="none" w:sz="0" w:space="0" w:color="auto"/>
            <w:right w:val="none" w:sz="0" w:space="0" w:color="auto"/>
          </w:divBdr>
        </w:div>
        <w:div w:id="1746219618">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education-evidence/teaching-learning-toolkit/feedbac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ndowmentfoundation.org.uk/education-evidence/teaching-learning-toolkit/teaching-assistant-interventions" TargetMode="External"/><Relationship Id="rId17" Type="http://schemas.openxmlformats.org/officeDocument/2006/relationships/hyperlink" Target="https://educationendowmentfoundation.org.uk/education-evidence/teaching-learning-toolkit/arts-participation"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behaviour-interven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ducationendowmentfoundation.org.uk/education-evidence/teaching-learning-toolkit/one-to-one-tui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arts-particip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E6E923EFA274C89553BC6CA589693" ma:contentTypeVersion="14" ma:contentTypeDescription="Create a new document." ma:contentTypeScope="" ma:versionID="b5fb36b47ce1eeeca25958d9cf828bb2">
  <xsd:schema xmlns:xsd="http://www.w3.org/2001/XMLSchema" xmlns:xs="http://www.w3.org/2001/XMLSchema" xmlns:p="http://schemas.microsoft.com/office/2006/metadata/properties" xmlns:ns2="63e3c281-0f8f-4c31-a141-72eb6ef5d16d" xmlns:ns3="ff239d13-9b9b-4d11-a639-62d33e208b0e" targetNamespace="http://schemas.microsoft.com/office/2006/metadata/properties" ma:root="true" ma:fieldsID="f0ca8347f9265a22fdc256237b29ba12" ns2:_="" ns3:_="">
    <xsd:import namespace="63e3c281-0f8f-4c31-a141-72eb6ef5d16d"/>
    <xsd:import namespace="ff239d13-9b9b-4d11-a639-62d33e208b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3c281-0f8f-4c31-a141-72eb6ef5d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9d13-9b9b-4d11-a639-62d33e208b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e3c281-0f8f-4c31-a141-72eb6ef5d1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9F5EAF-FCBA-4898-A8E7-53354A4D5992}"/>
</file>

<file path=customXml/itemProps2.xml><?xml version="1.0" encoding="utf-8"?>
<ds:datastoreItem xmlns:ds="http://schemas.openxmlformats.org/officeDocument/2006/customXml" ds:itemID="{BCECF24A-D046-4846-B5D5-89E50542ACE3}">
  <ds:schemaRefs>
    <ds:schemaRef ds:uri="http://schemas.microsoft.com/office/2006/metadata/properties"/>
    <ds:schemaRef ds:uri="http://schemas.microsoft.com/office/infopath/2007/PartnerControls"/>
    <ds:schemaRef ds:uri="63e3c281-0f8f-4c31-a141-72eb6ef5d16d"/>
  </ds:schemaRefs>
</ds:datastoreItem>
</file>

<file path=customXml/itemProps3.xml><?xml version="1.0" encoding="utf-8"?>
<ds:datastoreItem xmlns:ds="http://schemas.openxmlformats.org/officeDocument/2006/customXml" ds:itemID="{A8AD84AC-C2A5-40F8-8BFD-684A83D24F4A}">
  <ds:schemaRefs>
    <ds:schemaRef ds:uri="http://schemas.openxmlformats.org/officeDocument/2006/bibliography"/>
  </ds:schemaRefs>
</ds:datastoreItem>
</file>

<file path=customXml/itemProps4.xml><?xml version="1.0" encoding="utf-8"?>
<ds:datastoreItem xmlns:ds="http://schemas.openxmlformats.org/officeDocument/2006/customXml" ds:itemID="{51AADC28-4F19-488E-B7EC-5ABFC5143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25489</CharactersWithSpaces>
  <SharedDoc>false</SharedDoc>
  <HLinks>
    <vt:vector size="36" baseType="variant">
      <vt:variant>
        <vt:i4>7405684</vt:i4>
      </vt:variant>
      <vt:variant>
        <vt:i4>15</vt:i4>
      </vt:variant>
      <vt:variant>
        <vt:i4>0</vt:i4>
      </vt:variant>
      <vt:variant>
        <vt:i4>5</vt:i4>
      </vt:variant>
      <vt:variant>
        <vt:lpwstr>https://educationendowmentfoundation.org.uk/education-evidence/teaching-learning-toolkit/arts-participation</vt:lpwstr>
      </vt:variant>
      <vt:variant>
        <vt:lpwstr/>
      </vt:variant>
      <vt:variant>
        <vt:i4>5701726</vt:i4>
      </vt:variant>
      <vt:variant>
        <vt:i4>12</vt:i4>
      </vt:variant>
      <vt:variant>
        <vt:i4>0</vt:i4>
      </vt:variant>
      <vt:variant>
        <vt:i4>5</vt:i4>
      </vt:variant>
      <vt:variant>
        <vt:lpwstr>https://educationendowmentfoundation.org.uk/education-evidence/teaching-learning-toolkit/behaviour-interventions</vt:lpwstr>
      </vt:variant>
      <vt:variant>
        <vt:lpwstr/>
      </vt:variant>
      <vt:variant>
        <vt:i4>2752557</vt:i4>
      </vt:variant>
      <vt:variant>
        <vt:i4>9</vt:i4>
      </vt:variant>
      <vt:variant>
        <vt:i4>0</vt:i4>
      </vt:variant>
      <vt:variant>
        <vt:i4>5</vt:i4>
      </vt:variant>
      <vt:variant>
        <vt:lpwstr>https://educationendowmentfoundation.org.uk/education-evidence/teaching-learning-toolkit/one-to-one-tuition</vt:lpwstr>
      </vt:variant>
      <vt:variant>
        <vt:lpwstr/>
      </vt:variant>
      <vt:variant>
        <vt:i4>7405684</vt:i4>
      </vt:variant>
      <vt:variant>
        <vt:i4>6</vt:i4>
      </vt:variant>
      <vt:variant>
        <vt:i4>0</vt:i4>
      </vt:variant>
      <vt:variant>
        <vt:i4>5</vt:i4>
      </vt:variant>
      <vt:variant>
        <vt:lpwstr>https://educationendowmentfoundation.org.uk/education-evidence/teaching-learning-toolkit/arts-participation</vt:lpwstr>
      </vt:variant>
      <vt:variant>
        <vt:lpwstr/>
      </vt:variant>
      <vt:variant>
        <vt:i4>5636127</vt:i4>
      </vt:variant>
      <vt:variant>
        <vt:i4>3</vt:i4>
      </vt:variant>
      <vt:variant>
        <vt:i4>0</vt:i4>
      </vt:variant>
      <vt:variant>
        <vt:i4>5</vt:i4>
      </vt:variant>
      <vt:variant>
        <vt:lpwstr>https://educationendowmentfoundation.org.uk/education-evidence/teaching-learning-toolkit/feedback</vt:lpwstr>
      </vt:variant>
      <vt:variant>
        <vt:lpwstr/>
      </vt:variant>
      <vt:variant>
        <vt:i4>5439506</vt:i4>
      </vt:variant>
      <vt:variant>
        <vt:i4>0</vt:i4>
      </vt:variant>
      <vt:variant>
        <vt:i4>0</vt:i4>
      </vt:variant>
      <vt:variant>
        <vt:i4>5</vt:i4>
      </vt:variant>
      <vt:variant>
        <vt:lpwstr>https://educationendowmentfoundation.org.uk/education-evidence/teaching-learning-toolkit/teaching-assistant-interventions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Master-ET-v3.8</dc:description>
  <cp:lastModifiedBy>N Caraher (HL)</cp:lastModifiedBy>
  <cp:revision>72</cp:revision>
  <cp:lastPrinted>2022-09-28T06:20:00Z</cp:lastPrinted>
  <dcterms:created xsi:type="dcterms:W3CDTF">2025-11-05T13:39:00Z</dcterms:created>
  <dcterms:modified xsi:type="dcterms:W3CDTF">2025-12-09T11:48:00Z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0x010100A2BE6E923EFA274C89553BC6CA589693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807800</vt:r8>
  </property>
  <property fmtid="{D5CDD505-2E9C-101B-9397-08002B2CF9AE}" pid="14" name="MediaServiceImageTags">
    <vt:lpwstr/>
  </property>
</Properties>
</file>