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BAAC206" w:rsidR="00E66558" w:rsidRPr="007D777A" w:rsidRDefault="009D71E8" w:rsidP="00EA021B">
      <w:pPr>
        <w:pStyle w:val="Heading1"/>
        <w:spacing w:after="0"/>
        <w:rPr>
          <w:rFonts w:asciiTheme="minorHAnsi" w:hAnsiTheme="minorHAnsi" w:cstheme="minorHAnsi"/>
          <w:color w:val="auto"/>
        </w:rPr>
      </w:pPr>
      <w:bookmarkStart w:id="0" w:name="_Toc400361362"/>
      <w:bookmarkStart w:id="1" w:name="_Toc443397153"/>
      <w:bookmarkStart w:id="2" w:name="_Toc357771638"/>
      <w:bookmarkStart w:id="3" w:name="_Toc346793416"/>
      <w:bookmarkStart w:id="4" w:name="_Toc328122777"/>
      <w:r w:rsidRPr="007D777A">
        <w:rPr>
          <w:rFonts w:asciiTheme="minorHAnsi" w:hAnsiTheme="minorHAnsi" w:cstheme="minorHAnsi"/>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B6F5D6E" w:rsidR="00E66558" w:rsidRPr="007D777A" w:rsidRDefault="009D71E8" w:rsidP="304D3DF2">
      <w:pPr>
        <w:pStyle w:val="Heading2"/>
        <w:spacing w:after="0"/>
        <w:rPr>
          <w:rFonts w:asciiTheme="minorHAnsi" w:hAnsiTheme="minorHAnsi" w:cstheme="minorBidi"/>
          <w:b w:val="0"/>
          <w:color w:val="auto"/>
          <w:sz w:val="24"/>
          <w:szCs w:val="24"/>
        </w:rPr>
      </w:pPr>
      <w:r w:rsidRPr="304D3DF2">
        <w:rPr>
          <w:rFonts w:asciiTheme="minorHAnsi" w:hAnsiTheme="minorHAnsi" w:cstheme="minorBidi"/>
          <w:b w:val="0"/>
          <w:color w:val="auto"/>
          <w:sz w:val="24"/>
          <w:szCs w:val="24"/>
        </w:rPr>
        <w:t>This statement details our school’s use of pupil premium (a</w:t>
      </w:r>
      <w:r w:rsidR="000D67BF" w:rsidRPr="304D3DF2">
        <w:rPr>
          <w:rFonts w:asciiTheme="minorHAnsi" w:hAnsiTheme="minorHAnsi" w:cstheme="minorBidi"/>
          <w:b w:val="0"/>
          <w:color w:val="auto"/>
          <w:sz w:val="24"/>
          <w:szCs w:val="24"/>
        </w:rPr>
        <w:t>nd recovery premium for the 202</w:t>
      </w:r>
      <w:r w:rsidR="4A430D16" w:rsidRPr="304D3DF2">
        <w:rPr>
          <w:rFonts w:asciiTheme="minorHAnsi" w:hAnsiTheme="minorHAnsi" w:cstheme="minorBidi"/>
          <w:b w:val="0"/>
          <w:color w:val="auto"/>
          <w:sz w:val="24"/>
          <w:szCs w:val="24"/>
        </w:rPr>
        <w:t>4</w:t>
      </w:r>
      <w:r w:rsidR="000D67BF" w:rsidRPr="304D3DF2">
        <w:rPr>
          <w:rFonts w:asciiTheme="minorHAnsi" w:hAnsiTheme="minorHAnsi" w:cstheme="minorBidi"/>
          <w:b w:val="0"/>
          <w:color w:val="auto"/>
          <w:sz w:val="24"/>
          <w:szCs w:val="24"/>
        </w:rPr>
        <w:t xml:space="preserve"> to 202</w:t>
      </w:r>
      <w:r w:rsidR="77D760F4" w:rsidRPr="304D3DF2">
        <w:rPr>
          <w:rFonts w:asciiTheme="minorHAnsi" w:hAnsiTheme="minorHAnsi" w:cstheme="minorBidi"/>
          <w:b w:val="0"/>
          <w:color w:val="auto"/>
          <w:sz w:val="24"/>
          <w:szCs w:val="24"/>
        </w:rPr>
        <w:t>5</w:t>
      </w:r>
      <w:r w:rsidRPr="304D3DF2">
        <w:rPr>
          <w:rFonts w:asciiTheme="minorHAnsi" w:hAnsiTheme="minorHAnsi" w:cstheme="minorBidi"/>
          <w:b w:val="0"/>
          <w:color w:val="auto"/>
          <w:sz w:val="24"/>
          <w:szCs w:val="24"/>
        </w:rPr>
        <w:t xml:space="preserve"> academic year) funding to help improve the attainment of our disadvantaged pupils. </w:t>
      </w:r>
    </w:p>
    <w:p w14:paraId="2A7D54B3" w14:textId="77777777" w:rsidR="00E66558" w:rsidRPr="007D777A" w:rsidRDefault="009D71E8" w:rsidP="00EA021B">
      <w:pPr>
        <w:pStyle w:val="Heading2"/>
        <w:spacing w:before="240" w:after="0"/>
        <w:rPr>
          <w:rFonts w:asciiTheme="minorHAnsi" w:hAnsiTheme="minorHAnsi" w:cstheme="minorHAnsi"/>
          <w:b w:val="0"/>
          <w:bCs/>
          <w:color w:val="auto"/>
          <w:sz w:val="24"/>
          <w:szCs w:val="24"/>
        </w:rPr>
      </w:pPr>
      <w:r w:rsidRPr="007D777A">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7D777A" w:rsidRDefault="009D71E8" w:rsidP="00EA021B">
      <w:pPr>
        <w:pStyle w:val="Heading2"/>
        <w:spacing w:after="0"/>
        <w:rPr>
          <w:rFonts w:asciiTheme="minorHAnsi" w:hAnsiTheme="minorHAnsi" w:cstheme="minorHAnsi"/>
          <w:color w:val="auto"/>
        </w:rPr>
      </w:pPr>
      <w:r w:rsidRPr="007D777A">
        <w:rPr>
          <w:rFonts w:asciiTheme="minorHAnsi" w:hAnsiTheme="minorHAnsi" w:cstheme="minorHAnsi"/>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0F1037" w:rsidRPr="007D777A"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Data</w:t>
            </w:r>
          </w:p>
        </w:tc>
      </w:tr>
      <w:tr w:rsidR="000F1037" w:rsidRPr="007D777A"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3490715" w:rsidR="00E66558" w:rsidRPr="007D777A" w:rsidRDefault="00A83619">
            <w:pPr>
              <w:pStyle w:val="TableRow"/>
              <w:rPr>
                <w:rFonts w:asciiTheme="minorHAnsi" w:hAnsiTheme="minorHAnsi" w:cstheme="minorHAnsi"/>
                <w:color w:val="auto"/>
              </w:rPr>
            </w:pPr>
            <w:r w:rsidRPr="007D777A">
              <w:rPr>
                <w:rFonts w:asciiTheme="minorHAnsi" w:hAnsiTheme="minorHAnsi" w:cstheme="minorHAnsi"/>
                <w:color w:val="auto"/>
              </w:rPr>
              <w:t>High Clarence</w:t>
            </w:r>
            <w:r w:rsidR="00260B2D">
              <w:rPr>
                <w:rFonts w:asciiTheme="minorHAnsi" w:hAnsiTheme="minorHAnsi" w:cstheme="minorHAnsi"/>
                <w:color w:val="auto"/>
              </w:rPr>
              <w:t xml:space="preserve"> Primary</w:t>
            </w:r>
            <w:r w:rsidRPr="007D777A">
              <w:rPr>
                <w:rFonts w:asciiTheme="minorHAnsi" w:hAnsiTheme="minorHAnsi" w:cstheme="minorHAnsi"/>
                <w:color w:val="auto"/>
              </w:rPr>
              <w:t xml:space="preserve"> </w:t>
            </w:r>
            <w:r w:rsidR="00042B15">
              <w:rPr>
                <w:rFonts w:asciiTheme="minorHAnsi" w:hAnsiTheme="minorHAnsi" w:cstheme="minorHAnsi"/>
                <w:color w:val="auto"/>
              </w:rPr>
              <w:t>Academy</w:t>
            </w:r>
          </w:p>
        </w:tc>
      </w:tr>
      <w:tr w:rsidR="000F1037" w:rsidRPr="007D777A"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488FF88" w:rsidR="00E66558" w:rsidRPr="007D777A" w:rsidRDefault="00097E23">
            <w:pPr>
              <w:pStyle w:val="TableRow"/>
              <w:rPr>
                <w:rFonts w:asciiTheme="minorHAnsi" w:hAnsiTheme="minorHAnsi" w:cstheme="minorHAnsi"/>
                <w:color w:val="auto"/>
              </w:rPr>
            </w:pPr>
            <w:r>
              <w:rPr>
                <w:rFonts w:asciiTheme="minorHAnsi" w:hAnsiTheme="minorHAnsi" w:cstheme="minorHAnsi"/>
                <w:color w:val="auto"/>
              </w:rPr>
              <w:t>69</w:t>
            </w:r>
          </w:p>
        </w:tc>
      </w:tr>
      <w:tr w:rsidR="000F1037" w:rsidRPr="007D777A"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5841A1E" w:rsidR="00E66558" w:rsidRPr="007D777A" w:rsidRDefault="00C71B5B" w:rsidP="001A381F">
            <w:pPr>
              <w:pStyle w:val="TableRow"/>
              <w:rPr>
                <w:rFonts w:asciiTheme="minorHAnsi" w:hAnsiTheme="minorHAnsi" w:cstheme="minorHAnsi"/>
                <w:color w:val="auto"/>
              </w:rPr>
            </w:pPr>
            <w:r w:rsidRPr="00C71B5B">
              <w:rPr>
                <w:rFonts w:asciiTheme="minorHAnsi" w:hAnsiTheme="minorHAnsi" w:cstheme="minorHAnsi"/>
                <w:color w:val="auto"/>
              </w:rPr>
              <w:t>72</w:t>
            </w:r>
            <w:r w:rsidR="00436E86" w:rsidRPr="00C71B5B">
              <w:rPr>
                <w:rFonts w:asciiTheme="minorHAnsi" w:hAnsiTheme="minorHAnsi" w:cstheme="minorHAnsi"/>
                <w:color w:val="auto"/>
              </w:rPr>
              <w:t>%</w:t>
            </w:r>
          </w:p>
        </w:tc>
      </w:tr>
      <w:tr w:rsidR="000F1037" w:rsidRPr="007D777A"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szCs w:val="22"/>
              </w:rPr>
              <w:t xml:space="preserve">Academic year/years that our current pupil premium strategy plan covers </w:t>
            </w:r>
            <w:r w:rsidRPr="007D777A">
              <w:rPr>
                <w:rFonts w:asciiTheme="minorHAnsi" w:hAnsiTheme="minorHAnsi" w:cstheme="minorHAnsi"/>
                <w:b/>
                <w:bCs/>
                <w:color w:val="auto"/>
                <w:szCs w:val="22"/>
              </w:rPr>
              <w:t>(</w:t>
            </w:r>
            <w:proofErr w:type="gramStart"/>
            <w:r w:rsidRPr="007D777A">
              <w:rPr>
                <w:rFonts w:asciiTheme="minorHAnsi" w:hAnsiTheme="minorHAnsi" w:cstheme="minorHAnsi"/>
                <w:b/>
                <w:bCs/>
                <w:color w:val="auto"/>
                <w:szCs w:val="22"/>
              </w:rPr>
              <w:t>3 year</w:t>
            </w:r>
            <w:proofErr w:type="gramEnd"/>
            <w:r w:rsidRPr="007D777A">
              <w:rPr>
                <w:rFonts w:asciiTheme="minorHAnsi" w:hAnsiTheme="minorHAnsi" w:cstheme="minorHAnsi"/>
                <w:b/>
                <w:bCs/>
                <w:color w:val="auto"/>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5D9DADE" w:rsidR="0094713A" w:rsidRPr="007D777A" w:rsidRDefault="00A83619" w:rsidP="00471A9A">
            <w:pPr>
              <w:pStyle w:val="TableRow"/>
              <w:rPr>
                <w:rFonts w:asciiTheme="minorHAnsi" w:hAnsiTheme="minorHAnsi" w:cstheme="minorHAnsi"/>
                <w:color w:val="auto"/>
              </w:rPr>
            </w:pPr>
            <w:r w:rsidRPr="007D777A">
              <w:rPr>
                <w:rFonts w:asciiTheme="minorHAnsi" w:hAnsiTheme="minorHAnsi" w:cstheme="minorHAnsi"/>
                <w:color w:val="auto"/>
              </w:rPr>
              <w:t>202</w:t>
            </w:r>
            <w:r w:rsidR="00D503E2">
              <w:rPr>
                <w:rFonts w:asciiTheme="minorHAnsi" w:hAnsiTheme="minorHAnsi" w:cstheme="minorHAnsi"/>
                <w:color w:val="auto"/>
              </w:rPr>
              <w:t>2</w:t>
            </w:r>
            <w:r w:rsidR="00D06612">
              <w:rPr>
                <w:rFonts w:asciiTheme="minorHAnsi" w:hAnsiTheme="minorHAnsi" w:cstheme="minorHAnsi"/>
                <w:color w:val="auto"/>
              </w:rPr>
              <w:t>-202</w:t>
            </w:r>
            <w:r w:rsidR="00D503E2">
              <w:rPr>
                <w:rFonts w:asciiTheme="minorHAnsi" w:hAnsiTheme="minorHAnsi" w:cstheme="minorHAnsi"/>
                <w:color w:val="auto"/>
              </w:rPr>
              <w:t>5</w:t>
            </w:r>
          </w:p>
        </w:tc>
      </w:tr>
      <w:tr w:rsidR="000F1037" w:rsidRPr="007D777A"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7DD803B" w:rsidR="00E66558" w:rsidRPr="007D777A" w:rsidRDefault="002D79EC" w:rsidP="001A381F">
            <w:pPr>
              <w:pStyle w:val="TableRow"/>
              <w:rPr>
                <w:rFonts w:asciiTheme="minorHAnsi" w:hAnsiTheme="minorHAnsi" w:cstheme="minorHAnsi"/>
                <w:color w:val="auto"/>
              </w:rPr>
            </w:pPr>
            <w:r>
              <w:rPr>
                <w:rFonts w:asciiTheme="minorHAnsi" w:hAnsiTheme="minorHAnsi" w:cstheme="minorHAnsi"/>
                <w:color w:val="auto"/>
              </w:rPr>
              <w:t>September 2</w:t>
            </w:r>
            <w:r w:rsidR="00806508">
              <w:rPr>
                <w:rFonts w:asciiTheme="minorHAnsi" w:hAnsiTheme="minorHAnsi" w:cstheme="minorHAnsi"/>
                <w:color w:val="auto"/>
              </w:rPr>
              <w:t>4</w:t>
            </w:r>
          </w:p>
        </w:tc>
      </w:tr>
      <w:tr w:rsidR="000F1037" w:rsidRPr="007D777A"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09AC32" w:rsidR="00E66558" w:rsidRPr="007D777A" w:rsidRDefault="002D79EC">
            <w:pPr>
              <w:pStyle w:val="TableRow"/>
              <w:rPr>
                <w:rFonts w:asciiTheme="minorHAnsi" w:hAnsiTheme="minorHAnsi" w:cstheme="minorHAnsi"/>
                <w:color w:val="auto"/>
              </w:rPr>
            </w:pPr>
            <w:r>
              <w:rPr>
                <w:rFonts w:asciiTheme="minorHAnsi" w:hAnsiTheme="minorHAnsi" w:cstheme="minorHAnsi"/>
                <w:color w:val="auto"/>
              </w:rPr>
              <w:t>September 2</w:t>
            </w:r>
            <w:r w:rsidR="00806508">
              <w:rPr>
                <w:rFonts w:asciiTheme="minorHAnsi" w:hAnsiTheme="minorHAnsi" w:cstheme="minorHAnsi"/>
                <w:color w:val="auto"/>
              </w:rPr>
              <w:t>5</w:t>
            </w:r>
          </w:p>
        </w:tc>
      </w:tr>
      <w:tr w:rsidR="000F1037" w:rsidRPr="007D777A"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83C14FA" w:rsidR="00E66558" w:rsidRPr="007D777A" w:rsidRDefault="000D67BF">
            <w:pPr>
              <w:pStyle w:val="TableRow"/>
              <w:rPr>
                <w:rFonts w:asciiTheme="minorHAnsi" w:hAnsiTheme="minorHAnsi" w:cstheme="minorHAnsi"/>
                <w:color w:val="auto"/>
              </w:rPr>
            </w:pPr>
            <w:r w:rsidRPr="007D777A">
              <w:rPr>
                <w:rFonts w:asciiTheme="minorHAnsi" w:hAnsiTheme="minorHAnsi" w:cstheme="minorHAnsi"/>
                <w:color w:val="auto"/>
              </w:rPr>
              <w:t>Nicola Caraher</w:t>
            </w:r>
          </w:p>
        </w:tc>
      </w:tr>
      <w:tr w:rsidR="000F1037" w:rsidRPr="007D777A"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0F25313" w:rsidR="00E66558" w:rsidRPr="007D777A" w:rsidRDefault="000D67BF">
            <w:pPr>
              <w:pStyle w:val="TableRow"/>
              <w:rPr>
                <w:rFonts w:asciiTheme="minorHAnsi" w:hAnsiTheme="minorHAnsi" w:cstheme="minorHAnsi"/>
                <w:color w:val="auto"/>
              </w:rPr>
            </w:pPr>
            <w:r w:rsidRPr="007D777A">
              <w:rPr>
                <w:rFonts w:asciiTheme="minorHAnsi" w:hAnsiTheme="minorHAnsi" w:cstheme="minorHAnsi"/>
                <w:color w:val="auto"/>
              </w:rPr>
              <w:t>Nicola Caraher</w:t>
            </w:r>
          </w:p>
        </w:tc>
      </w:tr>
      <w:tr w:rsidR="000F1037" w:rsidRPr="007D777A"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 xml:space="preserve">Governor </w:t>
            </w:r>
            <w:r w:rsidRPr="007D777A">
              <w:rPr>
                <w:rFonts w:asciiTheme="minorHAnsi" w:hAnsiTheme="minorHAnsi" w:cstheme="minorHAnsi"/>
                <w:color w:val="auto"/>
                <w:szCs w:val="22"/>
              </w:rPr>
              <w:t xml:space="preserve">/ Trustee </w:t>
            </w:r>
            <w:r w:rsidRPr="007D777A">
              <w:rPr>
                <w:rFonts w:asciiTheme="minorHAnsi" w:hAnsiTheme="minorHAnsi" w:cstheme="minorHAnsi"/>
                <w:color w:val="auto"/>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3E15911" w:rsidR="00E66558" w:rsidRPr="007D777A" w:rsidRDefault="00F63EE1">
            <w:pPr>
              <w:pStyle w:val="TableRow"/>
              <w:rPr>
                <w:rFonts w:asciiTheme="minorHAnsi" w:hAnsiTheme="minorHAnsi" w:cstheme="minorHAnsi"/>
                <w:color w:val="auto"/>
              </w:rPr>
            </w:pPr>
            <w:r w:rsidRPr="00F63EE1">
              <w:rPr>
                <w:rFonts w:asciiTheme="minorHAnsi" w:hAnsiTheme="minorHAnsi" w:cstheme="minorHAnsi"/>
                <w:color w:val="auto"/>
              </w:rPr>
              <w:t>Academy Improvement Committee</w:t>
            </w:r>
          </w:p>
        </w:tc>
      </w:tr>
      <w:bookmarkEnd w:id="2"/>
      <w:bookmarkEnd w:id="3"/>
      <w:bookmarkEnd w:id="4"/>
    </w:tbl>
    <w:p w14:paraId="31CE3CD0" w14:textId="77777777" w:rsidR="00EA021B" w:rsidRDefault="00EA021B" w:rsidP="00EA021B">
      <w:pPr>
        <w:spacing w:after="0" w:line="240" w:lineRule="auto"/>
        <w:rPr>
          <w:rFonts w:asciiTheme="minorHAnsi" w:hAnsiTheme="minorHAnsi" w:cstheme="minorHAnsi"/>
          <w:b/>
          <w:color w:val="auto"/>
          <w:sz w:val="32"/>
          <w:szCs w:val="32"/>
        </w:rPr>
      </w:pPr>
    </w:p>
    <w:p w14:paraId="2A7D54D3" w14:textId="75B4BD47" w:rsidR="00E66558" w:rsidRPr="007D777A" w:rsidRDefault="009D71E8" w:rsidP="00EA021B">
      <w:pPr>
        <w:spacing w:after="0" w:line="240" w:lineRule="auto"/>
        <w:rPr>
          <w:rFonts w:asciiTheme="minorHAnsi" w:hAnsiTheme="minorHAnsi" w:cstheme="minorHAnsi"/>
          <w:b/>
          <w:color w:val="auto"/>
          <w:sz w:val="32"/>
          <w:szCs w:val="32"/>
        </w:rPr>
      </w:pPr>
      <w:r w:rsidRPr="007D777A">
        <w:rPr>
          <w:rFonts w:asciiTheme="minorHAnsi" w:hAnsiTheme="minorHAnsi" w:cstheme="minorHAnsi"/>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799"/>
        <w:gridCol w:w="2687"/>
      </w:tblGrid>
      <w:tr w:rsidR="000F1037" w:rsidRPr="007D777A" w14:paraId="2A7D54D6" w14:textId="77777777" w:rsidTr="0035310C">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b/>
                <w:color w:val="auto"/>
              </w:rPr>
              <w:t>Detail</w:t>
            </w:r>
          </w:p>
        </w:tc>
        <w:tc>
          <w:tcPr>
            <w:tcW w:w="26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b/>
                <w:color w:val="auto"/>
              </w:rPr>
              <w:t>Amount</w:t>
            </w:r>
          </w:p>
        </w:tc>
      </w:tr>
      <w:tr w:rsidR="000F1037" w:rsidRPr="007D777A" w14:paraId="2A7D54D9" w14:textId="77777777" w:rsidTr="0035310C">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Pupil premium funding allocation this academic year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1D84FB" w:rsidR="00E66558" w:rsidRPr="00D14626" w:rsidRDefault="002932E6">
            <w:pPr>
              <w:pStyle w:val="TableRow"/>
              <w:rPr>
                <w:rFonts w:asciiTheme="minorHAnsi" w:hAnsiTheme="minorHAnsi" w:cstheme="minorHAnsi"/>
                <w:color w:val="auto"/>
              </w:rPr>
            </w:pPr>
            <w:r w:rsidRPr="00D14626">
              <w:rPr>
                <w:rFonts w:asciiTheme="minorHAnsi" w:hAnsiTheme="minorHAnsi" w:cstheme="minorHAnsi"/>
                <w:color w:val="auto"/>
              </w:rPr>
              <w:t>£</w:t>
            </w:r>
            <w:r w:rsidR="007B04C9" w:rsidRPr="00D14626">
              <w:rPr>
                <w:rFonts w:asciiTheme="minorHAnsi" w:hAnsiTheme="minorHAnsi" w:cstheme="minorHAnsi"/>
                <w:color w:val="auto"/>
              </w:rPr>
              <w:t>65,120</w:t>
            </w:r>
          </w:p>
        </w:tc>
      </w:tr>
      <w:tr w:rsidR="000F1037" w:rsidRPr="007D777A" w14:paraId="2A7D54DF" w14:textId="77777777" w:rsidTr="0035310C">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Pupil premium funding carried forward from previous years (enter £0 if not applicable)</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8F3001" w:rsidR="00E66558" w:rsidRPr="00D14626" w:rsidRDefault="009D71E8">
            <w:pPr>
              <w:pStyle w:val="TableRow"/>
              <w:rPr>
                <w:rFonts w:asciiTheme="minorHAnsi" w:hAnsiTheme="minorHAnsi" w:cstheme="minorHAnsi"/>
                <w:color w:val="auto"/>
              </w:rPr>
            </w:pPr>
            <w:r w:rsidRPr="00D14626">
              <w:rPr>
                <w:rFonts w:asciiTheme="minorHAnsi" w:hAnsiTheme="minorHAnsi" w:cstheme="minorHAnsi"/>
                <w:color w:val="auto"/>
              </w:rPr>
              <w:t>£</w:t>
            </w:r>
            <w:r w:rsidR="00A83619" w:rsidRPr="00D14626">
              <w:rPr>
                <w:rFonts w:asciiTheme="minorHAnsi" w:hAnsiTheme="minorHAnsi" w:cstheme="minorHAnsi"/>
                <w:color w:val="auto"/>
              </w:rPr>
              <w:t>0</w:t>
            </w:r>
          </w:p>
        </w:tc>
      </w:tr>
      <w:tr w:rsidR="000F1037" w:rsidRPr="007D777A" w14:paraId="2A7D54E3" w14:textId="77777777" w:rsidTr="0035310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D777A" w:rsidRDefault="009D71E8">
            <w:pPr>
              <w:pStyle w:val="TableRow"/>
              <w:rPr>
                <w:rFonts w:asciiTheme="minorHAnsi" w:hAnsiTheme="minorHAnsi" w:cstheme="minorHAnsi"/>
                <w:b/>
                <w:color w:val="auto"/>
              </w:rPr>
            </w:pPr>
            <w:r w:rsidRPr="007D777A">
              <w:rPr>
                <w:rFonts w:asciiTheme="minorHAnsi" w:hAnsiTheme="minorHAnsi" w:cstheme="minorHAnsi"/>
                <w:b/>
                <w:color w:val="auto"/>
              </w:rPr>
              <w:t>Total budget for this academic year</w:t>
            </w:r>
          </w:p>
          <w:p w14:paraId="2A7D54E1" w14:textId="77777777" w:rsidR="00E66558" w:rsidRPr="007D777A" w:rsidRDefault="009D71E8">
            <w:pPr>
              <w:pStyle w:val="TableRow"/>
              <w:rPr>
                <w:rFonts w:asciiTheme="minorHAnsi" w:hAnsiTheme="minorHAnsi" w:cstheme="minorHAnsi"/>
                <w:color w:val="auto"/>
              </w:rPr>
            </w:pPr>
            <w:r w:rsidRPr="007D777A">
              <w:rPr>
                <w:rFonts w:asciiTheme="minorHAnsi" w:hAnsiTheme="minorHAnsi" w:cstheme="minorHAnsi"/>
                <w:color w:val="auto"/>
              </w:rPr>
              <w:t>If your school is an academy in a trust that pools this funding, state the amount available to your school this academic year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19581F1" w:rsidR="00E66558" w:rsidRPr="00D14626" w:rsidRDefault="009D71E8" w:rsidP="00645507">
            <w:pPr>
              <w:pStyle w:val="TableRow"/>
              <w:rPr>
                <w:rFonts w:asciiTheme="minorHAnsi" w:hAnsiTheme="minorHAnsi" w:cstheme="minorHAnsi"/>
                <w:color w:val="auto"/>
              </w:rPr>
            </w:pPr>
            <w:r w:rsidRPr="00D14626">
              <w:rPr>
                <w:rFonts w:asciiTheme="minorHAnsi" w:hAnsiTheme="minorHAnsi" w:cstheme="minorHAnsi"/>
                <w:color w:val="auto"/>
              </w:rPr>
              <w:t>£</w:t>
            </w:r>
            <w:r w:rsidR="00DA31A8" w:rsidRPr="00D14626">
              <w:rPr>
                <w:rFonts w:asciiTheme="minorHAnsi" w:hAnsiTheme="minorHAnsi" w:cstheme="minorHAnsi"/>
                <w:color w:val="auto"/>
              </w:rPr>
              <w:t>65,120</w:t>
            </w:r>
          </w:p>
        </w:tc>
      </w:tr>
    </w:tbl>
    <w:p w14:paraId="2A7D54E4" w14:textId="3ADB1678" w:rsidR="00E66558" w:rsidRPr="007D777A" w:rsidRDefault="001D4C9F">
      <w:pPr>
        <w:pStyle w:val="Heading1"/>
        <w:rPr>
          <w:rFonts w:asciiTheme="minorHAnsi" w:hAnsiTheme="minorHAnsi" w:cstheme="minorHAnsi"/>
          <w:color w:val="auto"/>
        </w:rPr>
      </w:pPr>
      <w:r w:rsidRPr="007D777A">
        <w:rPr>
          <w:rFonts w:asciiTheme="minorHAnsi" w:hAnsiTheme="minorHAnsi" w:cstheme="minorHAnsi"/>
          <w:color w:val="auto"/>
        </w:rPr>
        <w:t>P</w:t>
      </w:r>
      <w:r w:rsidR="009D71E8" w:rsidRPr="007D777A">
        <w:rPr>
          <w:rFonts w:asciiTheme="minorHAnsi" w:hAnsiTheme="minorHAnsi" w:cstheme="minorHAnsi"/>
          <w:color w:val="auto"/>
        </w:rPr>
        <w:t>art A: Pupil premium strategy plan</w:t>
      </w:r>
    </w:p>
    <w:p w14:paraId="2A7D54E5" w14:textId="77777777" w:rsidR="00E66558" w:rsidRPr="007D777A" w:rsidRDefault="009D71E8">
      <w:pPr>
        <w:pStyle w:val="Heading2"/>
        <w:rPr>
          <w:rFonts w:asciiTheme="minorHAnsi" w:hAnsiTheme="minorHAnsi" w:cstheme="minorHAnsi"/>
          <w:color w:val="auto"/>
        </w:rPr>
      </w:pPr>
      <w:bookmarkStart w:id="14" w:name="_Toc357771640"/>
      <w:bookmarkStart w:id="15" w:name="_Toc346793418"/>
      <w:r w:rsidRPr="007D777A">
        <w:rPr>
          <w:rFonts w:asciiTheme="minorHAnsi" w:hAnsiTheme="minorHAnsi" w:cstheme="minorHAnsi"/>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0F1037" w:rsidRPr="007D777A"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7BB0" w14:textId="0BD8B9F1" w:rsidR="00923F32" w:rsidRDefault="00DA2609" w:rsidP="00FD6BB7">
            <w:pPr>
              <w:suppressAutoHyphens w:val="0"/>
              <w:autoSpaceDN/>
              <w:spacing w:after="160" w:line="259" w:lineRule="auto"/>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In </w:t>
            </w:r>
            <w:r w:rsidR="00DE2293" w:rsidRPr="007D777A">
              <w:rPr>
                <w:rFonts w:asciiTheme="minorHAnsi" w:hAnsiTheme="minorHAnsi" w:cstheme="minorHAnsi"/>
                <w:iCs/>
                <w:color w:val="auto"/>
                <w:sz w:val="22"/>
                <w:szCs w:val="22"/>
              </w:rPr>
              <w:t xml:space="preserve">High Clarence Primary </w:t>
            </w:r>
            <w:r w:rsidR="00260B2D">
              <w:rPr>
                <w:rFonts w:asciiTheme="minorHAnsi" w:hAnsiTheme="minorHAnsi" w:cstheme="minorHAnsi"/>
                <w:iCs/>
                <w:color w:val="auto"/>
                <w:sz w:val="22"/>
                <w:szCs w:val="22"/>
              </w:rPr>
              <w:t>Academy</w:t>
            </w:r>
            <w:r w:rsidR="00DE2293" w:rsidRPr="000C2BCA">
              <w:rPr>
                <w:rFonts w:asciiTheme="minorHAnsi" w:hAnsiTheme="minorHAnsi" w:cstheme="minorHAnsi"/>
                <w:iCs/>
                <w:color w:val="auto"/>
                <w:sz w:val="22"/>
                <w:szCs w:val="22"/>
              </w:rPr>
              <w:t xml:space="preserve"> </w:t>
            </w:r>
            <w:r w:rsidR="00DE2293" w:rsidRPr="00A46114">
              <w:rPr>
                <w:rFonts w:asciiTheme="minorHAnsi" w:hAnsiTheme="minorHAnsi" w:cstheme="minorHAnsi"/>
                <w:iCs/>
                <w:color w:val="auto"/>
                <w:sz w:val="22"/>
                <w:szCs w:val="22"/>
              </w:rPr>
              <w:t>(</w:t>
            </w:r>
            <w:r w:rsidR="00A46114" w:rsidRPr="00A46114">
              <w:rPr>
                <w:rFonts w:asciiTheme="minorHAnsi" w:hAnsiTheme="minorHAnsi" w:cstheme="minorHAnsi"/>
                <w:iCs/>
                <w:color w:val="auto"/>
                <w:sz w:val="22"/>
                <w:szCs w:val="22"/>
              </w:rPr>
              <w:t>72</w:t>
            </w:r>
            <w:r w:rsidR="00485B20" w:rsidRPr="00A46114">
              <w:rPr>
                <w:rFonts w:asciiTheme="minorHAnsi" w:hAnsiTheme="minorHAnsi" w:cstheme="minorHAnsi"/>
                <w:iCs/>
                <w:color w:val="auto"/>
                <w:sz w:val="22"/>
                <w:szCs w:val="22"/>
              </w:rPr>
              <w:t xml:space="preserve">%) </w:t>
            </w:r>
            <w:r w:rsidR="00485B20" w:rsidRPr="007D777A">
              <w:rPr>
                <w:rFonts w:asciiTheme="minorHAnsi" w:hAnsiTheme="minorHAnsi" w:cstheme="minorHAnsi"/>
                <w:iCs/>
                <w:color w:val="auto"/>
                <w:sz w:val="22"/>
                <w:szCs w:val="22"/>
              </w:rPr>
              <w:t>of our pupils attract extra funding through pupil prem</w:t>
            </w:r>
            <w:r w:rsidR="0023648A" w:rsidRPr="007D777A">
              <w:rPr>
                <w:rFonts w:asciiTheme="minorHAnsi" w:hAnsiTheme="minorHAnsi" w:cstheme="minorHAnsi"/>
                <w:iCs/>
                <w:color w:val="auto"/>
                <w:sz w:val="22"/>
                <w:szCs w:val="22"/>
              </w:rPr>
              <w:t>i</w:t>
            </w:r>
            <w:r w:rsidR="00485B20" w:rsidRPr="007D777A">
              <w:rPr>
                <w:rFonts w:asciiTheme="minorHAnsi" w:hAnsiTheme="minorHAnsi" w:cstheme="minorHAnsi"/>
                <w:iCs/>
                <w:color w:val="auto"/>
                <w:sz w:val="22"/>
                <w:szCs w:val="22"/>
              </w:rPr>
              <w:t xml:space="preserve">um. </w:t>
            </w:r>
            <w:r w:rsidR="00D06612">
              <w:rPr>
                <w:rFonts w:asciiTheme="minorHAnsi" w:hAnsiTheme="minorHAnsi" w:cstheme="minorHAnsi"/>
                <w:iCs/>
                <w:color w:val="auto"/>
                <w:sz w:val="22"/>
                <w:szCs w:val="22"/>
              </w:rPr>
              <w:t xml:space="preserve">This is compared </w:t>
            </w:r>
            <w:r w:rsidR="00CE28F9">
              <w:rPr>
                <w:rFonts w:asciiTheme="minorHAnsi" w:hAnsiTheme="minorHAnsi" w:cstheme="minorHAnsi"/>
                <w:iCs/>
                <w:color w:val="auto"/>
                <w:sz w:val="22"/>
                <w:szCs w:val="22"/>
              </w:rPr>
              <w:t xml:space="preserve">to around </w:t>
            </w:r>
            <w:r w:rsidR="00CE28F9" w:rsidRPr="00A46114">
              <w:rPr>
                <w:rFonts w:asciiTheme="minorHAnsi" w:hAnsiTheme="minorHAnsi" w:cstheme="minorHAnsi"/>
                <w:iCs/>
                <w:color w:val="auto"/>
                <w:sz w:val="22"/>
                <w:szCs w:val="22"/>
              </w:rPr>
              <w:t>25%</w:t>
            </w:r>
            <w:r w:rsidR="00CE28F9" w:rsidRPr="00C80139">
              <w:rPr>
                <w:rFonts w:asciiTheme="minorHAnsi" w:hAnsiTheme="minorHAnsi" w:cstheme="minorHAnsi"/>
                <w:iCs/>
                <w:color w:val="FF0000"/>
                <w:sz w:val="22"/>
                <w:szCs w:val="22"/>
              </w:rPr>
              <w:t xml:space="preserve"> </w:t>
            </w:r>
            <w:r w:rsidR="00CE28F9">
              <w:rPr>
                <w:rFonts w:asciiTheme="minorHAnsi" w:hAnsiTheme="minorHAnsi" w:cstheme="minorHAnsi"/>
                <w:iCs/>
                <w:color w:val="auto"/>
                <w:sz w:val="22"/>
                <w:szCs w:val="22"/>
              </w:rPr>
              <w:t xml:space="preserve">nationally. This means our school has a significantly </w:t>
            </w:r>
            <w:r w:rsidR="00C350CE">
              <w:rPr>
                <w:rFonts w:asciiTheme="minorHAnsi" w:hAnsiTheme="minorHAnsi" w:cstheme="minorHAnsi"/>
                <w:iCs/>
                <w:color w:val="auto"/>
                <w:sz w:val="22"/>
                <w:szCs w:val="22"/>
              </w:rPr>
              <w:t>above average proportion of Pupil Premium children. Rather than being a m</w:t>
            </w:r>
            <w:r w:rsidR="001C02C2">
              <w:rPr>
                <w:rFonts w:asciiTheme="minorHAnsi" w:hAnsiTheme="minorHAnsi" w:cstheme="minorHAnsi"/>
                <w:iCs/>
                <w:color w:val="auto"/>
                <w:sz w:val="22"/>
                <w:szCs w:val="22"/>
              </w:rPr>
              <w:t xml:space="preserve">inority, as it is in most schools. </w:t>
            </w:r>
            <w:r w:rsidR="00386584" w:rsidRPr="007D777A">
              <w:rPr>
                <w:rFonts w:asciiTheme="minorHAnsi" w:hAnsiTheme="minorHAnsi" w:cstheme="minorHAnsi"/>
                <w:iCs/>
                <w:color w:val="auto"/>
                <w:sz w:val="22"/>
                <w:szCs w:val="22"/>
              </w:rPr>
              <w:t xml:space="preserve">The focus of our Pupil Premium Strategy </w:t>
            </w:r>
            <w:r w:rsidR="004656D7" w:rsidRPr="007D777A">
              <w:rPr>
                <w:rFonts w:asciiTheme="minorHAnsi" w:hAnsiTheme="minorHAnsi" w:cstheme="minorHAnsi"/>
                <w:iCs/>
                <w:color w:val="auto"/>
                <w:sz w:val="22"/>
                <w:szCs w:val="22"/>
              </w:rPr>
              <w:t xml:space="preserve">is </w:t>
            </w:r>
            <w:r w:rsidR="00376697" w:rsidRPr="007D777A">
              <w:rPr>
                <w:rFonts w:asciiTheme="minorHAnsi" w:hAnsiTheme="minorHAnsi" w:cstheme="minorHAnsi"/>
                <w:iCs/>
                <w:color w:val="auto"/>
                <w:sz w:val="22"/>
                <w:szCs w:val="22"/>
              </w:rPr>
              <w:t xml:space="preserve">to </w:t>
            </w:r>
            <w:r w:rsidR="004D25A8" w:rsidRPr="007D777A">
              <w:rPr>
                <w:rFonts w:asciiTheme="minorHAnsi" w:hAnsiTheme="minorHAnsi" w:cstheme="minorHAnsi"/>
                <w:iCs/>
                <w:color w:val="auto"/>
                <w:sz w:val="22"/>
                <w:szCs w:val="22"/>
              </w:rPr>
              <w:t>narrow the attainment and achievement gap between thos</w:t>
            </w:r>
            <w:r w:rsidR="003B327D" w:rsidRPr="007D777A">
              <w:rPr>
                <w:rFonts w:asciiTheme="minorHAnsi" w:hAnsiTheme="minorHAnsi" w:cstheme="minorHAnsi"/>
                <w:iCs/>
                <w:color w:val="auto"/>
                <w:sz w:val="22"/>
                <w:szCs w:val="22"/>
              </w:rPr>
              <w:t xml:space="preserve">e entitled to Pupil Premium and those not. </w:t>
            </w:r>
            <w:r>
              <w:rPr>
                <w:rFonts w:asciiTheme="minorHAnsi" w:hAnsiTheme="minorHAnsi" w:cstheme="minorHAnsi"/>
                <w:iCs/>
                <w:color w:val="auto"/>
                <w:sz w:val="22"/>
                <w:szCs w:val="22"/>
              </w:rPr>
              <w:t>G</w:t>
            </w:r>
            <w:r w:rsidR="00923F32" w:rsidRPr="00B437ED">
              <w:rPr>
                <w:rFonts w:asciiTheme="minorHAnsi" w:hAnsiTheme="minorHAnsi" w:cstheme="minorHAnsi"/>
                <w:iCs/>
                <w:color w:val="auto"/>
                <w:sz w:val="22"/>
                <w:szCs w:val="22"/>
              </w:rPr>
              <w:t xml:space="preserve">aining a thorough knowledge of our disadvantaged pupils’ levels of attainment </w:t>
            </w:r>
            <w:r w:rsidR="004604DF">
              <w:rPr>
                <w:rFonts w:asciiTheme="minorHAnsi" w:hAnsiTheme="minorHAnsi" w:cstheme="minorHAnsi"/>
                <w:iCs/>
                <w:color w:val="auto"/>
                <w:sz w:val="22"/>
                <w:szCs w:val="22"/>
              </w:rPr>
              <w:t>is</w:t>
            </w:r>
            <w:r w:rsidR="00923F32" w:rsidRPr="00B437ED">
              <w:rPr>
                <w:rFonts w:asciiTheme="minorHAnsi" w:hAnsiTheme="minorHAnsi" w:cstheme="minorHAnsi"/>
                <w:iCs/>
                <w:color w:val="auto"/>
                <w:sz w:val="22"/>
                <w:szCs w:val="22"/>
              </w:rPr>
              <w:t xml:space="preserve"> the first step in developing </w:t>
            </w:r>
            <w:r w:rsidR="00C6064F">
              <w:rPr>
                <w:rFonts w:asciiTheme="minorHAnsi" w:hAnsiTheme="minorHAnsi" w:cstheme="minorHAnsi"/>
                <w:iCs/>
                <w:color w:val="auto"/>
                <w:sz w:val="22"/>
                <w:szCs w:val="22"/>
              </w:rPr>
              <w:t xml:space="preserve">our </w:t>
            </w:r>
            <w:r w:rsidR="00923F32" w:rsidRPr="00B437ED">
              <w:rPr>
                <w:rFonts w:asciiTheme="minorHAnsi" w:hAnsiTheme="minorHAnsi" w:cstheme="minorHAnsi"/>
                <w:iCs/>
                <w:color w:val="auto"/>
                <w:sz w:val="22"/>
                <w:szCs w:val="22"/>
              </w:rPr>
              <w:t>effective pupil premium strategy.</w:t>
            </w:r>
          </w:p>
          <w:p w14:paraId="078B88BF" w14:textId="77777777" w:rsidR="00D070D2" w:rsidRPr="00D070D2" w:rsidRDefault="00C6064F" w:rsidP="00D070D2">
            <w:pPr>
              <w:pStyle w:val="NoSpacing"/>
              <w:rPr>
                <w:rFonts w:asciiTheme="minorHAnsi" w:hAnsiTheme="minorHAnsi" w:cstheme="minorHAnsi"/>
                <w:sz w:val="22"/>
                <w:szCs w:val="22"/>
              </w:rPr>
            </w:pPr>
            <w:r w:rsidRPr="00D070D2">
              <w:rPr>
                <w:rFonts w:asciiTheme="minorHAnsi" w:hAnsiTheme="minorHAnsi" w:cstheme="minorHAnsi"/>
                <w:sz w:val="22"/>
                <w:szCs w:val="22"/>
              </w:rPr>
              <w:t>We will look at the following data:</w:t>
            </w:r>
          </w:p>
          <w:p w14:paraId="303C64A5" w14:textId="04177C3B" w:rsidR="0094463D" w:rsidRPr="00D070D2" w:rsidRDefault="0094463D" w:rsidP="00D070D2">
            <w:pPr>
              <w:pStyle w:val="NoSpacing"/>
              <w:rPr>
                <w:rFonts w:asciiTheme="minorHAnsi" w:hAnsiTheme="minorHAnsi" w:cstheme="minorHAnsi"/>
                <w:sz w:val="22"/>
                <w:szCs w:val="22"/>
              </w:rPr>
            </w:pPr>
            <w:r w:rsidRPr="00D070D2">
              <w:rPr>
                <w:rFonts w:asciiTheme="minorHAnsi" w:hAnsiTheme="minorHAnsi" w:cstheme="minorHAnsi"/>
                <w:sz w:val="22"/>
                <w:szCs w:val="22"/>
              </w:rPr>
              <w:t xml:space="preserve">• Attendance </w:t>
            </w:r>
            <w:proofErr w:type="gramStart"/>
            <w:r w:rsidRPr="00D070D2">
              <w:rPr>
                <w:rFonts w:asciiTheme="minorHAnsi" w:hAnsiTheme="minorHAnsi" w:cstheme="minorHAnsi"/>
                <w:sz w:val="22"/>
                <w:szCs w:val="22"/>
              </w:rPr>
              <w:t>data;</w:t>
            </w:r>
            <w:proofErr w:type="gramEnd"/>
            <w:r w:rsidRPr="00D070D2">
              <w:rPr>
                <w:rFonts w:asciiTheme="minorHAnsi" w:hAnsiTheme="minorHAnsi" w:cstheme="minorHAnsi"/>
                <w:sz w:val="22"/>
                <w:szCs w:val="22"/>
              </w:rPr>
              <w:t xml:space="preserve"> </w:t>
            </w:r>
          </w:p>
          <w:p w14:paraId="1ABCAE08" w14:textId="77777777" w:rsidR="0094463D" w:rsidRPr="00D070D2" w:rsidRDefault="0094463D" w:rsidP="00D070D2">
            <w:pPr>
              <w:pStyle w:val="NoSpacing"/>
              <w:rPr>
                <w:rFonts w:asciiTheme="minorHAnsi" w:hAnsiTheme="minorHAnsi" w:cstheme="minorHAnsi"/>
                <w:sz w:val="22"/>
                <w:szCs w:val="22"/>
              </w:rPr>
            </w:pPr>
            <w:r w:rsidRPr="00D070D2">
              <w:rPr>
                <w:rFonts w:asciiTheme="minorHAnsi" w:hAnsiTheme="minorHAnsi" w:cstheme="minorHAnsi"/>
                <w:sz w:val="22"/>
                <w:szCs w:val="22"/>
              </w:rPr>
              <w:t xml:space="preserve">• Teacher feedback on pupils’ levels of engagement and </w:t>
            </w:r>
            <w:proofErr w:type="gramStart"/>
            <w:r w:rsidRPr="00D070D2">
              <w:rPr>
                <w:rFonts w:asciiTheme="minorHAnsi" w:hAnsiTheme="minorHAnsi" w:cstheme="minorHAnsi"/>
                <w:sz w:val="22"/>
                <w:szCs w:val="22"/>
              </w:rPr>
              <w:t>participation;</w:t>
            </w:r>
            <w:proofErr w:type="gramEnd"/>
            <w:r w:rsidRPr="00D070D2">
              <w:rPr>
                <w:rFonts w:asciiTheme="minorHAnsi" w:hAnsiTheme="minorHAnsi" w:cstheme="minorHAnsi"/>
                <w:sz w:val="22"/>
                <w:szCs w:val="22"/>
              </w:rPr>
              <w:t xml:space="preserve"> </w:t>
            </w:r>
          </w:p>
          <w:p w14:paraId="1ECF2BC8" w14:textId="77777777" w:rsidR="0094463D" w:rsidRPr="00D070D2" w:rsidRDefault="0094463D" w:rsidP="00D070D2">
            <w:pPr>
              <w:pStyle w:val="NoSpacing"/>
              <w:rPr>
                <w:rFonts w:asciiTheme="minorHAnsi" w:hAnsiTheme="minorHAnsi" w:cstheme="minorHAnsi"/>
                <w:sz w:val="22"/>
                <w:szCs w:val="22"/>
              </w:rPr>
            </w:pPr>
            <w:r w:rsidRPr="00D070D2">
              <w:rPr>
                <w:rFonts w:asciiTheme="minorHAnsi" w:hAnsiTheme="minorHAnsi" w:cstheme="minorHAnsi"/>
                <w:sz w:val="22"/>
                <w:szCs w:val="22"/>
              </w:rPr>
              <w:t xml:space="preserve">• Behaviour incidences and exclusions </w:t>
            </w:r>
            <w:proofErr w:type="gramStart"/>
            <w:r w:rsidRPr="00D070D2">
              <w:rPr>
                <w:rFonts w:asciiTheme="minorHAnsi" w:hAnsiTheme="minorHAnsi" w:cstheme="minorHAnsi"/>
                <w:sz w:val="22"/>
                <w:szCs w:val="22"/>
              </w:rPr>
              <w:t>data;</w:t>
            </w:r>
            <w:proofErr w:type="gramEnd"/>
            <w:r w:rsidRPr="00D070D2">
              <w:rPr>
                <w:rFonts w:asciiTheme="minorHAnsi" w:hAnsiTheme="minorHAnsi" w:cstheme="minorHAnsi"/>
                <w:sz w:val="22"/>
                <w:szCs w:val="22"/>
              </w:rPr>
              <w:t xml:space="preserve"> </w:t>
            </w:r>
          </w:p>
          <w:p w14:paraId="08767E09" w14:textId="77777777" w:rsidR="0094463D" w:rsidRPr="00C6064F" w:rsidRDefault="0094463D" w:rsidP="00D070D2">
            <w:pPr>
              <w:pStyle w:val="NoSpacing"/>
            </w:pPr>
            <w:r w:rsidRPr="00D070D2">
              <w:rPr>
                <w:rFonts w:asciiTheme="minorHAnsi" w:hAnsiTheme="minorHAnsi" w:cstheme="minorHAnsi"/>
                <w:sz w:val="22"/>
                <w:szCs w:val="22"/>
              </w:rPr>
              <w:t>• Information on wellbeing, mental health</w:t>
            </w:r>
            <w:r w:rsidRPr="00C6064F">
              <w:t xml:space="preserve"> </w:t>
            </w:r>
            <w:r w:rsidRPr="00D070D2">
              <w:rPr>
                <w:rFonts w:asciiTheme="minorHAnsi" w:hAnsiTheme="minorHAnsi" w:cstheme="minorHAnsi"/>
                <w:sz w:val="22"/>
                <w:szCs w:val="22"/>
              </w:rPr>
              <w:t xml:space="preserve">and </w:t>
            </w:r>
            <w:proofErr w:type="gramStart"/>
            <w:r w:rsidRPr="00D070D2">
              <w:rPr>
                <w:rFonts w:asciiTheme="minorHAnsi" w:hAnsiTheme="minorHAnsi" w:cstheme="minorHAnsi"/>
                <w:sz w:val="22"/>
                <w:szCs w:val="22"/>
              </w:rPr>
              <w:t>safeguarding;</w:t>
            </w:r>
            <w:proofErr w:type="gramEnd"/>
            <w:r w:rsidRPr="00C6064F">
              <w:t xml:space="preserve"> </w:t>
            </w:r>
          </w:p>
          <w:p w14:paraId="71B9DCB6" w14:textId="198D7158" w:rsidR="0094463D" w:rsidRDefault="0094463D" w:rsidP="00C6064F">
            <w:pPr>
              <w:pStyle w:val="NoSpacing"/>
              <w:rPr>
                <w:rFonts w:asciiTheme="minorHAnsi" w:hAnsiTheme="minorHAnsi" w:cstheme="minorHAnsi"/>
                <w:sz w:val="22"/>
                <w:szCs w:val="22"/>
              </w:rPr>
            </w:pPr>
            <w:r w:rsidRPr="00C6064F">
              <w:rPr>
                <w:rFonts w:asciiTheme="minorHAnsi" w:hAnsiTheme="minorHAnsi" w:cstheme="minorHAnsi"/>
                <w:sz w:val="22"/>
                <w:szCs w:val="22"/>
              </w:rPr>
              <w:t>• Access to technology and curricular materials.</w:t>
            </w:r>
          </w:p>
          <w:p w14:paraId="6241EB6D" w14:textId="77777777" w:rsidR="00D070D2" w:rsidRPr="00C6064F" w:rsidRDefault="00D070D2" w:rsidP="00C6064F">
            <w:pPr>
              <w:pStyle w:val="NoSpacing"/>
              <w:rPr>
                <w:rFonts w:asciiTheme="minorHAnsi" w:hAnsiTheme="minorHAnsi" w:cstheme="minorHAnsi"/>
                <w:sz w:val="22"/>
                <w:szCs w:val="22"/>
              </w:rPr>
            </w:pPr>
          </w:p>
          <w:p w14:paraId="2CD66DA4" w14:textId="271B95C8" w:rsidR="00C6064F" w:rsidRDefault="00C6064F" w:rsidP="00402D6C">
            <w:pPr>
              <w:suppressAutoHyphens w:val="0"/>
              <w:autoSpaceDN/>
              <w:spacing w:after="160" w:line="259" w:lineRule="auto"/>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The belief that all eligible children should be positively impacted by this strategy has influenced our planning.  </w:t>
            </w:r>
            <w:r w:rsidR="00D070D2">
              <w:rPr>
                <w:rFonts w:asciiTheme="minorHAnsi" w:hAnsiTheme="minorHAnsi" w:cstheme="minorHAnsi"/>
                <w:iCs/>
                <w:color w:val="auto"/>
                <w:sz w:val="22"/>
                <w:szCs w:val="22"/>
              </w:rPr>
              <w:t xml:space="preserve">We have considered the evidence for the Education Endowment Foundation (EEF) and their research into successful practice in other schools. We have also taken on board the impact of strategies used previously within our own school.  </w:t>
            </w:r>
          </w:p>
          <w:p w14:paraId="5FCD0DF7" w14:textId="72A54731" w:rsidR="00362D41" w:rsidRDefault="00D070D2" w:rsidP="00402D6C">
            <w:pPr>
              <w:suppressAutoHyphens w:val="0"/>
              <w:autoSpaceDN/>
              <w:spacing w:after="160" w:line="259" w:lineRule="auto"/>
              <w:rPr>
                <w:rFonts w:asciiTheme="minorHAnsi" w:hAnsiTheme="minorHAnsi" w:cstheme="minorHAnsi"/>
                <w:iCs/>
                <w:color w:val="auto"/>
                <w:sz w:val="22"/>
                <w:szCs w:val="22"/>
              </w:rPr>
            </w:pPr>
            <w:r>
              <w:rPr>
                <w:rFonts w:asciiTheme="minorHAnsi" w:hAnsiTheme="minorHAnsi" w:cstheme="minorHAnsi"/>
                <w:iCs/>
                <w:color w:val="auto"/>
                <w:sz w:val="22"/>
                <w:szCs w:val="22"/>
              </w:rPr>
              <w:t>As recommended by the EEF</w:t>
            </w:r>
            <w:r w:rsidR="00B32C39">
              <w:rPr>
                <w:rFonts w:asciiTheme="minorHAnsi" w:hAnsiTheme="minorHAnsi" w:cstheme="minorHAnsi"/>
                <w:iCs/>
                <w:color w:val="auto"/>
                <w:sz w:val="22"/>
                <w:szCs w:val="22"/>
              </w:rPr>
              <w:t xml:space="preserve">, we have adopted </w:t>
            </w:r>
            <w:r w:rsidR="00362D41">
              <w:rPr>
                <w:rFonts w:asciiTheme="minorHAnsi" w:hAnsiTheme="minorHAnsi" w:cstheme="minorHAnsi"/>
                <w:iCs/>
                <w:color w:val="auto"/>
                <w:sz w:val="22"/>
                <w:szCs w:val="22"/>
              </w:rPr>
              <w:t>a tiered approach to Pupil Premium spending which helps school to balance approaches to improving teaching, targeted academic support, and wider strategies.</w:t>
            </w:r>
            <w:r w:rsidR="00BE7624">
              <w:rPr>
                <w:rFonts w:asciiTheme="minorHAnsi" w:hAnsiTheme="minorHAnsi" w:cstheme="minorHAnsi"/>
                <w:iCs/>
                <w:color w:val="auto"/>
                <w:sz w:val="22"/>
                <w:szCs w:val="22"/>
              </w:rPr>
              <w:t xml:space="preserve"> School will ensure an effective teacher is in front of every class, and that every teacher is supported to keep improving.</w:t>
            </w:r>
          </w:p>
          <w:p w14:paraId="2A7D54E9" w14:textId="667FBD2F" w:rsidR="00402D6C" w:rsidRPr="00402D6C" w:rsidRDefault="00BE7624" w:rsidP="00016F01">
            <w:pPr>
              <w:suppressAutoHyphens w:val="0"/>
              <w:autoSpaceDN/>
              <w:spacing w:after="160" w:line="259" w:lineRule="auto"/>
              <w:rPr>
                <w:rFonts w:asciiTheme="minorHAnsi" w:hAnsiTheme="minorHAnsi" w:cstheme="minorHAnsi"/>
                <w:iCs/>
                <w:color w:val="auto"/>
              </w:rPr>
            </w:pPr>
            <w:r>
              <w:rPr>
                <w:rFonts w:asciiTheme="minorHAnsi" w:hAnsiTheme="minorHAnsi" w:cstheme="minorHAnsi"/>
                <w:iCs/>
                <w:color w:val="auto"/>
                <w:sz w:val="16"/>
                <w:szCs w:val="16"/>
              </w:rPr>
              <w:t xml:space="preserve">* </w:t>
            </w:r>
            <w:r w:rsidR="00402D6C" w:rsidRPr="00BE7624">
              <w:rPr>
                <w:rFonts w:asciiTheme="minorHAnsi" w:hAnsiTheme="minorHAnsi" w:cstheme="minorHAnsi"/>
                <w:iCs/>
                <w:color w:val="auto"/>
                <w:sz w:val="16"/>
                <w:szCs w:val="16"/>
              </w:rPr>
              <w:t>The Pupil Premium Grant (PPG) is a government initiative that is allocated to Local Authorities and schools with pupils who are eligible for free school meals (FSM), children who have been Looked After (LAC) by the Local Authority and children from a service family.</w:t>
            </w:r>
          </w:p>
        </w:tc>
      </w:tr>
    </w:tbl>
    <w:p w14:paraId="2A7D54EB" w14:textId="77777777" w:rsidR="00E66558" w:rsidRPr="007D777A" w:rsidRDefault="009D71E8">
      <w:pPr>
        <w:pStyle w:val="Heading2"/>
        <w:spacing w:before="600"/>
        <w:rPr>
          <w:rFonts w:asciiTheme="minorHAnsi" w:hAnsiTheme="minorHAnsi" w:cstheme="minorHAnsi"/>
          <w:color w:val="auto"/>
        </w:rPr>
      </w:pPr>
      <w:r w:rsidRPr="007D777A">
        <w:rPr>
          <w:rFonts w:asciiTheme="minorHAnsi" w:hAnsiTheme="minorHAnsi" w:cstheme="minorHAnsi"/>
          <w:color w:val="auto"/>
        </w:rPr>
        <w:t>Challenges</w:t>
      </w:r>
    </w:p>
    <w:p w14:paraId="2A7D54EC" w14:textId="77777777" w:rsidR="00E66558" w:rsidRPr="007D777A" w:rsidRDefault="009D71E8">
      <w:pPr>
        <w:spacing w:before="120" w:line="240" w:lineRule="auto"/>
        <w:textAlignment w:val="baseline"/>
        <w:outlineLvl w:val="0"/>
        <w:rPr>
          <w:rFonts w:asciiTheme="minorHAnsi" w:hAnsiTheme="minorHAnsi" w:cstheme="minorHAnsi"/>
          <w:color w:val="auto"/>
        </w:rPr>
      </w:pPr>
      <w:r w:rsidRPr="007D777A">
        <w:rPr>
          <w:rFonts w:asciiTheme="minorHAnsi" w:hAnsiTheme="minorHAnsi" w:cstheme="minorHAnsi"/>
          <w:bCs/>
          <w:color w:val="auto"/>
        </w:rPr>
        <w:t>This details</w:t>
      </w:r>
      <w:r w:rsidRPr="007D777A">
        <w:rPr>
          <w:rFonts w:asciiTheme="minorHAnsi" w:hAnsiTheme="minorHAnsi" w:cstheme="minorHAnsi"/>
          <w:color w:val="auto"/>
        </w:rPr>
        <w:t xml:space="preserve"> the key</w:t>
      </w:r>
      <w:r w:rsidRPr="007D777A">
        <w:rPr>
          <w:rFonts w:asciiTheme="minorHAnsi" w:hAnsiTheme="minorHAnsi" w:cstheme="minorHAnsi"/>
          <w:bCs/>
          <w:color w:val="auto"/>
        </w:rPr>
        <w:t xml:space="preserve"> </w:t>
      </w:r>
      <w:r w:rsidRPr="007D777A">
        <w:rPr>
          <w:rFonts w:asciiTheme="minorHAnsi" w:hAnsiTheme="minorHAnsi" w:cstheme="minorHAnsi"/>
          <w:color w:val="auto"/>
        </w:rPr>
        <w:t xml:space="preserve">challenges to </w:t>
      </w:r>
      <w:r w:rsidRPr="007D777A">
        <w:rPr>
          <w:rFonts w:asciiTheme="minorHAnsi" w:hAnsiTheme="minorHAnsi" w:cstheme="minorHAnsi"/>
          <w:bCs/>
          <w:color w:val="auto"/>
        </w:rPr>
        <w:t>achievement that we have</w:t>
      </w:r>
      <w:r w:rsidRPr="007D777A">
        <w:rPr>
          <w:rFonts w:asciiTheme="minorHAnsi" w:hAnsiTheme="minorHAnsi" w:cstheme="minorHAnsi"/>
          <w:color w:val="auto"/>
        </w:rPr>
        <w:t xml:space="preserve"> identified among </w:t>
      </w:r>
      <w:r w:rsidRPr="007D777A">
        <w:rPr>
          <w:rFonts w:asciiTheme="minorHAnsi" w:hAnsiTheme="minorHAnsi" w:cstheme="minorHAnsi"/>
          <w:bCs/>
          <w:color w:val="auto"/>
        </w:rPr>
        <w:t>our</w:t>
      </w:r>
      <w:r w:rsidRPr="007D777A">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0F1037" w:rsidRPr="007D777A"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 xml:space="preserve">Detail of challenge </w:t>
            </w:r>
          </w:p>
        </w:tc>
      </w:tr>
      <w:tr w:rsidR="000F1037" w:rsidRPr="007D777A"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D777A" w:rsidRDefault="009D71E8">
            <w:pPr>
              <w:pStyle w:val="TableRow"/>
              <w:rPr>
                <w:rFonts w:asciiTheme="minorHAnsi" w:hAnsiTheme="minorHAnsi" w:cstheme="minorHAnsi"/>
                <w:color w:val="auto"/>
                <w:sz w:val="22"/>
                <w:szCs w:val="22"/>
              </w:rPr>
            </w:pPr>
            <w:r w:rsidRPr="007D777A">
              <w:rPr>
                <w:rFonts w:asciiTheme="minorHAnsi" w:hAnsiTheme="minorHAnsi" w:cstheme="minorHAnsi"/>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6C9B811" w:rsidR="00F81085" w:rsidRPr="007D777A" w:rsidRDefault="00E04144" w:rsidP="00025CA8">
            <w:pPr>
              <w:spacing w:after="0" w:line="240" w:lineRule="auto"/>
              <w:rPr>
                <w:rFonts w:asciiTheme="minorHAnsi" w:hAnsiTheme="minorHAnsi" w:cstheme="minorHAnsi"/>
                <w:color w:val="auto"/>
                <w:sz w:val="22"/>
                <w:szCs w:val="22"/>
              </w:rPr>
            </w:pPr>
            <w:r>
              <w:rPr>
                <w:rFonts w:asciiTheme="minorHAnsi" w:hAnsiTheme="minorHAnsi" w:cstheme="minorHAnsi"/>
                <w:iCs/>
                <w:color w:val="auto"/>
                <w:sz w:val="22"/>
                <w:szCs w:val="22"/>
              </w:rPr>
              <w:t>Attainment is lower for disadvantaged children</w:t>
            </w:r>
            <w:r w:rsidR="009F4430">
              <w:rPr>
                <w:rFonts w:asciiTheme="minorHAnsi" w:hAnsiTheme="minorHAnsi" w:cstheme="minorHAnsi"/>
                <w:iCs/>
                <w:color w:val="auto"/>
                <w:sz w:val="22"/>
                <w:szCs w:val="22"/>
              </w:rPr>
              <w:t>, both in school and nationally</w:t>
            </w:r>
            <w:r w:rsidR="00016F01">
              <w:rPr>
                <w:rFonts w:asciiTheme="minorHAnsi" w:hAnsiTheme="minorHAnsi" w:cstheme="minorHAnsi"/>
                <w:iCs/>
                <w:color w:val="auto"/>
                <w:sz w:val="22"/>
                <w:szCs w:val="22"/>
              </w:rPr>
              <w:t>.  We have a higher proportion of disadvantaged learners with SEN compared to national</w:t>
            </w:r>
            <w:r w:rsidR="00F300EE">
              <w:rPr>
                <w:rFonts w:asciiTheme="minorHAnsi" w:hAnsiTheme="minorHAnsi" w:cstheme="minorHAnsi"/>
                <w:iCs/>
                <w:color w:val="auto"/>
                <w:sz w:val="22"/>
                <w:szCs w:val="22"/>
              </w:rPr>
              <w:t>.</w:t>
            </w:r>
            <w:r w:rsidR="00016F01">
              <w:rPr>
                <w:rFonts w:asciiTheme="minorHAnsi" w:hAnsiTheme="minorHAnsi" w:cstheme="minorHAnsi"/>
                <w:iCs/>
                <w:color w:val="auto"/>
                <w:sz w:val="22"/>
                <w:szCs w:val="22"/>
              </w:rPr>
              <w:t xml:space="preserve"> </w:t>
            </w:r>
          </w:p>
        </w:tc>
      </w:tr>
      <w:tr w:rsidR="000F1037" w:rsidRPr="007D777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D777A" w:rsidRDefault="009D71E8">
            <w:pPr>
              <w:pStyle w:val="TableRow"/>
              <w:rPr>
                <w:rFonts w:asciiTheme="minorHAnsi" w:hAnsiTheme="minorHAnsi" w:cstheme="minorHAnsi"/>
                <w:color w:val="auto"/>
                <w:sz w:val="22"/>
                <w:szCs w:val="22"/>
              </w:rPr>
            </w:pPr>
            <w:r w:rsidRPr="007D777A">
              <w:rPr>
                <w:rFonts w:asciiTheme="minorHAnsi" w:hAnsiTheme="minorHAnsi" w:cstheme="minorHAnsi"/>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710CA06" w:rsidR="00924457" w:rsidRPr="007D777A" w:rsidRDefault="0003275C" w:rsidP="00332DC5">
            <w:pPr>
              <w:pStyle w:val="TableRowCentered"/>
              <w:ind w:left="0"/>
              <w:jc w:val="left"/>
              <w:rPr>
                <w:rFonts w:asciiTheme="minorHAnsi" w:hAnsiTheme="minorHAnsi" w:cstheme="minorHAnsi"/>
                <w:color w:val="auto"/>
                <w:sz w:val="22"/>
                <w:szCs w:val="22"/>
              </w:rPr>
            </w:pPr>
            <w:r w:rsidRPr="004674D9">
              <w:rPr>
                <w:rFonts w:asciiTheme="minorHAnsi" w:hAnsiTheme="minorHAnsi" w:cstheme="minorHAnsi"/>
                <w:color w:val="auto"/>
                <w:sz w:val="22"/>
                <w:szCs w:val="22"/>
              </w:rPr>
              <w:t>Improving attendance/punctuality and providing support for families of disadvantaged children</w:t>
            </w:r>
            <w:r w:rsidR="004674D9">
              <w:rPr>
                <w:rFonts w:asciiTheme="minorHAnsi" w:hAnsiTheme="minorHAnsi" w:cstheme="minorHAnsi"/>
                <w:color w:val="auto"/>
                <w:sz w:val="22"/>
                <w:szCs w:val="22"/>
              </w:rPr>
              <w:t>.</w:t>
            </w:r>
            <w:r w:rsidR="002932E6">
              <w:rPr>
                <w:rFonts w:asciiTheme="minorHAnsi" w:hAnsiTheme="minorHAnsi" w:cstheme="minorHAnsi"/>
                <w:color w:val="auto"/>
                <w:sz w:val="22"/>
                <w:szCs w:val="22"/>
              </w:rPr>
              <w:t xml:space="preserve"> </w:t>
            </w:r>
            <w:r w:rsidR="00F300EE">
              <w:rPr>
                <w:rFonts w:asciiTheme="minorHAnsi" w:hAnsiTheme="minorHAnsi" w:cstheme="minorHAnsi"/>
                <w:color w:val="auto"/>
                <w:sz w:val="22"/>
                <w:szCs w:val="22"/>
              </w:rPr>
              <w:t>(</w:t>
            </w:r>
            <w:r w:rsidR="00332DC5">
              <w:rPr>
                <w:rFonts w:asciiTheme="minorHAnsi" w:hAnsiTheme="minorHAnsi" w:cstheme="minorHAnsi"/>
                <w:color w:val="auto"/>
                <w:sz w:val="22"/>
                <w:szCs w:val="22"/>
              </w:rPr>
              <w:t>202</w:t>
            </w:r>
            <w:r w:rsidR="00FA0A8E">
              <w:rPr>
                <w:rFonts w:asciiTheme="minorHAnsi" w:hAnsiTheme="minorHAnsi" w:cstheme="minorHAnsi"/>
                <w:color w:val="auto"/>
                <w:sz w:val="22"/>
                <w:szCs w:val="22"/>
              </w:rPr>
              <w:t>3</w:t>
            </w:r>
            <w:r w:rsidR="00332DC5">
              <w:rPr>
                <w:rFonts w:asciiTheme="minorHAnsi" w:hAnsiTheme="minorHAnsi" w:cstheme="minorHAnsi"/>
                <w:color w:val="auto"/>
                <w:sz w:val="22"/>
                <w:szCs w:val="22"/>
              </w:rPr>
              <w:t>-202</w:t>
            </w:r>
            <w:r w:rsidR="00FA0A8E">
              <w:rPr>
                <w:rFonts w:asciiTheme="minorHAnsi" w:hAnsiTheme="minorHAnsi" w:cstheme="minorHAnsi"/>
                <w:color w:val="auto"/>
                <w:sz w:val="22"/>
                <w:szCs w:val="22"/>
              </w:rPr>
              <w:t>4</w:t>
            </w:r>
            <w:r w:rsidR="00332DC5">
              <w:rPr>
                <w:rFonts w:asciiTheme="minorHAnsi" w:hAnsiTheme="minorHAnsi" w:cstheme="minorHAnsi"/>
                <w:color w:val="auto"/>
                <w:sz w:val="22"/>
                <w:szCs w:val="22"/>
              </w:rPr>
              <w:t xml:space="preserve"> </w:t>
            </w:r>
            <w:r w:rsidR="00332DC5" w:rsidRPr="00CC6E10">
              <w:rPr>
                <w:rFonts w:asciiTheme="minorHAnsi" w:hAnsiTheme="minorHAnsi" w:cstheme="minorHAnsi"/>
                <w:color w:val="auto"/>
                <w:sz w:val="22"/>
                <w:szCs w:val="22"/>
              </w:rPr>
              <w:t>9</w:t>
            </w:r>
            <w:r w:rsidR="00375B5E" w:rsidRPr="00CC6E10">
              <w:rPr>
                <w:rFonts w:asciiTheme="minorHAnsi" w:hAnsiTheme="minorHAnsi" w:cstheme="minorHAnsi"/>
                <w:color w:val="auto"/>
                <w:sz w:val="22"/>
                <w:szCs w:val="22"/>
              </w:rPr>
              <w:t>2</w:t>
            </w:r>
            <w:r w:rsidR="00FF386A" w:rsidRPr="00CC6E10">
              <w:rPr>
                <w:rFonts w:asciiTheme="minorHAnsi" w:hAnsiTheme="minorHAnsi" w:cstheme="minorHAnsi"/>
                <w:color w:val="auto"/>
                <w:sz w:val="22"/>
                <w:szCs w:val="22"/>
              </w:rPr>
              <w:t>.</w:t>
            </w:r>
            <w:r w:rsidR="00CC6E10" w:rsidRPr="00CC6E10">
              <w:rPr>
                <w:rFonts w:asciiTheme="minorHAnsi" w:hAnsiTheme="minorHAnsi" w:cstheme="minorHAnsi"/>
                <w:color w:val="auto"/>
                <w:sz w:val="22"/>
                <w:szCs w:val="22"/>
              </w:rPr>
              <w:t>5</w:t>
            </w:r>
            <w:r w:rsidR="002932E6" w:rsidRPr="00CC6E10">
              <w:rPr>
                <w:rFonts w:asciiTheme="minorHAnsi" w:hAnsiTheme="minorHAnsi" w:cstheme="minorHAnsi"/>
                <w:color w:val="auto"/>
                <w:sz w:val="22"/>
                <w:szCs w:val="22"/>
              </w:rPr>
              <w:t>% attendance</w:t>
            </w:r>
            <w:r w:rsidR="00F300EE" w:rsidRPr="00CC6E10">
              <w:rPr>
                <w:rFonts w:asciiTheme="minorHAnsi" w:hAnsiTheme="minorHAnsi" w:cstheme="minorHAnsi"/>
                <w:color w:val="auto"/>
                <w:sz w:val="22"/>
                <w:szCs w:val="22"/>
              </w:rPr>
              <w:t>)</w:t>
            </w:r>
          </w:p>
        </w:tc>
      </w:tr>
      <w:tr w:rsidR="000F1037" w:rsidRPr="007D777A" w14:paraId="397650A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DEEC" w14:textId="5C37475D" w:rsidR="00B144A4" w:rsidRPr="007D777A" w:rsidRDefault="00B144A4">
            <w:pPr>
              <w:pStyle w:val="TableRow"/>
              <w:rPr>
                <w:rFonts w:asciiTheme="minorHAnsi" w:hAnsiTheme="minorHAnsi" w:cstheme="minorHAnsi"/>
                <w:color w:val="auto"/>
                <w:sz w:val="22"/>
                <w:szCs w:val="22"/>
              </w:rPr>
            </w:pPr>
            <w:r w:rsidRPr="007D777A">
              <w:rPr>
                <w:rFonts w:asciiTheme="minorHAnsi" w:hAnsiTheme="minorHAnsi" w:cstheme="minorHAnsi"/>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299" w14:textId="36519F6A" w:rsidR="00FF3E95" w:rsidRPr="004674D9" w:rsidRDefault="005B1576" w:rsidP="000B206D">
            <w:pPr>
              <w:spacing w:after="0" w:line="240" w:lineRule="auto"/>
              <w:rPr>
                <w:rFonts w:asciiTheme="minorHAnsi" w:hAnsiTheme="minorHAnsi" w:cstheme="minorHAnsi"/>
                <w:iCs/>
                <w:color w:val="auto"/>
                <w:sz w:val="22"/>
                <w:szCs w:val="22"/>
              </w:rPr>
            </w:pPr>
            <w:r w:rsidRPr="004674D9">
              <w:rPr>
                <w:rFonts w:asciiTheme="minorHAnsi" w:hAnsiTheme="minorHAnsi" w:cstheme="minorHAnsi"/>
                <w:iCs/>
                <w:color w:val="auto"/>
                <w:sz w:val="22"/>
                <w:szCs w:val="22"/>
              </w:rPr>
              <w:t xml:space="preserve">Raising confidence, self-esteem and resilience </w:t>
            </w:r>
            <w:r w:rsidR="00016F01" w:rsidRPr="004674D9">
              <w:rPr>
                <w:rFonts w:asciiTheme="minorHAnsi" w:hAnsiTheme="minorHAnsi" w:cstheme="minorHAnsi"/>
                <w:iCs/>
                <w:color w:val="auto"/>
                <w:sz w:val="22"/>
                <w:szCs w:val="22"/>
              </w:rPr>
              <w:t>to</w:t>
            </w:r>
            <w:r w:rsidRPr="004674D9">
              <w:rPr>
                <w:rFonts w:asciiTheme="minorHAnsi" w:hAnsiTheme="minorHAnsi" w:cstheme="minorHAnsi"/>
                <w:iCs/>
                <w:color w:val="auto"/>
                <w:sz w:val="22"/>
                <w:szCs w:val="22"/>
              </w:rPr>
              <w:t xml:space="preserve"> raise aspirations and </w:t>
            </w:r>
            <w:r w:rsidR="00EF5396" w:rsidRPr="004674D9">
              <w:rPr>
                <w:rFonts w:asciiTheme="minorHAnsi" w:hAnsiTheme="minorHAnsi" w:cstheme="minorHAnsi"/>
                <w:iCs/>
                <w:color w:val="auto"/>
                <w:sz w:val="22"/>
                <w:szCs w:val="22"/>
              </w:rPr>
              <w:t>pupil outcomes</w:t>
            </w:r>
            <w:r w:rsidR="004674D9">
              <w:rPr>
                <w:rFonts w:asciiTheme="minorHAnsi" w:hAnsiTheme="minorHAnsi" w:cstheme="minorHAnsi"/>
                <w:iCs/>
                <w:color w:val="auto"/>
                <w:sz w:val="22"/>
                <w:szCs w:val="22"/>
              </w:rPr>
              <w:t xml:space="preserve"> due to limited wider experiences.</w:t>
            </w:r>
          </w:p>
        </w:tc>
      </w:tr>
      <w:tr w:rsidR="000F1037" w:rsidRPr="007D777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2E406E" w:rsidR="00E66558" w:rsidRPr="007D777A" w:rsidRDefault="00B144A4">
            <w:pPr>
              <w:pStyle w:val="TableRow"/>
              <w:rPr>
                <w:rFonts w:asciiTheme="minorHAnsi" w:hAnsiTheme="minorHAnsi" w:cstheme="minorHAnsi"/>
                <w:color w:val="auto"/>
                <w:sz w:val="22"/>
                <w:szCs w:val="22"/>
              </w:rPr>
            </w:pPr>
            <w:r w:rsidRPr="007D777A">
              <w:rPr>
                <w:rFonts w:asciiTheme="minorHAnsi" w:hAnsiTheme="minorHAnsi" w:cstheme="minorHAnsi"/>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7603953" w:rsidR="0003275C" w:rsidRPr="007D777A" w:rsidRDefault="00016F01" w:rsidP="00D377C4">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Typically,</w:t>
            </w:r>
            <w:r w:rsidR="003E015A">
              <w:rPr>
                <w:rFonts w:asciiTheme="minorHAnsi" w:hAnsiTheme="minorHAnsi" w:cstheme="minorHAnsi"/>
                <w:color w:val="auto"/>
                <w:sz w:val="22"/>
                <w:szCs w:val="22"/>
              </w:rPr>
              <w:t xml:space="preserve"> our disadvantaged children have poor language skills and limited vocabulary on entry to school</w:t>
            </w:r>
            <w:r w:rsidR="00E04144">
              <w:rPr>
                <w:rFonts w:asciiTheme="minorHAnsi" w:hAnsiTheme="minorHAnsi" w:cstheme="minorHAnsi"/>
                <w:color w:val="auto"/>
                <w:sz w:val="22"/>
                <w:szCs w:val="22"/>
              </w:rPr>
              <w:t>.</w:t>
            </w:r>
          </w:p>
        </w:tc>
      </w:tr>
    </w:tbl>
    <w:p w14:paraId="2A7D54FF" w14:textId="77777777" w:rsidR="00E66558" w:rsidRPr="007D777A" w:rsidRDefault="009D71E8">
      <w:pPr>
        <w:pStyle w:val="Heading2"/>
        <w:spacing w:before="600"/>
        <w:rPr>
          <w:rFonts w:asciiTheme="minorHAnsi" w:hAnsiTheme="minorHAnsi" w:cstheme="minorHAnsi"/>
          <w:color w:val="auto"/>
        </w:rPr>
      </w:pPr>
      <w:bookmarkStart w:id="16" w:name="_Toc443397160"/>
      <w:r w:rsidRPr="007D777A">
        <w:rPr>
          <w:rFonts w:asciiTheme="minorHAnsi" w:hAnsiTheme="minorHAnsi" w:cstheme="minorHAnsi"/>
          <w:color w:val="auto"/>
        </w:rPr>
        <w:t xml:space="preserve">Intended outcomes </w:t>
      </w:r>
    </w:p>
    <w:p w14:paraId="2A7D5500" w14:textId="77777777" w:rsidR="00E66558" w:rsidRPr="007D777A" w:rsidRDefault="009D71E8">
      <w:pPr>
        <w:rPr>
          <w:rFonts w:asciiTheme="minorHAnsi" w:hAnsiTheme="minorHAnsi" w:cstheme="minorHAnsi"/>
          <w:color w:val="auto"/>
        </w:rPr>
      </w:pPr>
      <w:r w:rsidRPr="007D777A">
        <w:rPr>
          <w:rFonts w:asciiTheme="minorHAnsi" w:hAnsiTheme="minorHAnsi" w:cstheme="minorHAnsi"/>
          <w:color w:val="auto"/>
        </w:rPr>
        <w:t xml:space="preserve">This explains the outcomes we are aiming for </w:t>
      </w:r>
      <w:r w:rsidRPr="007D777A">
        <w:rPr>
          <w:rFonts w:asciiTheme="minorHAnsi" w:hAnsiTheme="minorHAnsi" w:cstheme="minorHAnsi"/>
          <w:b/>
          <w:bCs/>
          <w:color w:val="auto"/>
        </w:rPr>
        <w:t>by the end of our current strategy plan</w:t>
      </w:r>
      <w:r w:rsidRPr="007D777A">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470"/>
        <w:gridCol w:w="5016"/>
      </w:tblGrid>
      <w:tr w:rsidR="000F1037" w:rsidRPr="007D777A" w14:paraId="2A7D5503" w14:textId="77777777" w:rsidTr="00072D3D">
        <w:trPr>
          <w:trHeight w:val="161"/>
        </w:trPr>
        <w:tc>
          <w:tcPr>
            <w:tcW w:w="44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Intended outcome</w:t>
            </w:r>
          </w:p>
        </w:tc>
        <w:tc>
          <w:tcPr>
            <w:tcW w:w="50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Success criteria</w:t>
            </w:r>
          </w:p>
        </w:tc>
      </w:tr>
      <w:tr w:rsidR="000F1037" w:rsidRPr="007D777A" w14:paraId="5975DA79" w14:textId="77777777" w:rsidTr="00072D3D">
        <w:trPr>
          <w:trHeight w:val="161"/>
        </w:trPr>
        <w:tc>
          <w:tcPr>
            <w:tcW w:w="4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E3D4" w14:textId="648247C3" w:rsidR="00276A69" w:rsidRPr="00771776" w:rsidRDefault="00016F01" w:rsidP="00771776">
            <w:pPr>
              <w:spacing w:after="0" w:line="240" w:lineRule="auto"/>
              <w:rPr>
                <w:rFonts w:asciiTheme="minorHAnsi" w:hAnsiTheme="minorHAnsi" w:cstheme="minorHAnsi"/>
                <w:color w:val="auto"/>
                <w:sz w:val="22"/>
                <w:szCs w:val="22"/>
              </w:rPr>
            </w:pPr>
            <w:bookmarkStart w:id="17" w:name="_Hlk156995252"/>
            <w:r w:rsidRPr="00BF0BB4">
              <w:rPr>
                <w:rFonts w:asciiTheme="minorHAnsi" w:hAnsiTheme="minorHAnsi" w:cstheme="minorHAnsi"/>
                <w:color w:val="auto"/>
                <w:sz w:val="22"/>
                <w:szCs w:val="22"/>
              </w:rPr>
              <w:t>Increase the percentage of disadvantaged pupils reaching</w:t>
            </w:r>
            <w:r w:rsidR="00115632" w:rsidRPr="00BF0BB4">
              <w:rPr>
                <w:rFonts w:asciiTheme="minorHAnsi" w:hAnsiTheme="minorHAnsi" w:cstheme="minorHAnsi"/>
                <w:color w:val="auto"/>
                <w:sz w:val="22"/>
                <w:szCs w:val="22"/>
              </w:rPr>
              <w:t xml:space="preserve"> standards and ensure all pupils, whether PP, SEN or both, make at least expected progress over the year.</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3D60" w14:textId="29C5EBFF" w:rsidR="00332DC5" w:rsidRDefault="003178C5" w:rsidP="00771776">
            <w:pPr>
              <w:spacing w:after="0" w:line="240" w:lineRule="auto"/>
              <w:rPr>
                <w:rFonts w:asciiTheme="minorHAnsi" w:hAnsiTheme="minorHAnsi" w:cstheme="minorHAnsi"/>
                <w:color w:val="auto"/>
                <w:sz w:val="22"/>
                <w:szCs w:val="22"/>
              </w:rPr>
            </w:pPr>
            <w:r w:rsidRPr="00771776">
              <w:rPr>
                <w:rFonts w:asciiTheme="minorHAnsi" w:hAnsiTheme="minorHAnsi" w:cstheme="minorHAnsi"/>
                <w:color w:val="auto"/>
                <w:sz w:val="22"/>
                <w:szCs w:val="22"/>
              </w:rPr>
              <w:t xml:space="preserve">Developing high quality teaching, assessment and a curriculum which responds to the needs of the pupils. </w:t>
            </w:r>
          </w:p>
          <w:p w14:paraId="6E69FE70" w14:textId="77777777" w:rsidR="00332DC5" w:rsidRDefault="003178C5" w:rsidP="00771776">
            <w:pPr>
              <w:spacing w:after="0" w:line="240" w:lineRule="auto"/>
              <w:rPr>
                <w:rFonts w:asciiTheme="minorHAnsi" w:hAnsiTheme="minorHAnsi" w:cstheme="minorHAnsi"/>
                <w:color w:val="auto"/>
                <w:sz w:val="22"/>
                <w:szCs w:val="22"/>
              </w:rPr>
            </w:pPr>
            <w:r w:rsidRPr="00771776">
              <w:rPr>
                <w:rFonts w:asciiTheme="minorHAnsi" w:hAnsiTheme="minorHAnsi" w:cstheme="minorHAnsi"/>
                <w:color w:val="auto"/>
                <w:sz w:val="22"/>
                <w:szCs w:val="22"/>
              </w:rPr>
              <w:t xml:space="preserve">Professional development on evidenced based approaches e.g. RWI Phonics, </w:t>
            </w:r>
            <w:r w:rsidR="00E311DD" w:rsidRPr="00771776">
              <w:rPr>
                <w:rFonts w:asciiTheme="minorHAnsi" w:hAnsiTheme="minorHAnsi" w:cstheme="minorHAnsi"/>
                <w:color w:val="auto"/>
                <w:sz w:val="22"/>
                <w:szCs w:val="22"/>
              </w:rPr>
              <w:t xml:space="preserve">metacognition and retrieval practice. </w:t>
            </w:r>
          </w:p>
          <w:p w14:paraId="01A4C625" w14:textId="3098BBD1" w:rsidR="003178C5" w:rsidRPr="00771776" w:rsidRDefault="00E311DD" w:rsidP="00771776">
            <w:pPr>
              <w:spacing w:after="0" w:line="240" w:lineRule="auto"/>
              <w:rPr>
                <w:rFonts w:asciiTheme="minorHAnsi" w:hAnsiTheme="minorHAnsi" w:cstheme="minorHAnsi"/>
                <w:color w:val="auto"/>
                <w:sz w:val="22"/>
                <w:szCs w:val="22"/>
              </w:rPr>
            </w:pPr>
            <w:r w:rsidRPr="00771776">
              <w:rPr>
                <w:rFonts w:asciiTheme="minorHAnsi" w:hAnsiTheme="minorHAnsi" w:cstheme="minorHAnsi"/>
                <w:color w:val="auto"/>
                <w:sz w:val="22"/>
                <w:szCs w:val="22"/>
              </w:rPr>
              <w:t xml:space="preserve">Reading writing and maths data at the end will show no difference when compared to their peers, and in cases accelerated. Where there is a gap, this is diminishing. </w:t>
            </w:r>
          </w:p>
          <w:p w14:paraId="6A887DF1" w14:textId="4DB12183" w:rsidR="00771776" w:rsidRDefault="00E311DD" w:rsidP="00771776">
            <w:pPr>
              <w:spacing w:after="0" w:line="240" w:lineRule="auto"/>
              <w:rPr>
                <w:rFonts w:asciiTheme="minorHAnsi" w:hAnsiTheme="minorHAnsi" w:cstheme="minorHAnsi"/>
                <w:color w:val="auto"/>
                <w:sz w:val="22"/>
                <w:szCs w:val="22"/>
              </w:rPr>
            </w:pPr>
            <w:r w:rsidRPr="00771776">
              <w:rPr>
                <w:rFonts w:asciiTheme="minorHAnsi" w:hAnsiTheme="minorHAnsi" w:cstheme="minorHAnsi"/>
                <w:color w:val="auto"/>
                <w:sz w:val="22"/>
                <w:szCs w:val="22"/>
              </w:rPr>
              <w:t xml:space="preserve">The quality </w:t>
            </w:r>
            <w:r w:rsidR="00B57F31" w:rsidRPr="00771776">
              <w:rPr>
                <w:rFonts w:asciiTheme="minorHAnsi" w:hAnsiTheme="minorHAnsi" w:cstheme="minorHAnsi"/>
                <w:color w:val="auto"/>
                <w:sz w:val="22"/>
                <w:szCs w:val="22"/>
              </w:rPr>
              <w:t xml:space="preserve">of teaching in all cohorts </w:t>
            </w:r>
            <w:proofErr w:type="gramStart"/>
            <w:r w:rsidR="00B57F31" w:rsidRPr="00771776">
              <w:rPr>
                <w:rFonts w:asciiTheme="minorHAnsi" w:hAnsiTheme="minorHAnsi" w:cstheme="minorHAnsi"/>
                <w:color w:val="auto"/>
                <w:sz w:val="22"/>
                <w:szCs w:val="22"/>
              </w:rPr>
              <w:t>is at least good in all lessons at all times</w:t>
            </w:r>
            <w:proofErr w:type="gramEnd"/>
            <w:r w:rsidR="001E30E0">
              <w:rPr>
                <w:rFonts w:asciiTheme="minorHAnsi" w:hAnsiTheme="minorHAnsi" w:cstheme="minorHAnsi"/>
                <w:color w:val="auto"/>
                <w:sz w:val="22"/>
                <w:szCs w:val="22"/>
              </w:rPr>
              <w:t xml:space="preserve">. </w:t>
            </w:r>
            <w:r w:rsidR="00771776" w:rsidRPr="00771776">
              <w:rPr>
                <w:rFonts w:asciiTheme="minorHAnsi" w:hAnsiTheme="minorHAnsi" w:cstheme="minorHAnsi"/>
                <w:color w:val="auto"/>
                <w:sz w:val="22"/>
                <w:szCs w:val="22"/>
              </w:rPr>
              <w:t xml:space="preserve"> At least one </w:t>
            </w:r>
            <w:r w:rsidR="00535DC9">
              <w:rPr>
                <w:rFonts w:asciiTheme="minorHAnsi" w:hAnsiTheme="minorHAnsi" w:cstheme="minorHAnsi"/>
                <w:color w:val="auto"/>
                <w:sz w:val="22"/>
                <w:szCs w:val="22"/>
              </w:rPr>
              <w:t xml:space="preserve">highly effective </w:t>
            </w:r>
            <w:r w:rsidR="00771776" w:rsidRPr="00771776">
              <w:rPr>
                <w:rFonts w:asciiTheme="minorHAnsi" w:hAnsiTheme="minorHAnsi" w:cstheme="minorHAnsi"/>
                <w:color w:val="auto"/>
                <w:sz w:val="22"/>
                <w:szCs w:val="22"/>
              </w:rPr>
              <w:t>teaching assistant in every classroom to lower staff pupil ratios</w:t>
            </w:r>
            <w:r w:rsidR="00535DC9">
              <w:rPr>
                <w:rFonts w:asciiTheme="minorHAnsi" w:hAnsiTheme="minorHAnsi" w:cstheme="minorHAnsi"/>
                <w:color w:val="auto"/>
                <w:sz w:val="22"/>
                <w:szCs w:val="22"/>
              </w:rPr>
              <w:t>.</w:t>
            </w:r>
          </w:p>
          <w:p w14:paraId="056D9405" w14:textId="4CABEFAE" w:rsidR="00535DC9" w:rsidRPr="00771776" w:rsidRDefault="00535DC9" w:rsidP="00771776">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Interventions are targeted, timely and highly effective and are closely monitored to ensure maximum impact on pupil progress and achievement.</w:t>
            </w:r>
          </w:p>
          <w:p w14:paraId="1E4508F8" w14:textId="3C33C97F" w:rsidR="004674D9" w:rsidRPr="00771776" w:rsidRDefault="00115632" w:rsidP="00332DC5">
            <w:pPr>
              <w:spacing w:after="0" w:line="240" w:lineRule="auto"/>
              <w:rPr>
                <w:rFonts w:asciiTheme="minorHAnsi" w:hAnsiTheme="minorHAnsi" w:cstheme="minorHAnsi"/>
                <w:color w:val="auto"/>
                <w:sz w:val="22"/>
                <w:szCs w:val="22"/>
              </w:rPr>
            </w:pPr>
            <w:r w:rsidRPr="00BF0BB4">
              <w:rPr>
                <w:rFonts w:asciiTheme="minorHAnsi" w:hAnsiTheme="minorHAnsi" w:cstheme="minorHAnsi"/>
                <w:color w:val="auto"/>
                <w:sz w:val="22"/>
                <w:szCs w:val="22"/>
              </w:rPr>
              <w:t>End of Key Stage data shows increases in the number and % of Pupil Premium children who have made expected/accelerated rates of progress</w:t>
            </w:r>
            <w:r w:rsidR="00A22E4F">
              <w:rPr>
                <w:rFonts w:asciiTheme="minorHAnsi" w:hAnsiTheme="minorHAnsi" w:cstheme="minorHAnsi"/>
                <w:color w:val="auto"/>
                <w:sz w:val="22"/>
                <w:szCs w:val="22"/>
              </w:rPr>
              <w:t>.</w:t>
            </w:r>
          </w:p>
        </w:tc>
      </w:tr>
      <w:tr w:rsidR="00B102B9" w:rsidRPr="007D777A" w14:paraId="49C3A987" w14:textId="77777777" w:rsidTr="00CA0FC8">
        <w:trPr>
          <w:trHeight w:val="1401"/>
        </w:trPr>
        <w:tc>
          <w:tcPr>
            <w:tcW w:w="44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8DDB04" w14:textId="4258B3A0" w:rsidR="00B102B9" w:rsidRPr="00BF0BB4" w:rsidRDefault="00B102B9">
            <w:pPr>
              <w:pStyle w:val="TableHeader"/>
              <w:jc w:val="left"/>
              <w:rPr>
                <w:rFonts w:asciiTheme="minorHAnsi" w:hAnsiTheme="minorHAnsi" w:cstheme="minorHAnsi"/>
                <w:b w:val="0"/>
                <w:color w:val="auto"/>
                <w:sz w:val="22"/>
                <w:szCs w:val="22"/>
              </w:rPr>
            </w:pPr>
            <w:r w:rsidRPr="00BF0BB4">
              <w:rPr>
                <w:rFonts w:asciiTheme="minorHAnsi" w:hAnsiTheme="minorHAnsi" w:cstheme="minorHAnsi"/>
                <w:b w:val="0"/>
                <w:color w:val="auto"/>
                <w:sz w:val="22"/>
                <w:szCs w:val="22"/>
              </w:rPr>
              <w:t>To improve the attendance and punctuality of disadvantaged children.</w:t>
            </w:r>
          </w:p>
          <w:p w14:paraId="2B616ECC" w14:textId="77777777" w:rsidR="00B102B9" w:rsidRPr="00BF0BB4" w:rsidRDefault="00B102B9">
            <w:pPr>
              <w:pStyle w:val="TableHeader"/>
              <w:jc w:val="left"/>
              <w:rPr>
                <w:rFonts w:asciiTheme="minorHAnsi" w:hAnsiTheme="minorHAnsi" w:cstheme="minorHAnsi"/>
                <w:b w:val="0"/>
                <w:color w:val="auto"/>
                <w:sz w:val="22"/>
                <w:szCs w:val="22"/>
              </w:rPr>
            </w:pPr>
          </w:p>
          <w:p w14:paraId="5E0031DC" w14:textId="659A7B72" w:rsidR="00B102B9" w:rsidRPr="00BF0BB4" w:rsidRDefault="00B102B9">
            <w:pPr>
              <w:pStyle w:val="TableHeader"/>
              <w:jc w:val="left"/>
              <w:rPr>
                <w:rFonts w:asciiTheme="minorHAnsi" w:hAnsiTheme="minorHAnsi" w:cstheme="minorHAnsi"/>
                <w:b w:val="0"/>
                <w:color w:val="auto"/>
                <w:sz w:val="22"/>
                <w:szCs w:val="22"/>
              </w:rPr>
            </w:pPr>
          </w:p>
        </w:tc>
        <w:tc>
          <w:tcPr>
            <w:tcW w:w="501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5E95AA" w14:textId="77777777" w:rsidR="00072D3D" w:rsidRPr="00BF0BB4" w:rsidRDefault="00B102B9" w:rsidP="00332DC5">
            <w:pPr>
              <w:pStyle w:val="TableHeader"/>
              <w:jc w:val="lef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Attendance for disadvantaged children to be in line with others in school and nationally. </w:t>
            </w:r>
          </w:p>
          <w:p w14:paraId="65EEF62D" w14:textId="78DBB2EB" w:rsidR="00B61F6C" w:rsidRDefault="00B61F6C" w:rsidP="009C62A7">
            <w:pPr>
              <w:pStyle w:val="TableHeader"/>
              <w:spacing w:before="0" w:after="0"/>
              <w:jc w:val="left"/>
              <w:rPr>
                <w:rFonts w:asciiTheme="minorHAnsi" w:hAnsiTheme="minorHAnsi" w:cstheme="minorHAnsi"/>
                <w:b w:val="0"/>
                <w:color w:val="auto"/>
                <w:sz w:val="22"/>
                <w:szCs w:val="22"/>
              </w:rPr>
            </w:pPr>
            <w:r>
              <w:rPr>
                <w:rFonts w:asciiTheme="minorHAnsi" w:hAnsiTheme="minorHAnsi" w:cstheme="minorHAnsi"/>
                <w:b w:val="0"/>
                <w:color w:val="auto"/>
                <w:sz w:val="22"/>
                <w:szCs w:val="22"/>
              </w:rPr>
              <w:t>Punctuality awards</w:t>
            </w:r>
            <w:r w:rsidR="00724B67">
              <w:rPr>
                <w:rFonts w:asciiTheme="minorHAnsi" w:hAnsiTheme="minorHAnsi" w:cstheme="minorHAnsi"/>
                <w:b w:val="0"/>
                <w:color w:val="auto"/>
                <w:sz w:val="22"/>
                <w:szCs w:val="22"/>
              </w:rPr>
              <w:t>.</w:t>
            </w:r>
          </w:p>
          <w:p w14:paraId="37067E1C" w14:textId="3C676733" w:rsidR="00EA7D16" w:rsidRDefault="00EA7D16" w:rsidP="009C62A7">
            <w:pPr>
              <w:pStyle w:val="TableHeader"/>
              <w:spacing w:before="0" w:after="0"/>
              <w:jc w:val="left"/>
              <w:rPr>
                <w:rFonts w:asciiTheme="minorHAnsi" w:hAnsiTheme="minorHAnsi" w:cstheme="minorHAnsi"/>
                <w:b w:val="0"/>
                <w:color w:val="auto"/>
                <w:sz w:val="22"/>
                <w:szCs w:val="22"/>
              </w:rPr>
            </w:pPr>
            <w:r>
              <w:rPr>
                <w:rFonts w:asciiTheme="minorHAnsi" w:hAnsiTheme="minorHAnsi" w:cstheme="minorHAnsi"/>
                <w:b w:val="0"/>
                <w:color w:val="auto"/>
                <w:sz w:val="22"/>
                <w:szCs w:val="22"/>
              </w:rPr>
              <w:t>Weekly attendance awards</w:t>
            </w:r>
            <w:r w:rsidR="00C124B6">
              <w:rPr>
                <w:rFonts w:asciiTheme="minorHAnsi" w:hAnsiTheme="minorHAnsi" w:cstheme="minorHAnsi"/>
                <w:b w:val="0"/>
                <w:color w:val="auto"/>
                <w:sz w:val="22"/>
                <w:szCs w:val="22"/>
              </w:rPr>
              <w:t>.</w:t>
            </w:r>
          </w:p>
          <w:p w14:paraId="40A7F692" w14:textId="77777777" w:rsidR="00B102B9" w:rsidRDefault="00072D3D" w:rsidP="009C62A7">
            <w:pPr>
              <w:pStyle w:val="TableHeader"/>
              <w:spacing w:before="0" w:after="0"/>
              <w:jc w:val="left"/>
              <w:rPr>
                <w:rFonts w:asciiTheme="minorHAnsi" w:hAnsiTheme="minorHAnsi" w:cstheme="minorHAnsi"/>
                <w:b w:val="0"/>
                <w:color w:val="auto"/>
                <w:sz w:val="22"/>
                <w:szCs w:val="22"/>
              </w:rPr>
            </w:pPr>
            <w:r>
              <w:rPr>
                <w:rFonts w:asciiTheme="minorHAnsi" w:hAnsiTheme="minorHAnsi" w:cstheme="minorHAnsi"/>
                <w:b w:val="0"/>
                <w:color w:val="auto"/>
                <w:sz w:val="22"/>
                <w:szCs w:val="22"/>
              </w:rPr>
              <w:t>Attendance Officer works closely with SBM.</w:t>
            </w:r>
          </w:p>
          <w:p w14:paraId="4885A2CF" w14:textId="660037AA" w:rsidR="00B73AA9" w:rsidRPr="00BF0BB4" w:rsidRDefault="00B73AA9" w:rsidP="009C62A7">
            <w:pPr>
              <w:pStyle w:val="TableHeader"/>
              <w:spacing w:before="0" w:after="0"/>
              <w:jc w:val="lef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Attendance Tracker in place to monitor </w:t>
            </w:r>
            <w:r w:rsidR="00AC19C2">
              <w:rPr>
                <w:rFonts w:asciiTheme="minorHAnsi" w:hAnsiTheme="minorHAnsi" w:cstheme="minorHAnsi"/>
                <w:b w:val="0"/>
                <w:color w:val="auto"/>
                <w:sz w:val="22"/>
                <w:szCs w:val="22"/>
              </w:rPr>
              <w:t>overall attendance and pupil characteristics.</w:t>
            </w:r>
          </w:p>
        </w:tc>
      </w:tr>
      <w:tr w:rsidR="00115632" w:rsidRPr="007D777A" w14:paraId="121AF5AC" w14:textId="77777777" w:rsidTr="00072D3D">
        <w:trPr>
          <w:trHeight w:val="161"/>
        </w:trPr>
        <w:tc>
          <w:tcPr>
            <w:tcW w:w="4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E000" w14:textId="2C4F43EE" w:rsidR="00B671B1" w:rsidRPr="00F672D8" w:rsidRDefault="00115632" w:rsidP="00F672D8">
            <w:pPr>
              <w:pStyle w:val="TableHeader"/>
              <w:jc w:val="left"/>
              <w:rPr>
                <w:rFonts w:asciiTheme="minorHAnsi" w:hAnsiTheme="minorHAnsi" w:cstheme="minorHAnsi"/>
                <w:b w:val="0"/>
                <w:color w:val="auto"/>
                <w:sz w:val="22"/>
                <w:szCs w:val="22"/>
              </w:rPr>
            </w:pPr>
            <w:r w:rsidRPr="00F672D8">
              <w:rPr>
                <w:rFonts w:asciiTheme="minorHAnsi" w:hAnsiTheme="minorHAnsi" w:cstheme="minorHAnsi"/>
                <w:b w:val="0"/>
                <w:color w:val="auto"/>
                <w:sz w:val="22"/>
                <w:szCs w:val="22"/>
              </w:rPr>
              <w:t xml:space="preserve">Increase </w:t>
            </w:r>
            <w:r w:rsidR="00F672D8" w:rsidRPr="00F672D8">
              <w:rPr>
                <w:rFonts w:asciiTheme="minorHAnsi" w:hAnsiTheme="minorHAnsi" w:cstheme="minorHAnsi"/>
                <w:b w:val="0"/>
                <w:color w:val="auto"/>
                <w:sz w:val="22"/>
                <w:szCs w:val="22"/>
              </w:rPr>
              <w:t>opportunities</w:t>
            </w:r>
            <w:r w:rsidRPr="00F672D8">
              <w:rPr>
                <w:rFonts w:asciiTheme="minorHAnsi" w:hAnsiTheme="minorHAnsi" w:cstheme="minorHAnsi"/>
                <w:b w:val="0"/>
                <w:color w:val="auto"/>
                <w:sz w:val="22"/>
                <w:szCs w:val="22"/>
              </w:rPr>
              <w:t xml:space="preserve"> and experiences for children – to</w:t>
            </w:r>
            <w:r w:rsidR="00F672D8" w:rsidRPr="00F672D8">
              <w:rPr>
                <w:rFonts w:asciiTheme="minorHAnsi" w:hAnsiTheme="minorHAnsi" w:cstheme="minorHAnsi"/>
                <w:b w:val="0"/>
                <w:color w:val="auto"/>
                <w:sz w:val="22"/>
                <w:szCs w:val="22"/>
              </w:rPr>
              <w:t xml:space="preserve"> raise confidence, </w:t>
            </w:r>
            <w:r w:rsidR="00DE1831" w:rsidRPr="00F672D8">
              <w:rPr>
                <w:rFonts w:asciiTheme="minorHAnsi" w:hAnsiTheme="minorHAnsi" w:cstheme="minorHAnsi"/>
                <w:b w:val="0"/>
                <w:color w:val="auto"/>
                <w:sz w:val="22"/>
                <w:szCs w:val="22"/>
              </w:rPr>
              <w:t>self-esteem</w:t>
            </w:r>
            <w:r w:rsidR="00F672D8" w:rsidRPr="00F672D8">
              <w:rPr>
                <w:rFonts w:asciiTheme="minorHAnsi" w:hAnsiTheme="minorHAnsi" w:cstheme="minorHAnsi"/>
                <w:b w:val="0"/>
                <w:color w:val="auto"/>
                <w:sz w:val="22"/>
                <w:szCs w:val="22"/>
              </w:rPr>
              <w:t xml:space="preserve"> and resilience to raise aspirations</w:t>
            </w:r>
            <w:r w:rsidRPr="00F672D8">
              <w:rPr>
                <w:rFonts w:asciiTheme="minorHAnsi" w:hAnsiTheme="minorHAnsi" w:cstheme="minorHAnsi"/>
                <w:b w:val="0"/>
                <w:color w:val="auto"/>
                <w:sz w:val="22"/>
                <w:szCs w:val="22"/>
              </w:rPr>
              <w:t xml:space="preserve"> </w:t>
            </w:r>
            <w:r w:rsidR="00B671B1" w:rsidRPr="00F672D8">
              <w:rPr>
                <w:rFonts w:asciiTheme="minorHAnsi" w:hAnsiTheme="minorHAnsi" w:cstheme="minorHAnsi"/>
                <w:b w:val="0"/>
                <w:iCs/>
                <w:color w:val="auto"/>
                <w:sz w:val="22"/>
                <w:szCs w:val="22"/>
              </w:rPr>
              <w:t>due to limited wider experiences.</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75F7" w14:textId="6FBC4171" w:rsidR="003178C5" w:rsidRDefault="00663E32" w:rsidP="00032676">
            <w:pPr>
              <w:pStyle w:val="TableRowCentered"/>
              <w:ind w:left="0"/>
              <w:jc w:val="left"/>
              <w:rPr>
                <w:rFonts w:asciiTheme="minorHAnsi" w:hAnsiTheme="minorHAnsi" w:cstheme="minorHAnsi"/>
                <w:color w:val="auto"/>
                <w:sz w:val="22"/>
                <w:szCs w:val="22"/>
              </w:rPr>
            </w:pPr>
            <w:r w:rsidRPr="00AD0DC8">
              <w:rPr>
                <w:rFonts w:asciiTheme="minorHAnsi" w:hAnsiTheme="minorHAnsi" w:cstheme="minorHAnsi"/>
                <w:color w:val="auto"/>
                <w:sz w:val="22"/>
                <w:szCs w:val="22"/>
              </w:rPr>
              <w:t xml:space="preserve">Personal Development curriculum from Early Years to Year 6 continues to be developed </w:t>
            </w:r>
            <w:proofErr w:type="gramStart"/>
            <w:r w:rsidRPr="00AD0DC8">
              <w:rPr>
                <w:rFonts w:asciiTheme="minorHAnsi" w:hAnsiTheme="minorHAnsi" w:cstheme="minorHAnsi"/>
                <w:color w:val="auto"/>
                <w:sz w:val="22"/>
                <w:szCs w:val="22"/>
              </w:rPr>
              <w:t>in order to</w:t>
            </w:r>
            <w:proofErr w:type="gramEnd"/>
            <w:r w:rsidRPr="00AD0DC8">
              <w:rPr>
                <w:rFonts w:asciiTheme="minorHAnsi" w:hAnsiTheme="minorHAnsi" w:cstheme="minorHAnsi"/>
                <w:color w:val="auto"/>
                <w:sz w:val="22"/>
                <w:szCs w:val="22"/>
              </w:rPr>
              <w:t xml:space="preserve"> raise aspirations, confidence and life skills. </w:t>
            </w:r>
            <w:r w:rsidR="00E46A5B" w:rsidRPr="00AD0DC8">
              <w:rPr>
                <w:rFonts w:asciiTheme="minorHAnsi" w:hAnsiTheme="minorHAnsi" w:cstheme="minorHAnsi"/>
                <w:color w:val="auto"/>
                <w:sz w:val="22"/>
                <w:szCs w:val="22"/>
              </w:rPr>
              <w:t xml:space="preserve">Thinking outside the box activities increase resilience and </w:t>
            </w:r>
            <w:r w:rsidR="00C30623" w:rsidRPr="00AD0DC8">
              <w:rPr>
                <w:rFonts w:asciiTheme="minorHAnsi" w:hAnsiTheme="minorHAnsi" w:cstheme="minorHAnsi"/>
                <w:color w:val="auto"/>
                <w:sz w:val="22"/>
                <w:szCs w:val="22"/>
              </w:rPr>
              <w:t>opportunities</w:t>
            </w:r>
            <w:r w:rsidR="009C62A7">
              <w:rPr>
                <w:rFonts w:asciiTheme="minorHAnsi" w:hAnsiTheme="minorHAnsi" w:cstheme="minorHAnsi"/>
                <w:color w:val="auto"/>
                <w:sz w:val="22"/>
                <w:szCs w:val="22"/>
              </w:rPr>
              <w:t xml:space="preserve"> </w:t>
            </w:r>
            <w:r w:rsidR="00025CA8">
              <w:rPr>
                <w:rFonts w:asciiTheme="minorHAnsi" w:hAnsiTheme="minorHAnsi" w:cstheme="minorHAnsi"/>
                <w:color w:val="auto"/>
                <w:sz w:val="22"/>
                <w:szCs w:val="22"/>
              </w:rPr>
              <w:t>for future aspirations and careers</w:t>
            </w:r>
            <w:r w:rsidR="00C30623" w:rsidRPr="00AD0DC8">
              <w:rPr>
                <w:rFonts w:asciiTheme="minorHAnsi" w:hAnsiTheme="minorHAnsi" w:cstheme="minorHAnsi"/>
                <w:color w:val="auto"/>
                <w:sz w:val="22"/>
                <w:szCs w:val="22"/>
              </w:rPr>
              <w:t xml:space="preserve">. </w:t>
            </w:r>
          </w:p>
          <w:p w14:paraId="6BE02C93" w14:textId="5A6FC412" w:rsidR="00115632" w:rsidRPr="007D777A" w:rsidRDefault="00C30623" w:rsidP="00A22E4F">
            <w:pPr>
              <w:pStyle w:val="TableRowCentered"/>
              <w:ind w:left="0"/>
              <w:jc w:val="left"/>
              <w:rPr>
                <w:rFonts w:asciiTheme="minorHAnsi" w:hAnsiTheme="minorHAnsi" w:cstheme="minorHAnsi"/>
                <w:b/>
                <w:color w:val="auto"/>
              </w:rPr>
            </w:pPr>
            <w:r w:rsidRPr="00AD0DC8">
              <w:rPr>
                <w:rFonts w:asciiTheme="minorHAnsi" w:hAnsiTheme="minorHAnsi" w:cstheme="minorHAnsi"/>
                <w:color w:val="auto"/>
                <w:sz w:val="22"/>
                <w:szCs w:val="22"/>
              </w:rPr>
              <w:t xml:space="preserve">Increased </w:t>
            </w:r>
            <w:r w:rsidR="00115632" w:rsidRPr="00AD0DC8">
              <w:rPr>
                <w:rFonts w:asciiTheme="minorHAnsi" w:hAnsiTheme="minorHAnsi" w:cstheme="minorHAnsi"/>
                <w:color w:val="auto"/>
                <w:sz w:val="22"/>
                <w:szCs w:val="22"/>
              </w:rPr>
              <w:t>range of outdoor learning e.g. PE activities which can evidence impact of enjoyment, participation and progress.</w:t>
            </w:r>
            <w:r w:rsidR="00032676" w:rsidRPr="00AD0DC8">
              <w:rPr>
                <w:rFonts w:asciiTheme="minorHAnsi" w:hAnsiTheme="minorHAnsi" w:cstheme="minorHAnsi"/>
                <w:color w:val="auto"/>
                <w:sz w:val="22"/>
                <w:szCs w:val="22"/>
              </w:rPr>
              <w:t xml:space="preserve"> Increased</w:t>
            </w:r>
            <w:r w:rsidR="00F672D8" w:rsidRPr="00AD0DC8">
              <w:rPr>
                <w:rFonts w:asciiTheme="minorHAnsi" w:hAnsiTheme="minorHAnsi" w:cstheme="minorHAnsi"/>
                <w:color w:val="auto"/>
                <w:sz w:val="22"/>
                <w:szCs w:val="22"/>
              </w:rPr>
              <w:t xml:space="preserve"> range of opportunities for trips, visits/visitors both in school and out of school to support and enrich their learning </w:t>
            </w:r>
            <w:proofErr w:type="gramStart"/>
            <w:r w:rsidR="00F672D8" w:rsidRPr="00AD0DC8">
              <w:rPr>
                <w:rFonts w:asciiTheme="minorHAnsi" w:hAnsiTheme="minorHAnsi" w:cstheme="minorHAnsi"/>
                <w:color w:val="auto"/>
                <w:sz w:val="22"/>
                <w:szCs w:val="22"/>
              </w:rPr>
              <w:t>in or</w:t>
            </w:r>
            <w:r w:rsidR="003178C5">
              <w:rPr>
                <w:rFonts w:asciiTheme="minorHAnsi" w:hAnsiTheme="minorHAnsi" w:cstheme="minorHAnsi"/>
                <w:color w:val="auto"/>
                <w:sz w:val="22"/>
                <w:szCs w:val="22"/>
              </w:rPr>
              <w:t>der to</w:t>
            </w:r>
            <w:proofErr w:type="gramEnd"/>
            <w:r w:rsidR="003178C5">
              <w:rPr>
                <w:rFonts w:asciiTheme="minorHAnsi" w:hAnsiTheme="minorHAnsi" w:cstheme="minorHAnsi"/>
                <w:color w:val="auto"/>
                <w:sz w:val="22"/>
                <w:szCs w:val="22"/>
              </w:rPr>
              <w:t xml:space="preserve"> raise their aspirations such as residential visit to Derwent Hill</w:t>
            </w:r>
            <w:r w:rsidR="0023729E">
              <w:rPr>
                <w:rFonts w:asciiTheme="minorHAnsi" w:hAnsiTheme="minorHAnsi" w:cstheme="minorHAnsi"/>
                <w:color w:val="auto"/>
                <w:sz w:val="22"/>
                <w:szCs w:val="22"/>
              </w:rPr>
              <w:t>, visits to the theatre, writing p</w:t>
            </w:r>
            <w:r w:rsidR="003178C5">
              <w:rPr>
                <w:rFonts w:asciiTheme="minorHAnsi" w:hAnsiTheme="minorHAnsi" w:cstheme="minorHAnsi"/>
                <w:color w:val="auto"/>
                <w:sz w:val="22"/>
                <w:szCs w:val="22"/>
              </w:rPr>
              <w:t>rojects with a published poet, summer schools and increased selection of free extra</w:t>
            </w:r>
            <w:r w:rsidR="009C62A7">
              <w:rPr>
                <w:rFonts w:asciiTheme="minorHAnsi" w:hAnsiTheme="minorHAnsi" w:cstheme="minorHAnsi"/>
                <w:color w:val="auto"/>
                <w:sz w:val="22"/>
                <w:szCs w:val="22"/>
              </w:rPr>
              <w:t>-</w:t>
            </w:r>
            <w:r w:rsidR="003178C5">
              <w:rPr>
                <w:rFonts w:asciiTheme="minorHAnsi" w:hAnsiTheme="minorHAnsi" w:cstheme="minorHAnsi"/>
                <w:color w:val="auto"/>
                <w:sz w:val="22"/>
                <w:szCs w:val="22"/>
              </w:rPr>
              <w:t xml:space="preserve">curricular activities. </w:t>
            </w:r>
            <w:r w:rsidR="007333A1">
              <w:rPr>
                <w:rFonts w:asciiTheme="minorHAnsi" w:hAnsiTheme="minorHAnsi" w:cstheme="minorHAnsi"/>
                <w:color w:val="auto"/>
                <w:sz w:val="22"/>
                <w:szCs w:val="22"/>
              </w:rPr>
              <w:t xml:space="preserve">Speakers from a range of </w:t>
            </w:r>
            <w:r w:rsidR="00176D10">
              <w:rPr>
                <w:rFonts w:asciiTheme="minorHAnsi" w:hAnsiTheme="minorHAnsi" w:cstheme="minorHAnsi"/>
                <w:color w:val="auto"/>
                <w:sz w:val="22"/>
                <w:szCs w:val="22"/>
              </w:rPr>
              <w:t>businesses to speak to KS1 and KS2 classes on a termly basis – links with TeesSpark</w:t>
            </w:r>
            <w:r w:rsidR="00173DE0">
              <w:rPr>
                <w:rFonts w:asciiTheme="minorHAnsi" w:hAnsiTheme="minorHAnsi" w:cstheme="minorHAnsi"/>
                <w:color w:val="auto"/>
                <w:sz w:val="22"/>
                <w:szCs w:val="22"/>
              </w:rPr>
              <w:t xml:space="preserve">. </w:t>
            </w:r>
          </w:p>
        </w:tc>
      </w:tr>
      <w:tr w:rsidR="000F1037" w:rsidRPr="007D777A" w14:paraId="041A556A" w14:textId="77777777" w:rsidTr="00072D3D">
        <w:trPr>
          <w:trHeight w:val="161"/>
        </w:trPr>
        <w:tc>
          <w:tcPr>
            <w:tcW w:w="4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CEFA" w14:textId="4CED85D8" w:rsidR="006A5AEB" w:rsidRPr="00F672D8" w:rsidRDefault="00BF0BB4" w:rsidP="00F672D8">
            <w:pPr>
              <w:pStyle w:val="TableHeader"/>
              <w:jc w:val="left"/>
              <w:rPr>
                <w:rFonts w:asciiTheme="minorHAnsi" w:hAnsiTheme="minorHAnsi" w:cstheme="minorHAnsi"/>
                <w:b w:val="0"/>
                <w:color w:val="auto"/>
                <w:sz w:val="22"/>
                <w:szCs w:val="22"/>
              </w:rPr>
            </w:pPr>
            <w:r>
              <w:rPr>
                <w:rFonts w:asciiTheme="minorHAnsi" w:hAnsiTheme="minorHAnsi" w:cstheme="minorHAnsi"/>
                <w:b w:val="0"/>
                <w:color w:val="auto"/>
                <w:sz w:val="22"/>
                <w:szCs w:val="22"/>
              </w:rPr>
              <w:t>Develop the vocabulary of disadvantaged pupils, in general and across the curriculum.</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90D0" w14:textId="68D2464D" w:rsidR="00F22B9D" w:rsidRDefault="00A22E4F">
            <w:pPr>
              <w:pStyle w:val="TableHeader"/>
              <w:jc w:val="left"/>
              <w:rPr>
                <w:rFonts w:asciiTheme="minorHAnsi" w:hAnsiTheme="minorHAnsi" w:cstheme="minorHAnsi"/>
                <w:b w:val="0"/>
                <w:color w:val="auto"/>
                <w:sz w:val="22"/>
                <w:szCs w:val="22"/>
              </w:rPr>
            </w:pPr>
            <w:r w:rsidRPr="00A22E4F">
              <w:rPr>
                <w:rFonts w:asciiTheme="minorHAnsi" w:hAnsiTheme="minorHAnsi" w:cstheme="minorHAnsi"/>
                <w:b w:val="0"/>
                <w:color w:val="auto"/>
                <w:sz w:val="22"/>
                <w:szCs w:val="22"/>
              </w:rPr>
              <w:t>Planned and sequenced curriculum</w:t>
            </w:r>
            <w:r>
              <w:rPr>
                <w:rFonts w:asciiTheme="minorHAnsi" w:hAnsiTheme="minorHAnsi" w:cstheme="minorHAnsi"/>
                <w:b w:val="0"/>
                <w:color w:val="auto"/>
                <w:sz w:val="22"/>
                <w:szCs w:val="22"/>
              </w:rPr>
              <w:t xml:space="preserve"> which builds upon previous knowledge with</w:t>
            </w:r>
            <w:r w:rsidR="007E6F08">
              <w:rPr>
                <w:rFonts w:asciiTheme="minorHAnsi" w:hAnsiTheme="minorHAnsi" w:cstheme="minorHAnsi"/>
                <w:b w:val="0"/>
                <w:color w:val="auto"/>
                <w:sz w:val="22"/>
                <w:szCs w:val="22"/>
              </w:rPr>
              <w:t xml:space="preserve"> tiered</w:t>
            </w:r>
            <w:r>
              <w:rPr>
                <w:rFonts w:asciiTheme="minorHAnsi" w:hAnsiTheme="minorHAnsi" w:cstheme="minorHAnsi"/>
                <w:b w:val="0"/>
                <w:color w:val="auto"/>
                <w:sz w:val="22"/>
                <w:szCs w:val="22"/>
              </w:rPr>
              <w:t xml:space="preserve"> vocabulary </w:t>
            </w:r>
            <w:r w:rsidR="007E6F08">
              <w:rPr>
                <w:rFonts w:asciiTheme="minorHAnsi" w:hAnsiTheme="minorHAnsi" w:cstheme="minorHAnsi"/>
                <w:b w:val="0"/>
                <w:color w:val="auto"/>
                <w:sz w:val="22"/>
                <w:szCs w:val="22"/>
              </w:rPr>
              <w:t xml:space="preserve">embedded throughout. </w:t>
            </w:r>
            <w:r w:rsidR="007E6F08" w:rsidRPr="007E6F08">
              <w:rPr>
                <w:rFonts w:asciiTheme="minorHAnsi" w:hAnsiTheme="minorHAnsi" w:cstheme="minorHAnsi"/>
                <w:b w:val="0"/>
                <w:color w:val="auto"/>
                <w:sz w:val="22"/>
                <w:szCs w:val="22"/>
              </w:rPr>
              <w:t>Monitoring</w:t>
            </w:r>
            <w:r w:rsidR="007E6F08">
              <w:rPr>
                <w:rFonts w:asciiTheme="minorHAnsi" w:hAnsiTheme="minorHAnsi" w:cstheme="minorHAnsi"/>
                <w:b w:val="0"/>
                <w:color w:val="auto"/>
                <w:sz w:val="22"/>
                <w:szCs w:val="22"/>
              </w:rPr>
              <w:t xml:space="preserve"> will identify application of vocabulary. </w:t>
            </w:r>
            <w:r w:rsidR="007E6F08" w:rsidRPr="007E6F08">
              <w:rPr>
                <w:rFonts w:asciiTheme="minorHAnsi" w:hAnsiTheme="minorHAnsi" w:cstheme="minorHAnsi"/>
                <w:b w:val="0"/>
                <w:color w:val="auto"/>
                <w:sz w:val="22"/>
                <w:szCs w:val="22"/>
              </w:rPr>
              <w:t xml:space="preserve"> </w:t>
            </w:r>
          </w:p>
          <w:p w14:paraId="6728A3BB" w14:textId="77777777" w:rsidR="000327CA" w:rsidRDefault="000327CA">
            <w:pPr>
              <w:pStyle w:val="TableHeader"/>
              <w:jc w:val="left"/>
              <w:rPr>
                <w:rFonts w:asciiTheme="minorHAnsi" w:hAnsiTheme="minorHAnsi" w:cstheme="minorHAnsi"/>
                <w:b w:val="0"/>
                <w:color w:val="auto"/>
                <w:sz w:val="22"/>
                <w:szCs w:val="22"/>
              </w:rPr>
            </w:pPr>
            <w:r>
              <w:rPr>
                <w:rFonts w:asciiTheme="minorHAnsi" w:hAnsiTheme="minorHAnsi" w:cstheme="minorHAnsi"/>
                <w:b w:val="0"/>
                <w:color w:val="auto"/>
                <w:sz w:val="22"/>
                <w:szCs w:val="22"/>
              </w:rPr>
              <w:t>Increased reading opportunities for disadvantaged children.</w:t>
            </w:r>
            <w:r w:rsidR="001123C5">
              <w:rPr>
                <w:rFonts w:asciiTheme="minorHAnsi" w:hAnsiTheme="minorHAnsi" w:cstheme="minorHAnsi"/>
                <w:b w:val="0"/>
                <w:color w:val="auto"/>
                <w:sz w:val="22"/>
                <w:szCs w:val="22"/>
              </w:rPr>
              <w:t xml:space="preserve"> </w:t>
            </w:r>
          </w:p>
          <w:p w14:paraId="52C90038" w14:textId="31DE6C73" w:rsidR="001123C5" w:rsidRPr="007D777A" w:rsidRDefault="001123C5">
            <w:pPr>
              <w:pStyle w:val="TableHeader"/>
              <w:jc w:val="left"/>
              <w:rPr>
                <w:rFonts w:asciiTheme="minorHAnsi" w:hAnsiTheme="minorHAnsi" w:cstheme="minorHAnsi"/>
                <w:b w:val="0"/>
                <w:color w:val="auto"/>
              </w:rPr>
            </w:pPr>
            <w:r>
              <w:rPr>
                <w:rFonts w:asciiTheme="minorHAnsi" w:hAnsiTheme="minorHAnsi" w:cstheme="minorHAnsi"/>
                <w:b w:val="0"/>
                <w:color w:val="auto"/>
                <w:sz w:val="22"/>
                <w:szCs w:val="22"/>
              </w:rPr>
              <w:t xml:space="preserve">Comprehension </w:t>
            </w:r>
            <w:r w:rsidR="00ED453C">
              <w:rPr>
                <w:rFonts w:asciiTheme="minorHAnsi" w:hAnsiTheme="minorHAnsi" w:cstheme="minorHAnsi"/>
                <w:b w:val="0"/>
                <w:color w:val="auto"/>
                <w:sz w:val="22"/>
                <w:szCs w:val="22"/>
              </w:rPr>
              <w:t>skill based and linked to curriculum topics where possible.</w:t>
            </w:r>
          </w:p>
        </w:tc>
      </w:tr>
      <w:bookmarkEnd w:id="17"/>
    </w:tbl>
    <w:p w14:paraId="300BBFFB" w14:textId="77777777" w:rsidR="009C62A7" w:rsidRDefault="009C62A7" w:rsidP="009C62A7">
      <w:pPr>
        <w:pStyle w:val="Heading2"/>
        <w:spacing w:before="0" w:after="0"/>
        <w:rPr>
          <w:rFonts w:asciiTheme="minorHAnsi" w:hAnsiTheme="minorHAnsi" w:cstheme="minorHAnsi"/>
          <w:b w:val="0"/>
          <w:color w:val="auto"/>
          <w:u w:val="single"/>
        </w:rPr>
      </w:pPr>
    </w:p>
    <w:p w14:paraId="2A7D5512" w14:textId="18F953AD" w:rsidR="00E66558" w:rsidRPr="00EA021B" w:rsidRDefault="001E2B50" w:rsidP="009C62A7">
      <w:pPr>
        <w:pStyle w:val="Heading2"/>
        <w:spacing w:before="0" w:after="0"/>
        <w:rPr>
          <w:rFonts w:asciiTheme="minorHAnsi" w:hAnsiTheme="minorHAnsi" w:cstheme="minorHAnsi"/>
          <w:color w:val="auto"/>
          <w:u w:val="single"/>
        </w:rPr>
      </w:pPr>
      <w:r w:rsidRPr="00EA021B">
        <w:rPr>
          <w:rFonts w:asciiTheme="minorHAnsi" w:hAnsiTheme="minorHAnsi" w:cstheme="minorHAnsi"/>
          <w:color w:val="auto"/>
          <w:u w:val="single"/>
        </w:rPr>
        <w:t>A</w:t>
      </w:r>
      <w:r w:rsidR="009D71E8" w:rsidRPr="00EA021B">
        <w:rPr>
          <w:rFonts w:asciiTheme="minorHAnsi" w:hAnsiTheme="minorHAnsi" w:cstheme="minorHAnsi"/>
          <w:color w:val="auto"/>
          <w:u w:val="single"/>
        </w:rPr>
        <w:t>ctivity in this academic year</w:t>
      </w:r>
    </w:p>
    <w:p w14:paraId="6D488B4E" w14:textId="01017886" w:rsidR="009C62A7" w:rsidRDefault="009D71E8" w:rsidP="009C62A7">
      <w:pPr>
        <w:spacing w:after="0"/>
        <w:rPr>
          <w:rFonts w:asciiTheme="minorHAnsi" w:hAnsiTheme="minorHAnsi" w:cstheme="minorHAnsi"/>
          <w:color w:val="auto"/>
        </w:rPr>
      </w:pPr>
      <w:r w:rsidRPr="007D777A">
        <w:rPr>
          <w:rFonts w:asciiTheme="minorHAnsi" w:hAnsiTheme="minorHAnsi" w:cstheme="minorHAnsi"/>
          <w:color w:val="auto"/>
        </w:rPr>
        <w:t xml:space="preserve">This details how we intend to spend our pupil premium (and recovery premium funding) </w:t>
      </w:r>
      <w:r w:rsidRPr="007D777A">
        <w:rPr>
          <w:rFonts w:asciiTheme="minorHAnsi" w:hAnsiTheme="minorHAnsi" w:cstheme="minorHAnsi"/>
          <w:b/>
          <w:bCs/>
          <w:color w:val="auto"/>
        </w:rPr>
        <w:t>this academic year</w:t>
      </w:r>
      <w:r w:rsidRPr="007D777A">
        <w:rPr>
          <w:rFonts w:asciiTheme="minorHAnsi" w:hAnsiTheme="minorHAnsi" w:cstheme="minorHAnsi"/>
          <w:color w:val="auto"/>
        </w:rPr>
        <w:t xml:space="preserve"> to address the challenges listed above.</w:t>
      </w:r>
    </w:p>
    <w:p w14:paraId="2A7D5514" w14:textId="1193E6B9" w:rsidR="00E66558" w:rsidRPr="007D777A" w:rsidRDefault="009D71E8" w:rsidP="009C62A7">
      <w:pPr>
        <w:spacing w:after="0"/>
        <w:rPr>
          <w:rFonts w:asciiTheme="minorHAnsi" w:hAnsiTheme="minorHAnsi" w:cstheme="minorHAnsi"/>
          <w:b/>
          <w:color w:val="auto"/>
          <w:u w:val="single"/>
        </w:rPr>
      </w:pPr>
      <w:r w:rsidRPr="007D777A">
        <w:rPr>
          <w:rFonts w:asciiTheme="minorHAnsi" w:hAnsiTheme="minorHAnsi" w:cstheme="minorHAnsi"/>
          <w:color w:val="auto"/>
          <w:u w:val="single"/>
        </w:rPr>
        <w:t xml:space="preserve">Teaching </w:t>
      </w:r>
    </w:p>
    <w:p w14:paraId="2A7D5515" w14:textId="05739C21" w:rsidR="00E66558" w:rsidRPr="007D777A" w:rsidRDefault="008B5209" w:rsidP="009C62A7">
      <w:pPr>
        <w:spacing w:after="0"/>
        <w:rPr>
          <w:rFonts w:asciiTheme="minorHAnsi" w:hAnsiTheme="minorHAnsi" w:cstheme="minorHAnsi"/>
          <w:color w:val="auto"/>
        </w:rPr>
      </w:pPr>
      <w:r w:rsidRPr="007D777A">
        <w:rPr>
          <w:rFonts w:asciiTheme="minorHAnsi" w:hAnsiTheme="minorHAnsi" w:cstheme="minorHAnsi"/>
          <w:color w:val="auto"/>
        </w:rPr>
        <w:t xml:space="preserve">Budgeted cost: </w:t>
      </w:r>
      <w:r w:rsidR="00025CA8" w:rsidRPr="00C0314B">
        <w:rPr>
          <w:rFonts w:asciiTheme="minorHAnsi" w:hAnsiTheme="minorHAnsi" w:cstheme="minorHAnsi"/>
          <w:color w:val="auto"/>
        </w:rPr>
        <w:t xml:space="preserve"> </w:t>
      </w:r>
      <w:r w:rsidRPr="00C0314B">
        <w:rPr>
          <w:rFonts w:asciiTheme="minorHAnsi" w:hAnsiTheme="minorHAnsi" w:cstheme="minorHAnsi"/>
          <w:color w:val="auto"/>
        </w:rPr>
        <w:t>£</w:t>
      </w:r>
      <w:r w:rsidR="00C0314B" w:rsidRPr="00C0314B">
        <w:rPr>
          <w:rFonts w:asciiTheme="minorHAnsi" w:hAnsiTheme="minorHAnsi" w:cstheme="minorHAnsi"/>
          <w:color w:val="auto"/>
        </w:rPr>
        <w:t>40,650</w:t>
      </w:r>
    </w:p>
    <w:tbl>
      <w:tblPr>
        <w:tblW w:w="5000" w:type="pct"/>
        <w:tblCellMar>
          <w:left w:w="10" w:type="dxa"/>
          <w:right w:w="10" w:type="dxa"/>
        </w:tblCellMar>
        <w:tblLook w:val="04A0" w:firstRow="1" w:lastRow="0" w:firstColumn="1" w:lastColumn="0" w:noHBand="0" w:noVBand="1"/>
      </w:tblPr>
      <w:tblGrid>
        <w:gridCol w:w="2501"/>
        <w:gridCol w:w="5611"/>
        <w:gridCol w:w="1374"/>
      </w:tblGrid>
      <w:tr w:rsidR="000F1037" w:rsidRPr="007D777A" w14:paraId="2A7D5519" w14:textId="77777777" w:rsidTr="005957A1">
        <w:tc>
          <w:tcPr>
            <w:tcW w:w="25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Activity</w:t>
            </w:r>
          </w:p>
        </w:tc>
        <w:tc>
          <w:tcPr>
            <w:tcW w:w="56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Evidence that supports this approach</w:t>
            </w:r>
          </w:p>
        </w:tc>
        <w:tc>
          <w:tcPr>
            <w:tcW w:w="1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Challenge number(s) addressed</w:t>
            </w:r>
          </w:p>
        </w:tc>
      </w:tr>
      <w:tr w:rsidR="000F1037" w:rsidRPr="007D777A" w14:paraId="2A7D551D" w14:textId="77777777" w:rsidTr="005957A1">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71E4" w14:textId="77777777" w:rsidR="00E560E8" w:rsidRDefault="00E560E8" w:rsidP="00755BDA">
            <w:pPr>
              <w:pStyle w:val="TableRowCentered"/>
              <w:ind w:left="0"/>
              <w:jc w:val="left"/>
              <w:rPr>
                <w:rFonts w:asciiTheme="minorHAnsi" w:hAnsiTheme="minorHAnsi" w:cstheme="minorHAnsi"/>
                <w:color w:val="auto"/>
                <w:sz w:val="22"/>
                <w:szCs w:val="22"/>
              </w:rPr>
            </w:pPr>
            <w:r w:rsidRPr="00E560E8">
              <w:rPr>
                <w:rFonts w:asciiTheme="minorHAnsi" w:hAnsiTheme="minorHAnsi" w:cstheme="minorHAnsi"/>
                <w:color w:val="auto"/>
                <w:sz w:val="22"/>
                <w:szCs w:val="22"/>
              </w:rPr>
              <w:t>Provide an extensive CPD programme to continue to develop quality first teaching across the whole school. This to include:</w:t>
            </w:r>
          </w:p>
          <w:p w14:paraId="56CA5828" w14:textId="387CF4FD" w:rsidR="00E560E8" w:rsidRDefault="00E560E8" w:rsidP="00755BDA">
            <w:pPr>
              <w:pStyle w:val="TableRowCentered"/>
              <w:ind w:left="0"/>
              <w:jc w:val="left"/>
              <w:rPr>
                <w:rFonts w:asciiTheme="minorHAnsi" w:hAnsiTheme="minorHAnsi" w:cstheme="minorHAnsi"/>
                <w:color w:val="auto"/>
                <w:sz w:val="22"/>
                <w:szCs w:val="22"/>
              </w:rPr>
            </w:pPr>
            <w:r w:rsidRPr="00E560E8">
              <w:rPr>
                <w:rFonts w:asciiTheme="minorHAnsi" w:hAnsiTheme="minorHAnsi" w:cstheme="minorHAnsi"/>
                <w:color w:val="auto"/>
                <w:sz w:val="22"/>
                <w:szCs w:val="22"/>
              </w:rPr>
              <w:t xml:space="preserve"> • Voice 21 Oracy Project </w:t>
            </w:r>
          </w:p>
          <w:p w14:paraId="2A7D551A" w14:textId="13276A58" w:rsidR="00E66558" w:rsidRPr="00755BDA" w:rsidRDefault="00E560E8" w:rsidP="00755BDA">
            <w:pPr>
              <w:pStyle w:val="TableRowCentered"/>
              <w:ind w:left="0"/>
              <w:jc w:val="left"/>
              <w:rPr>
                <w:rFonts w:asciiTheme="minorHAnsi" w:hAnsiTheme="minorHAnsi" w:cstheme="minorHAnsi"/>
                <w:color w:val="auto"/>
                <w:sz w:val="22"/>
                <w:szCs w:val="22"/>
              </w:rPr>
            </w:pPr>
            <w:r w:rsidRPr="00E560E8">
              <w:rPr>
                <w:rFonts w:asciiTheme="minorHAnsi" w:hAnsiTheme="minorHAnsi" w:cstheme="minorHAnsi"/>
                <w:color w:val="auto"/>
                <w:sz w:val="22"/>
                <w:szCs w:val="22"/>
              </w:rPr>
              <w:t xml:space="preserve">• Early Reading – Full RWI training for new staff, and those new / returning to KS1. Ongoing RWI training from the ‘portal’ and the partner development days </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60B7" w14:textId="34625BA6" w:rsidR="00A13428" w:rsidRDefault="00A13428" w:rsidP="00A16176">
            <w:pPr>
              <w:pStyle w:val="TableRowCentered"/>
              <w:spacing w:before="0" w:after="0"/>
              <w:ind w:right="0"/>
              <w:jc w:val="left"/>
              <w:rPr>
                <w:rFonts w:asciiTheme="minorHAnsi" w:hAnsiTheme="minorHAnsi" w:cstheme="minorHAnsi"/>
                <w:color w:val="auto"/>
                <w:sz w:val="22"/>
              </w:rPr>
            </w:pPr>
            <w:r>
              <w:rPr>
                <w:rFonts w:asciiTheme="minorHAnsi" w:hAnsiTheme="minorHAnsi" w:cstheme="minorHAnsi"/>
                <w:color w:val="auto"/>
                <w:sz w:val="22"/>
              </w:rPr>
              <w:t>T</w:t>
            </w:r>
            <w:r w:rsidRPr="00A13428">
              <w:rPr>
                <w:rFonts w:asciiTheme="minorHAnsi" w:hAnsiTheme="minorHAnsi" w:cstheme="minorHAnsi"/>
                <w:color w:val="auto"/>
                <w:sz w:val="22"/>
              </w:rPr>
              <w:t xml:space="preserve">he EEF Pupil premium guide states that improving quality first teaching should be the </w:t>
            </w:r>
            <w:proofErr w:type="gramStart"/>
            <w:r w:rsidRPr="00A13428">
              <w:rPr>
                <w:rFonts w:asciiTheme="minorHAnsi" w:hAnsiTheme="minorHAnsi" w:cstheme="minorHAnsi"/>
                <w:color w:val="auto"/>
                <w:sz w:val="22"/>
              </w:rPr>
              <w:t>first priority</w:t>
            </w:r>
            <w:proofErr w:type="gramEnd"/>
          </w:p>
          <w:p w14:paraId="145CA1EF" w14:textId="421F9282" w:rsidR="00A16176" w:rsidRDefault="000927CF" w:rsidP="00A16176">
            <w:pPr>
              <w:pStyle w:val="TableRowCentered"/>
              <w:spacing w:before="0" w:after="0"/>
              <w:ind w:right="0"/>
              <w:jc w:val="left"/>
              <w:rPr>
                <w:rFonts w:asciiTheme="minorHAnsi" w:hAnsiTheme="minorHAnsi" w:cstheme="minorHAnsi"/>
                <w:color w:val="auto"/>
                <w:sz w:val="22"/>
              </w:rPr>
            </w:pPr>
            <w:r>
              <w:rPr>
                <w:rFonts w:asciiTheme="minorHAnsi" w:hAnsiTheme="minorHAnsi" w:cstheme="minorHAnsi"/>
                <w:color w:val="auto"/>
                <w:sz w:val="22"/>
              </w:rPr>
              <w:t>EEF – Teaching Assistant Interventions (+4)</w:t>
            </w:r>
          </w:p>
          <w:p w14:paraId="0FC5E9B2" w14:textId="77777777" w:rsidR="00863ABE" w:rsidRDefault="000927CF" w:rsidP="00EA021B">
            <w:pPr>
              <w:pStyle w:val="TableRowCentered"/>
              <w:spacing w:before="0" w:after="0"/>
              <w:ind w:right="0"/>
              <w:jc w:val="left"/>
              <w:rPr>
                <w:rStyle w:val="Hyperlink"/>
                <w:rFonts w:asciiTheme="minorHAnsi" w:hAnsiTheme="minorHAnsi" w:cstheme="minorHAnsi"/>
                <w:sz w:val="22"/>
              </w:rPr>
            </w:pPr>
            <w:hyperlink r:id="rId11" w:history="1">
              <w:r w:rsidRPr="00C878DB">
                <w:rPr>
                  <w:rStyle w:val="Hyperlink"/>
                  <w:rFonts w:asciiTheme="minorHAnsi" w:hAnsiTheme="minorHAnsi" w:cstheme="minorHAnsi"/>
                  <w:sz w:val="22"/>
                </w:rPr>
                <w:t>https://educationendowmentfoundation.org.uk/education-evidence/teaching-learning-toolkit/teaching-assistant-interventions</w:t>
              </w:r>
            </w:hyperlink>
          </w:p>
          <w:p w14:paraId="2A7D551B" w14:textId="4E829C21" w:rsidR="00B23988" w:rsidRPr="007D777A" w:rsidRDefault="00B23988" w:rsidP="00EA021B">
            <w:pPr>
              <w:pStyle w:val="TableRowCentered"/>
              <w:spacing w:before="0" w:after="0"/>
              <w:ind w:right="0"/>
              <w:jc w:val="left"/>
              <w:rPr>
                <w:rFonts w:asciiTheme="minorHAnsi" w:hAnsiTheme="minorHAnsi" w:cstheme="minorHAnsi"/>
                <w:color w:val="auto"/>
                <w:sz w:val="22"/>
                <w:highlight w:val="yellow"/>
              </w:rPr>
            </w:pPr>
            <w:r w:rsidRPr="00B23988">
              <w:rPr>
                <w:rFonts w:asciiTheme="minorHAnsi" w:hAnsiTheme="minorHAnsi" w:cstheme="minorHAnsi"/>
                <w:color w:val="auto"/>
                <w:sz w:val="22"/>
              </w:rPr>
              <w:t>Specific courses are also backed up by evidence e.g. for RWI phonics training, phonics is stated by the EEF as having a significantly positive impact on attainment (+5 months).</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5E1146" w:rsidR="00E66558" w:rsidRPr="007D777A" w:rsidRDefault="00E73C96" w:rsidP="0053606E">
            <w:pPr>
              <w:pStyle w:val="TableRowCentered"/>
              <w:spacing w:before="0" w:after="0"/>
              <w:ind w:right="0"/>
              <w:jc w:val="left"/>
              <w:rPr>
                <w:rFonts w:asciiTheme="minorHAnsi" w:hAnsiTheme="minorHAnsi" w:cstheme="minorHAnsi"/>
                <w:color w:val="auto"/>
                <w:sz w:val="22"/>
              </w:rPr>
            </w:pPr>
            <w:r>
              <w:rPr>
                <w:rFonts w:asciiTheme="minorHAnsi" w:hAnsiTheme="minorHAnsi" w:cstheme="minorHAnsi"/>
                <w:color w:val="auto"/>
                <w:sz w:val="22"/>
              </w:rPr>
              <w:t>1,</w:t>
            </w:r>
            <w:r w:rsidR="00D04A81">
              <w:rPr>
                <w:rFonts w:asciiTheme="minorHAnsi" w:hAnsiTheme="minorHAnsi" w:cstheme="minorHAnsi"/>
                <w:color w:val="auto"/>
                <w:sz w:val="22"/>
              </w:rPr>
              <w:t>3,4</w:t>
            </w:r>
          </w:p>
        </w:tc>
      </w:tr>
      <w:tr w:rsidR="000F1037" w:rsidRPr="007D777A" w14:paraId="2A7D5521" w14:textId="77777777" w:rsidTr="005957A1">
        <w:trPr>
          <w:trHeight w:val="355"/>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D60D8" w14:textId="77777777" w:rsidR="00E66558" w:rsidRDefault="000927CF" w:rsidP="0053606E">
            <w:pPr>
              <w:pStyle w:val="TableRow"/>
              <w:spacing w:before="0" w:after="0"/>
              <w:ind w:right="0"/>
              <w:rPr>
                <w:rFonts w:asciiTheme="minorHAnsi" w:hAnsiTheme="minorHAnsi" w:cstheme="minorHAnsi"/>
                <w:iCs/>
                <w:color w:val="auto"/>
                <w:sz w:val="22"/>
              </w:rPr>
            </w:pPr>
            <w:r w:rsidRPr="00EB376D">
              <w:rPr>
                <w:rFonts w:asciiTheme="minorHAnsi" w:hAnsiTheme="minorHAnsi" w:cstheme="minorHAnsi"/>
                <w:iCs/>
                <w:color w:val="auto"/>
                <w:sz w:val="22"/>
              </w:rPr>
              <w:t>Same day interventions</w:t>
            </w:r>
            <w:r w:rsidR="00EB376D" w:rsidRPr="00EB376D">
              <w:rPr>
                <w:rFonts w:asciiTheme="minorHAnsi" w:hAnsiTheme="minorHAnsi" w:cstheme="minorHAnsi"/>
                <w:iCs/>
                <w:color w:val="auto"/>
                <w:sz w:val="22"/>
              </w:rPr>
              <w:t>/feedback</w:t>
            </w:r>
            <w:r w:rsidRPr="00EB376D">
              <w:rPr>
                <w:rFonts w:asciiTheme="minorHAnsi" w:hAnsiTheme="minorHAnsi" w:cstheme="minorHAnsi"/>
                <w:iCs/>
                <w:color w:val="auto"/>
                <w:sz w:val="22"/>
              </w:rPr>
              <w:t xml:space="preserve"> delivered by quality first teaching from teachers.</w:t>
            </w:r>
          </w:p>
          <w:p w14:paraId="2A7D551E" w14:textId="0D78ADAC" w:rsidR="005957A1" w:rsidRPr="00EB376D" w:rsidRDefault="005957A1" w:rsidP="0053606E">
            <w:pPr>
              <w:pStyle w:val="TableRow"/>
              <w:spacing w:before="0" w:after="0"/>
              <w:ind w:right="0"/>
              <w:rPr>
                <w:rFonts w:asciiTheme="minorHAnsi" w:hAnsiTheme="minorHAnsi" w:cstheme="minorHAnsi"/>
                <w:iCs/>
                <w:color w:val="auto"/>
                <w:sz w:val="22"/>
              </w:rPr>
            </w:pP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D949" w14:textId="7650819F" w:rsidR="00E66558" w:rsidRDefault="00EB376D" w:rsidP="0053606E">
            <w:pPr>
              <w:pStyle w:val="TableRowCentered"/>
              <w:spacing w:before="0" w:after="0"/>
              <w:ind w:right="0"/>
              <w:jc w:val="left"/>
              <w:rPr>
                <w:rFonts w:asciiTheme="minorHAnsi" w:hAnsiTheme="minorHAnsi" w:cstheme="minorHAnsi"/>
                <w:color w:val="auto"/>
                <w:sz w:val="22"/>
              </w:rPr>
            </w:pPr>
            <w:r w:rsidRPr="00EB376D">
              <w:rPr>
                <w:rFonts w:asciiTheme="minorHAnsi" w:hAnsiTheme="minorHAnsi" w:cstheme="minorHAnsi"/>
                <w:color w:val="auto"/>
                <w:sz w:val="22"/>
              </w:rPr>
              <w:t xml:space="preserve">EEF Feedback and Interventions </w:t>
            </w:r>
            <w:r>
              <w:rPr>
                <w:rFonts w:asciiTheme="minorHAnsi" w:hAnsiTheme="minorHAnsi" w:cstheme="minorHAnsi"/>
                <w:color w:val="auto"/>
                <w:sz w:val="22"/>
              </w:rPr>
              <w:t>(+4-6)</w:t>
            </w:r>
          </w:p>
          <w:p w14:paraId="0989AB59" w14:textId="15B03443" w:rsidR="00EB376D" w:rsidRDefault="00EB376D" w:rsidP="0053606E">
            <w:pPr>
              <w:pStyle w:val="TableRowCentered"/>
              <w:spacing w:before="0" w:after="0"/>
              <w:ind w:right="0"/>
              <w:jc w:val="left"/>
              <w:rPr>
                <w:rFonts w:asciiTheme="minorHAnsi" w:hAnsiTheme="minorHAnsi" w:cstheme="minorHAnsi"/>
                <w:color w:val="auto"/>
                <w:sz w:val="22"/>
              </w:rPr>
            </w:pPr>
            <w:hyperlink r:id="rId12" w:history="1">
              <w:r w:rsidRPr="00C878DB">
                <w:rPr>
                  <w:rStyle w:val="Hyperlink"/>
                  <w:rFonts w:asciiTheme="minorHAnsi" w:hAnsiTheme="minorHAnsi" w:cstheme="minorHAnsi"/>
                  <w:sz w:val="22"/>
                </w:rPr>
                <w:t>https://educationendowmentfoundation.org.uk/education-evidence/teaching-learning-toolkit/feedback</w:t>
              </w:r>
            </w:hyperlink>
          </w:p>
          <w:p w14:paraId="1A6FCFD7" w14:textId="77777777" w:rsidR="00EB376D" w:rsidRDefault="00EB376D" w:rsidP="0053606E">
            <w:pPr>
              <w:pStyle w:val="TableRowCentered"/>
              <w:spacing w:before="0" w:after="0"/>
              <w:ind w:right="0"/>
              <w:jc w:val="left"/>
              <w:rPr>
                <w:rFonts w:asciiTheme="minorHAnsi" w:hAnsiTheme="minorHAnsi" w:cstheme="minorHAnsi"/>
                <w:color w:val="auto"/>
                <w:sz w:val="22"/>
              </w:rPr>
            </w:pPr>
          </w:p>
          <w:p w14:paraId="2A7D551F" w14:textId="779CD02A" w:rsidR="00EB376D" w:rsidRPr="00EB376D" w:rsidRDefault="00EB376D" w:rsidP="0053606E">
            <w:pPr>
              <w:pStyle w:val="TableRowCentered"/>
              <w:spacing w:before="0" w:after="0"/>
              <w:ind w:right="0"/>
              <w:jc w:val="left"/>
              <w:rPr>
                <w:rFonts w:asciiTheme="minorHAnsi" w:hAnsiTheme="minorHAnsi" w:cstheme="minorHAnsi"/>
                <w:color w:val="auto"/>
                <w:sz w:val="22"/>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1DF90A6" w:rsidR="00E66558" w:rsidRPr="007D777A" w:rsidRDefault="00E73C96" w:rsidP="0053606E">
            <w:pPr>
              <w:pStyle w:val="TableRowCentered"/>
              <w:spacing w:before="0" w:after="0"/>
              <w:ind w:right="0"/>
              <w:jc w:val="left"/>
              <w:rPr>
                <w:rFonts w:asciiTheme="minorHAnsi" w:hAnsiTheme="minorHAnsi" w:cstheme="minorHAnsi"/>
                <w:color w:val="auto"/>
                <w:sz w:val="22"/>
              </w:rPr>
            </w:pPr>
            <w:r>
              <w:rPr>
                <w:rFonts w:asciiTheme="minorHAnsi" w:hAnsiTheme="minorHAnsi" w:cstheme="minorHAnsi"/>
                <w:color w:val="auto"/>
                <w:sz w:val="22"/>
              </w:rPr>
              <w:t>1,</w:t>
            </w:r>
            <w:r w:rsidR="00EB376D">
              <w:rPr>
                <w:rFonts w:asciiTheme="minorHAnsi" w:hAnsiTheme="minorHAnsi" w:cstheme="minorHAnsi"/>
                <w:color w:val="auto"/>
                <w:sz w:val="22"/>
              </w:rPr>
              <w:t>3,4</w:t>
            </w:r>
          </w:p>
        </w:tc>
      </w:tr>
      <w:tr w:rsidR="005957A1" w:rsidRPr="007D777A" w14:paraId="7B535233" w14:textId="77777777" w:rsidTr="005957A1">
        <w:trPr>
          <w:trHeight w:val="355"/>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CE7F" w14:textId="3609F79E" w:rsidR="005957A1" w:rsidRPr="00EB376D" w:rsidRDefault="009D7A78" w:rsidP="005957A1">
            <w:pPr>
              <w:pStyle w:val="TableRow"/>
              <w:spacing w:before="0" w:after="0"/>
              <w:ind w:right="0"/>
              <w:rPr>
                <w:rFonts w:asciiTheme="minorHAnsi" w:hAnsiTheme="minorHAnsi" w:cstheme="minorHAnsi"/>
                <w:iCs/>
                <w:color w:val="auto"/>
                <w:sz w:val="22"/>
              </w:rPr>
            </w:pPr>
            <w:r w:rsidRPr="009D7A78">
              <w:rPr>
                <w:rFonts w:asciiTheme="minorHAnsi" w:hAnsiTheme="minorHAnsi" w:cstheme="minorHAnsi"/>
                <w:iCs/>
                <w:color w:val="auto"/>
                <w:sz w:val="22"/>
              </w:rPr>
              <w:t xml:space="preserve">Provide </w:t>
            </w:r>
            <w:r w:rsidR="009C007B">
              <w:rPr>
                <w:rFonts w:asciiTheme="minorHAnsi" w:hAnsiTheme="minorHAnsi" w:cstheme="minorHAnsi"/>
                <w:b/>
                <w:iCs/>
                <w:color w:val="auto"/>
                <w:sz w:val="22"/>
              </w:rPr>
              <w:t xml:space="preserve">weekly </w:t>
            </w:r>
            <w:r w:rsidRPr="009C007B">
              <w:rPr>
                <w:rFonts w:asciiTheme="minorHAnsi" w:hAnsiTheme="minorHAnsi" w:cstheme="minorHAnsi"/>
                <w:b/>
                <w:bCs/>
                <w:iCs/>
                <w:color w:val="auto"/>
                <w:sz w:val="22"/>
              </w:rPr>
              <w:t>release time</w:t>
            </w:r>
            <w:r w:rsidRPr="009D7A78">
              <w:rPr>
                <w:rFonts w:asciiTheme="minorHAnsi" w:hAnsiTheme="minorHAnsi" w:cstheme="minorHAnsi"/>
                <w:iCs/>
                <w:color w:val="auto"/>
                <w:sz w:val="22"/>
              </w:rPr>
              <w:t xml:space="preserve"> for the Early Reading </w:t>
            </w:r>
            <w:proofErr w:type="gramStart"/>
            <w:r w:rsidRPr="009D7A78">
              <w:rPr>
                <w:rFonts w:asciiTheme="minorHAnsi" w:hAnsiTheme="minorHAnsi" w:cstheme="minorHAnsi"/>
                <w:iCs/>
                <w:color w:val="auto"/>
                <w:sz w:val="22"/>
              </w:rPr>
              <w:t>lead</w:t>
            </w:r>
            <w:proofErr w:type="gramEnd"/>
            <w:r w:rsidRPr="009D7A78">
              <w:rPr>
                <w:rFonts w:asciiTheme="minorHAnsi" w:hAnsiTheme="minorHAnsi" w:cstheme="minorHAnsi"/>
                <w:iCs/>
                <w:color w:val="auto"/>
                <w:sz w:val="22"/>
              </w:rPr>
              <w:t xml:space="preserve"> to allow them to provide support to teachers to improve the quality of teaching across school.</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FAB9C" w14:textId="2FA6B692" w:rsidR="005957A1" w:rsidRPr="005957A1" w:rsidRDefault="009C007B" w:rsidP="005957A1">
            <w:pPr>
              <w:pStyle w:val="TableRowCentered"/>
              <w:spacing w:before="0" w:after="0"/>
              <w:ind w:right="0"/>
              <w:jc w:val="left"/>
              <w:rPr>
                <w:rFonts w:asciiTheme="minorHAnsi" w:hAnsiTheme="minorHAnsi" w:cstheme="minorHAnsi"/>
                <w:iCs/>
                <w:color w:val="auto"/>
                <w:sz w:val="22"/>
                <w:szCs w:val="24"/>
              </w:rPr>
            </w:pPr>
            <w:r w:rsidRPr="009C007B">
              <w:rPr>
                <w:rFonts w:asciiTheme="minorHAnsi" w:hAnsiTheme="minorHAnsi" w:cstheme="minorHAnsi"/>
                <w:iCs/>
                <w:color w:val="auto"/>
                <w:sz w:val="22"/>
                <w:szCs w:val="24"/>
              </w:rPr>
              <w:t xml:space="preserve">Building on the above evidence base, phonics is also stated by the EEF as having a significantly positive impact on attainment (+5 months). The Early Reading lead provides </w:t>
            </w:r>
            <w:r w:rsidR="00A4646F">
              <w:rPr>
                <w:rFonts w:asciiTheme="minorHAnsi" w:hAnsiTheme="minorHAnsi" w:cstheme="minorHAnsi"/>
                <w:iCs/>
                <w:color w:val="auto"/>
                <w:sz w:val="22"/>
                <w:szCs w:val="24"/>
              </w:rPr>
              <w:t>weekly</w:t>
            </w:r>
            <w:r w:rsidRPr="009C007B">
              <w:rPr>
                <w:rFonts w:asciiTheme="minorHAnsi" w:hAnsiTheme="minorHAnsi" w:cstheme="minorHAnsi"/>
                <w:iCs/>
                <w:color w:val="auto"/>
                <w:sz w:val="22"/>
                <w:szCs w:val="24"/>
              </w:rPr>
              <w:t xml:space="preserve"> phonics training for all staff in line with the guidance in our SSP scheme (Read Write Inc). This ensures that we are following the scheme with fidelity (which is also an evidence</w:t>
            </w:r>
            <w:r w:rsidR="00DA31A8">
              <w:rPr>
                <w:rFonts w:asciiTheme="minorHAnsi" w:hAnsiTheme="minorHAnsi" w:cstheme="minorHAnsi"/>
                <w:iCs/>
                <w:color w:val="auto"/>
                <w:sz w:val="22"/>
                <w:szCs w:val="24"/>
              </w:rPr>
              <w:t xml:space="preserve"> </w:t>
            </w:r>
            <w:r w:rsidRPr="009C007B">
              <w:rPr>
                <w:rFonts w:asciiTheme="minorHAnsi" w:hAnsiTheme="minorHAnsi" w:cstheme="minorHAnsi"/>
                <w:iCs/>
                <w:color w:val="auto"/>
                <w:sz w:val="22"/>
                <w:szCs w:val="24"/>
              </w:rPr>
              <w:t>informed recommendation</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78D4" w14:textId="614A5754" w:rsidR="005957A1" w:rsidRPr="005957A1" w:rsidRDefault="009C007B" w:rsidP="005957A1">
            <w:pPr>
              <w:pStyle w:val="TableRowCentered"/>
              <w:spacing w:before="0" w:after="0"/>
              <w:ind w:right="0"/>
              <w:jc w:val="left"/>
              <w:rPr>
                <w:rFonts w:asciiTheme="minorHAnsi" w:hAnsiTheme="minorHAnsi" w:cstheme="minorHAnsi"/>
                <w:iCs/>
                <w:color w:val="auto"/>
                <w:sz w:val="22"/>
                <w:szCs w:val="24"/>
              </w:rPr>
            </w:pPr>
            <w:r w:rsidRPr="009C007B">
              <w:rPr>
                <w:rFonts w:asciiTheme="minorHAnsi" w:hAnsiTheme="minorHAnsi" w:cstheme="minorHAnsi"/>
                <w:iCs/>
                <w:color w:val="auto"/>
                <w:sz w:val="22"/>
                <w:szCs w:val="24"/>
              </w:rPr>
              <w:t>1, 2, 3</w:t>
            </w:r>
          </w:p>
        </w:tc>
      </w:tr>
      <w:tr w:rsidR="000C53AA" w:rsidRPr="007D777A" w14:paraId="39F3C829" w14:textId="77777777" w:rsidTr="005957A1">
        <w:trPr>
          <w:trHeight w:val="355"/>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0EB3" w14:textId="22793F03" w:rsidR="000C53AA" w:rsidRPr="00EB376D" w:rsidRDefault="000C53AA" w:rsidP="0053606E">
            <w:pPr>
              <w:pStyle w:val="TableRow"/>
              <w:spacing w:before="0" w:after="0"/>
              <w:ind w:right="0"/>
              <w:rPr>
                <w:rFonts w:asciiTheme="minorHAnsi" w:hAnsiTheme="minorHAnsi" w:cstheme="minorHAnsi"/>
                <w:iCs/>
                <w:color w:val="auto"/>
                <w:sz w:val="22"/>
              </w:rPr>
            </w:pPr>
            <w:r w:rsidRPr="000C53AA">
              <w:rPr>
                <w:rFonts w:asciiTheme="minorHAnsi" w:hAnsiTheme="minorHAnsi" w:cstheme="minorHAnsi"/>
                <w:color w:val="auto"/>
                <w:sz w:val="22"/>
                <w:szCs w:val="22"/>
              </w:rPr>
              <w:t xml:space="preserve">CPD for staff on language development and </w:t>
            </w:r>
            <w:r w:rsidR="006274AD">
              <w:rPr>
                <w:rFonts w:asciiTheme="minorHAnsi" w:hAnsiTheme="minorHAnsi" w:cstheme="minorHAnsi"/>
                <w:color w:val="auto"/>
                <w:sz w:val="22"/>
                <w:szCs w:val="22"/>
              </w:rPr>
              <w:t>oracy</w:t>
            </w:r>
            <w:r w:rsidRPr="000C53AA">
              <w:rPr>
                <w:rFonts w:asciiTheme="minorHAnsi" w:hAnsiTheme="minorHAnsi" w:cstheme="minorHAnsi"/>
                <w:color w:val="auto"/>
                <w:sz w:val="22"/>
                <w:szCs w:val="22"/>
              </w:rPr>
              <w:t>. ‘</w:t>
            </w:r>
            <w:r w:rsidR="006274AD">
              <w:rPr>
                <w:rFonts w:asciiTheme="minorHAnsi" w:hAnsiTheme="minorHAnsi" w:cstheme="minorHAnsi"/>
                <w:color w:val="auto"/>
                <w:sz w:val="22"/>
                <w:szCs w:val="22"/>
              </w:rPr>
              <w:t>Voice 21’</w:t>
            </w:r>
            <w:r w:rsidRPr="000C53AA">
              <w:rPr>
                <w:rFonts w:asciiTheme="minorHAnsi" w:hAnsiTheme="minorHAnsi" w:cstheme="minorHAnsi"/>
                <w:color w:val="auto"/>
                <w:sz w:val="22"/>
                <w:szCs w:val="22"/>
              </w:rPr>
              <w:t xml:space="preserve">. </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899" w14:textId="719EA195" w:rsidR="000C53AA" w:rsidRPr="00EB376D" w:rsidRDefault="000C53AA" w:rsidP="0053606E">
            <w:pPr>
              <w:pStyle w:val="TableRowCentered"/>
              <w:spacing w:before="0" w:after="0"/>
              <w:ind w:right="0"/>
              <w:jc w:val="left"/>
              <w:rPr>
                <w:rFonts w:asciiTheme="minorHAnsi" w:hAnsiTheme="minorHAnsi" w:cstheme="minorHAnsi"/>
                <w:color w:val="auto"/>
                <w:sz w:val="22"/>
              </w:rPr>
            </w:pPr>
            <w:r w:rsidRPr="000C53AA">
              <w:rPr>
                <w:rFonts w:asciiTheme="minorHAnsi" w:hAnsiTheme="minorHAnsi" w:cstheme="minorHAnsi"/>
                <w:color w:val="auto"/>
                <w:sz w:val="22"/>
                <w:szCs w:val="22"/>
              </w:rPr>
              <w:t>EEF SEN research – ‘build an ongoing holistic understanding of your pupils and their needs’.</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FC209" w14:textId="082EF9F4" w:rsidR="000C53AA" w:rsidRDefault="00454754" w:rsidP="0053606E">
            <w:pPr>
              <w:pStyle w:val="TableRowCentered"/>
              <w:spacing w:before="0" w:after="0"/>
              <w:ind w:right="0"/>
              <w:jc w:val="left"/>
              <w:rPr>
                <w:rFonts w:asciiTheme="minorHAnsi" w:hAnsiTheme="minorHAnsi" w:cstheme="minorHAnsi"/>
                <w:color w:val="auto"/>
                <w:sz w:val="22"/>
              </w:rPr>
            </w:pPr>
            <w:r>
              <w:rPr>
                <w:rFonts w:asciiTheme="minorHAnsi" w:hAnsiTheme="minorHAnsi" w:cstheme="minorHAnsi"/>
                <w:color w:val="auto"/>
                <w:sz w:val="22"/>
              </w:rPr>
              <w:t>1,</w:t>
            </w:r>
            <w:r w:rsidR="005C24F9">
              <w:rPr>
                <w:rFonts w:asciiTheme="minorHAnsi" w:hAnsiTheme="minorHAnsi" w:cstheme="minorHAnsi"/>
                <w:color w:val="auto"/>
                <w:sz w:val="22"/>
              </w:rPr>
              <w:t>4</w:t>
            </w:r>
          </w:p>
        </w:tc>
      </w:tr>
      <w:tr w:rsidR="000927CF" w:rsidRPr="007D777A" w14:paraId="7743F86D" w14:textId="77777777" w:rsidTr="005957A1">
        <w:trPr>
          <w:trHeight w:val="355"/>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D2CC" w14:textId="0CD337F9" w:rsidR="000927CF" w:rsidRDefault="000927CF" w:rsidP="0053606E">
            <w:pPr>
              <w:pStyle w:val="TableRow"/>
              <w:spacing w:before="0" w:after="0"/>
              <w:ind w:right="0"/>
              <w:rPr>
                <w:rFonts w:asciiTheme="minorHAnsi" w:hAnsiTheme="minorHAnsi" w:cstheme="minorHAnsi"/>
                <w:iCs/>
                <w:color w:val="auto"/>
                <w:sz w:val="22"/>
              </w:rPr>
            </w:pPr>
            <w:r>
              <w:rPr>
                <w:rFonts w:asciiTheme="minorHAnsi" w:hAnsiTheme="minorHAnsi" w:cstheme="minorHAnsi"/>
                <w:iCs/>
                <w:color w:val="auto"/>
                <w:sz w:val="22"/>
              </w:rPr>
              <w:t xml:space="preserve">Employ a specialist music teacher </w:t>
            </w:r>
            <w:r w:rsidR="00DC5607">
              <w:rPr>
                <w:rFonts w:asciiTheme="minorHAnsi" w:hAnsiTheme="minorHAnsi" w:cstheme="minorHAnsi"/>
                <w:iCs/>
                <w:color w:val="auto"/>
                <w:sz w:val="22"/>
              </w:rPr>
              <w:t xml:space="preserve">to </w:t>
            </w:r>
            <w:r w:rsidR="00DC5607" w:rsidRPr="00DC5607">
              <w:rPr>
                <w:rFonts w:asciiTheme="minorHAnsi" w:hAnsiTheme="minorHAnsi" w:cstheme="minorHAnsi"/>
                <w:iCs/>
                <w:color w:val="auto"/>
                <w:sz w:val="22"/>
              </w:rPr>
              <w:t>have a positive impact on academic outcomes in other areas of the curriculum</w:t>
            </w:r>
            <w:r w:rsidR="00EB376D">
              <w:rPr>
                <w:rFonts w:asciiTheme="minorHAnsi" w:hAnsiTheme="minorHAnsi" w:cstheme="minorHAnsi"/>
                <w:iCs/>
                <w:color w:val="auto"/>
                <w:sz w:val="22"/>
              </w:rPr>
              <w:t>.</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7156" w14:textId="77777777" w:rsidR="000927CF" w:rsidRDefault="00EB376D" w:rsidP="00EB376D">
            <w:pPr>
              <w:pStyle w:val="TableRowCentered"/>
              <w:spacing w:before="0" w:after="0"/>
              <w:ind w:left="0" w:right="0"/>
              <w:jc w:val="left"/>
              <w:rPr>
                <w:rFonts w:asciiTheme="minorHAnsi" w:hAnsiTheme="minorHAnsi" w:cstheme="minorHAnsi"/>
                <w:color w:val="auto"/>
                <w:sz w:val="22"/>
              </w:rPr>
            </w:pPr>
            <w:r w:rsidRPr="00EB376D">
              <w:rPr>
                <w:rFonts w:asciiTheme="minorHAnsi" w:hAnsiTheme="minorHAnsi" w:cstheme="minorHAnsi"/>
                <w:color w:val="auto"/>
                <w:sz w:val="22"/>
              </w:rPr>
              <w:t>E</w:t>
            </w:r>
            <w:r>
              <w:rPr>
                <w:rFonts w:asciiTheme="minorHAnsi" w:hAnsiTheme="minorHAnsi" w:cstheme="minorHAnsi"/>
                <w:color w:val="auto"/>
                <w:sz w:val="22"/>
              </w:rPr>
              <w:t>EF – Arts participation (+3)</w:t>
            </w:r>
          </w:p>
          <w:p w14:paraId="3FC73DBA" w14:textId="68BD0BBB" w:rsidR="00EB376D" w:rsidRDefault="00EB376D" w:rsidP="00EB376D">
            <w:pPr>
              <w:pStyle w:val="TableRowCentered"/>
              <w:spacing w:before="0" w:after="0"/>
              <w:ind w:left="0" w:right="0"/>
              <w:jc w:val="left"/>
              <w:rPr>
                <w:rFonts w:asciiTheme="minorHAnsi" w:hAnsiTheme="minorHAnsi" w:cstheme="minorHAnsi"/>
                <w:color w:val="auto"/>
                <w:sz w:val="22"/>
              </w:rPr>
            </w:pPr>
            <w:hyperlink r:id="rId13" w:history="1">
              <w:r w:rsidRPr="00C878DB">
                <w:rPr>
                  <w:rStyle w:val="Hyperlink"/>
                  <w:rFonts w:asciiTheme="minorHAnsi" w:hAnsiTheme="minorHAnsi" w:cstheme="minorHAnsi"/>
                  <w:sz w:val="22"/>
                </w:rPr>
                <w:t>https://educationendowmentfoundation.org.uk/education-evidence/teaching-learning-toolkit/arts-participation</w:t>
              </w:r>
            </w:hyperlink>
          </w:p>
          <w:p w14:paraId="4BD9ABD5" w14:textId="3DF6CA9A" w:rsidR="00EB376D" w:rsidRPr="007D777A" w:rsidRDefault="00EB376D" w:rsidP="00EB376D">
            <w:pPr>
              <w:pStyle w:val="TableRowCentered"/>
              <w:spacing w:before="0" w:after="0"/>
              <w:ind w:left="0" w:right="0"/>
              <w:jc w:val="left"/>
              <w:rPr>
                <w:rFonts w:asciiTheme="minorHAnsi" w:hAnsiTheme="minorHAnsi" w:cstheme="minorHAnsi"/>
                <w:color w:val="auto"/>
                <w:sz w:val="22"/>
                <w:highlight w:val="yellow"/>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EE68" w14:textId="7105081B" w:rsidR="000927CF" w:rsidRDefault="00E73C96" w:rsidP="00E73C96">
            <w:pPr>
              <w:pStyle w:val="TableRowCentered"/>
              <w:spacing w:before="0" w:after="0"/>
              <w:ind w:right="0"/>
              <w:jc w:val="left"/>
              <w:rPr>
                <w:rFonts w:asciiTheme="minorHAnsi" w:hAnsiTheme="minorHAnsi" w:cstheme="minorHAnsi"/>
                <w:color w:val="auto"/>
                <w:sz w:val="22"/>
              </w:rPr>
            </w:pPr>
            <w:r>
              <w:rPr>
                <w:rFonts w:asciiTheme="minorHAnsi" w:hAnsiTheme="minorHAnsi" w:cstheme="minorHAnsi"/>
                <w:color w:val="auto"/>
                <w:sz w:val="22"/>
              </w:rPr>
              <w:t>1,</w:t>
            </w:r>
            <w:r w:rsidR="00EB376D">
              <w:rPr>
                <w:rFonts w:asciiTheme="minorHAnsi" w:hAnsiTheme="minorHAnsi" w:cstheme="minorHAnsi"/>
                <w:color w:val="auto"/>
                <w:sz w:val="22"/>
              </w:rPr>
              <w:t>3,4</w:t>
            </w:r>
          </w:p>
        </w:tc>
      </w:tr>
    </w:tbl>
    <w:p w14:paraId="2A7D5522" w14:textId="77777777" w:rsidR="00E66558" w:rsidRPr="007D777A" w:rsidRDefault="00E66558" w:rsidP="008B1D6F">
      <w:pPr>
        <w:keepNext/>
        <w:spacing w:after="0" w:line="240" w:lineRule="auto"/>
        <w:outlineLvl w:val="1"/>
        <w:rPr>
          <w:rFonts w:asciiTheme="minorHAnsi" w:hAnsiTheme="minorHAnsi" w:cstheme="minorHAnsi"/>
          <w:color w:val="auto"/>
        </w:rPr>
      </w:pPr>
    </w:p>
    <w:p w14:paraId="2A7D5523" w14:textId="25C58343" w:rsidR="00E66558" w:rsidRPr="007D777A" w:rsidRDefault="009D71E8" w:rsidP="008B1D6F">
      <w:pPr>
        <w:spacing w:after="0" w:line="240" w:lineRule="auto"/>
        <w:rPr>
          <w:rFonts w:asciiTheme="minorHAnsi" w:hAnsiTheme="minorHAnsi" w:cstheme="minorHAnsi"/>
          <w:b/>
          <w:bCs/>
          <w:color w:val="auto"/>
          <w:sz w:val="28"/>
          <w:szCs w:val="28"/>
        </w:rPr>
      </w:pPr>
      <w:r w:rsidRPr="007D777A">
        <w:rPr>
          <w:rFonts w:asciiTheme="minorHAnsi" w:hAnsiTheme="minorHAnsi" w:cstheme="minorHAnsi"/>
          <w:b/>
          <w:bCs/>
          <w:color w:val="auto"/>
          <w:sz w:val="28"/>
          <w:szCs w:val="28"/>
        </w:rPr>
        <w:t xml:space="preserve">Targeted academic support (for example, </w:t>
      </w:r>
      <w:r w:rsidR="00D33FE5" w:rsidRPr="007D777A">
        <w:rPr>
          <w:rFonts w:asciiTheme="minorHAnsi" w:hAnsiTheme="minorHAnsi" w:cstheme="minorHAnsi"/>
          <w:b/>
          <w:bCs/>
          <w:color w:val="auto"/>
          <w:sz w:val="28"/>
          <w:szCs w:val="28"/>
        </w:rPr>
        <w:t xml:space="preserve">tutoring, one-to-one support </w:t>
      </w:r>
      <w:r w:rsidRPr="007D777A">
        <w:rPr>
          <w:rFonts w:asciiTheme="minorHAnsi" w:hAnsiTheme="minorHAnsi" w:cstheme="minorHAnsi"/>
          <w:b/>
          <w:bCs/>
          <w:color w:val="auto"/>
          <w:sz w:val="28"/>
          <w:szCs w:val="28"/>
        </w:rPr>
        <w:t xml:space="preserve">structured interventions) </w:t>
      </w:r>
    </w:p>
    <w:p w14:paraId="2A7D5524" w14:textId="6B882AA9" w:rsidR="00E66558" w:rsidRPr="008B1D6F" w:rsidRDefault="009D6DB8" w:rsidP="008B1D6F">
      <w:pPr>
        <w:spacing w:after="0" w:line="240" w:lineRule="auto"/>
        <w:rPr>
          <w:rFonts w:asciiTheme="minorHAnsi" w:hAnsiTheme="minorHAnsi" w:cstheme="minorHAnsi"/>
          <w:color w:val="auto"/>
        </w:rPr>
      </w:pPr>
      <w:r>
        <w:rPr>
          <w:rFonts w:asciiTheme="minorHAnsi" w:hAnsiTheme="minorHAnsi" w:cstheme="minorHAnsi"/>
          <w:color w:val="auto"/>
        </w:rPr>
        <w:t>Budgeted cost:</w:t>
      </w:r>
      <w:r w:rsidR="00EB3FE5" w:rsidRPr="008B1D6F">
        <w:rPr>
          <w:rFonts w:asciiTheme="minorHAnsi" w:hAnsiTheme="minorHAnsi" w:cstheme="minorHAnsi"/>
          <w:color w:val="auto"/>
        </w:rPr>
        <w:t xml:space="preserve"> </w:t>
      </w:r>
      <w:r w:rsidR="00A24FC2">
        <w:rPr>
          <w:rFonts w:asciiTheme="minorHAnsi" w:hAnsiTheme="minorHAnsi" w:cstheme="minorHAnsi"/>
          <w:color w:val="C00000"/>
        </w:rPr>
        <w:t xml:space="preserve"> </w:t>
      </w:r>
      <w:r w:rsidR="00033CE7" w:rsidRPr="00570588">
        <w:rPr>
          <w:rFonts w:asciiTheme="minorHAnsi" w:hAnsiTheme="minorHAnsi" w:cstheme="minorHAnsi"/>
          <w:color w:val="auto"/>
        </w:rPr>
        <w:t>£</w:t>
      </w:r>
      <w:r w:rsidR="004A6AE3" w:rsidRPr="00570588">
        <w:rPr>
          <w:rFonts w:asciiTheme="minorHAnsi" w:hAnsiTheme="minorHAnsi" w:cstheme="minorHAnsi"/>
          <w:color w:val="auto"/>
        </w:rPr>
        <w:t>13670</w:t>
      </w:r>
    </w:p>
    <w:tbl>
      <w:tblPr>
        <w:tblW w:w="5000" w:type="pct"/>
        <w:tblCellMar>
          <w:left w:w="10" w:type="dxa"/>
          <w:right w:w="10" w:type="dxa"/>
        </w:tblCellMar>
        <w:tblLook w:val="04A0" w:firstRow="1" w:lastRow="0" w:firstColumn="1" w:lastColumn="0" w:noHBand="0" w:noVBand="1"/>
      </w:tblPr>
      <w:tblGrid>
        <w:gridCol w:w="2013"/>
        <w:gridCol w:w="5668"/>
        <w:gridCol w:w="1805"/>
      </w:tblGrid>
      <w:tr w:rsidR="000F1037" w:rsidRPr="007D777A" w14:paraId="2A7D5528" w14:textId="77777777" w:rsidTr="007262E1">
        <w:tc>
          <w:tcPr>
            <w:tcW w:w="20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Evidence that supports this approach</w:t>
            </w:r>
          </w:p>
        </w:tc>
        <w:tc>
          <w:tcPr>
            <w:tcW w:w="18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Challenge number(s) addressed</w:t>
            </w:r>
          </w:p>
        </w:tc>
      </w:tr>
      <w:tr w:rsidR="00C82B7E" w:rsidRPr="007D777A" w14:paraId="58959F45" w14:textId="77777777" w:rsidTr="007262E1">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025E" w14:textId="4E47B093" w:rsidR="00C82B7E" w:rsidRPr="007D777A" w:rsidRDefault="0001487E">
            <w:pPr>
              <w:pStyle w:val="TableRow"/>
              <w:rPr>
                <w:rFonts w:asciiTheme="minorHAnsi" w:hAnsiTheme="minorHAnsi" w:cstheme="minorHAnsi"/>
                <w:iCs/>
                <w:color w:val="auto"/>
                <w:sz w:val="22"/>
                <w:szCs w:val="22"/>
              </w:rPr>
            </w:pPr>
            <w:r w:rsidRPr="0001487E">
              <w:rPr>
                <w:rFonts w:asciiTheme="minorHAnsi" w:hAnsiTheme="minorHAnsi" w:cstheme="minorHAnsi"/>
                <w:iCs/>
                <w:color w:val="auto"/>
                <w:sz w:val="22"/>
                <w:szCs w:val="22"/>
              </w:rPr>
              <w:t xml:space="preserve">Continue to provide Reading Plus as effective targeted support in reading comprehension </w:t>
            </w:r>
            <w:r>
              <w:rPr>
                <w:rFonts w:asciiTheme="minorHAnsi" w:hAnsiTheme="minorHAnsi" w:cstheme="minorHAnsi"/>
                <w:iCs/>
                <w:color w:val="auto"/>
                <w:sz w:val="22"/>
                <w:szCs w:val="22"/>
              </w:rPr>
              <w:t>Y2-</w:t>
            </w:r>
            <w:r w:rsidRPr="0001487E">
              <w:rPr>
                <w:rFonts w:asciiTheme="minorHAnsi" w:hAnsiTheme="minorHAnsi" w:cstheme="minorHAnsi"/>
                <w:iCs/>
                <w:color w:val="auto"/>
                <w:sz w:val="22"/>
                <w:szCs w:val="22"/>
              </w:rPr>
              <w:t xml:space="preserve"> KS2</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84C1" w14:textId="77777777" w:rsidR="0096762F" w:rsidRDefault="0096762F" w:rsidP="00FF4B84">
            <w:pPr>
              <w:pStyle w:val="TableRowCentered"/>
              <w:spacing w:before="0" w:after="0"/>
              <w:ind w:right="0"/>
              <w:jc w:val="left"/>
              <w:rPr>
                <w:rFonts w:asciiTheme="minorHAnsi" w:hAnsiTheme="minorHAnsi" w:cstheme="minorHAnsi"/>
                <w:iCs/>
                <w:color w:val="auto"/>
                <w:sz w:val="22"/>
                <w:szCs w:val="22"/>
              </w:rPr>
            </w:pPr>
            <w:r w:rsidRPr="0096762F">
              <w:rPr>
                <w:rFonts w:asciiTheme="minorHAnsi" w:hAnsiTheme="minorHAnsi" w:cstheme="minorHAnsi"/>
                <w:iCs/>
                <w:color w:val="auto"/>
                <w:sz w:val="22"/>
                <w:szCs w:val="22"/>
              </w:rPr>
              <w:t xml:space="preserve">Reading Comprehension strategies are highlighted by the EEF as having a significant positive impact on pupil attainment (+6 months). </w:t>
            </w:r>
          </w:p>
          <w:p w14:paraId="3C00D44C" w14:textId="77777777" w:rsidR="0096762F" w:rsidRDefault="0096762F" w:rsidP="00FF4B84">
            <w:pPr>
              <w:pStyle w:val="TableRowCentered"/>
              <w:spacing w:before="0" w:after="0"/>
              <w:ind w:right="0"/>
              <w:jc w:val="left"/>
              <w:rPr>
                <w:rFonts w:asciiTheme="minorHAnsi" w:hAnsiTheme="minorHAnsi" w:cstheme="minorHAnsi"/>
                <w:iCs/>
                <w:color w:val="auto"/>
                <w:sz w:val="22"/>
                <w:szCs w:val="22"/>
              </w:rPr>
            </w:pPr>
            <w:r w:rsidRPr="0096762F">
              <w:rPr>
                <w:rFonts w:asciiTheme="minorHAnsi" w:hAnsiTheme="minorHAnsi" w:cstheme="minorHAnsi"/>
                <w:iCs/>
                <w:color w:val="auto"/>
                <w:sz w:val="22"/>
                <w:szCs w:val="22"/>
              </w:rPr>
              <w:t xml:space="preserve">Using Reading Plus to deliver this intervention keeps costs low as school already has a significant number of iPads, on which the application can be used. It also allows whole classes the opportunity to access the intervention, rather than just groups. </w:t>
            </w:r>
          </w:p>
          <w:p w14:paraId="79797D07" w14:textId="7D3D8413" w:rsidR="00C82B7E" w:rsidRDefault="0096762F" w:rsidP="00FF4B84">
            <w:pPr>
              <w:pStyle w:val="TableRowCentered"/>
              <w:spacing w:before="0" w:after="0"/>
              <w:ind w:right="0"/>
              <w:jc w:val="left"/>
              <w:rPr>
                <w:rFonts w:asciiTheme="minorHAnsi" w:hAnsiTheme="minorHAnsi" w:cstheme="minorHAnsi"/>
                <w:color w:val="auto"/>
                <w:sz w:val="22"/>
              </w:rPr>
            </w:pPr>
            <w:r w:rsidRPr="0096762F">
              <w:rPr>
                <w:rFonts w:asciiTheme="minorHAnsi" w:hAnsiTheme="minorHAnsi" w:cstheme="minorHAnsi"/>
                <w:iCs/>
                <w:color w:val="auto"/>
                <w:sz w:val="22"/>
                <w:szCs w:val="22"/>
              </w:rPr>
              <w:t>Reading Plus also offer case studies to support the efficacy of their intervention here.</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E6E2D" w14:textId="27FEB272" w:rsidR="00C82B7E" w:rsidRDefault="00D17FBB">
            <w:pPr>
              <w:pStyle w:val="TableRowCentered"/>
              <w:jc w:val="left"/>
              <w:rPr>
                <w:rFonts w:asciiTheme="minorHAnsi" w:hAnsiTheme="minorHAnsi" w:cstheme="minorHAnsi"/>
                <w:color w:val="auto"/>
                <w:sz w:val="22"/>
              </w:rPr>
            </w:pPr>
            <w:r>
              <w:rPr>
                <w:rFonts w:asciiTheme="minorHAnsi" w:hAnsiTheme="minorHAnsi" w:cstheme="minorHAnsi"/>
                <w:color w:val="auto"/>
                <w:sz w:val="22"/>
              </w:rPr>
              <w:t>1</w:t>
            </w:r>
            <w:r w:rsidR="0096762F">
              <w:rPr>
                <w:rFonts w:asciiTheme="minorHAnsi" w:hAnsiTheme="minorHAnsi" w:cstheme="minorHAnsi"/>
                <w:color w:val="auto"/>
                <w:sz w:val="22"/>
              </w:rPr>
              <w:t>,2,3</w:t>
            </w:r>
          </w:p>
        </w:tc>
      </w:tr>
      <w:tr w:rsidR="000F1037" w:rsidRPr="007D777A" w14:paraId="7D83B6EC" w14:textId="77777777" w:rsidTr="007262E1">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CCEF" w14:textId="71B796D8" w:rsidR="00DD3E12" w:rsidRPr="007D777A" w:rsidRDefault="00A257C7" w:rsidP="00EB3FE5">
            <w:pPr>
              <w:pStyle w:val="TableRow"/>
              <w:rPr>
                <w:rFonts w:asciiTheme="minorHAnsi" w:hAnsiTheme="minorHAnsi" w:cstheme="minorHAnsi"/>
                <w:iCs/>
                <w:color w:val="auto"/>
                <w:sz w:val="22"/>
              </w:rPr>
            </w:pPr>
            <w:r w:rsidRPr="007D777A">
              <w:rPr>
                <w:rFonts w:asciiTheme="minorHAnsi" w:hAnsiTheme="minorHAnsi" w:cstheme="minorHAnsi"/>
                <w:iCs/>
                <w:color w:val="auto"/>
                <w:sz w:val="22"/>
              </w:rPr>
              <w:t>Targeted tuition in key areas</w:t>
            </w:r>
            <w:r w:rsidR="008B5209" w:rsidRPr="007D777A">
              <w:rPr>
                <w:rFonts w:asciiTheme="minorHAnsi" w:hAnsiTheme="minorHAnsi" w:cstheme="minorHAnsi"/>
                <w:iCs/>
                <w:color w:val="auto"/>
                <w:sz w:val="22"/>
              </w:rPr>
              <w:t xml:space="preserve"> for specific children/small groups</w:t>
            </w:r>
            <w:r w:rsidR="00EB3FE5" w:rsidRPr="007D777A">
              <w:rPr>
                <w:rFonts w:asciiTheme="minorHAnsi" w:hAnsiTheme="minorHAnsi" w:cstheme="minorHAnsi"/>
                <w:iCs/>
                <w:color w:val="auto"/>
                <w:sz w:val="22"/>
              </w:rPr>
              <w:t>. This includes after school tuition.</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F737" w14:textId="375EB90C" w:rsidR="00A35157" w:rsidRPr="007D777A" w:rsidRDefault="00A35157" w:rsidP="002B5CF6">
            <w:pPr>
              <w:pStyle w:val="TableRowCentered"/>
              <w:jc w:val="left"/>
              <w:rPr>
                <w:rFonts w:asciiTheme="minorHAnsi" w:hAnsiTheme="minorHAnsi" w:cstheme="minorHAnsi"/>
                <w:color w:val="auto"/>
                <w:sz w:val="22"/>
              </w:rPr>
            </w:pPr>
            <w:r w:rsidRPr="007D777A">
              <w:rPr>
                <w:rFonts w:asciiTheme="minorHAnsi" w:hAnsiTheme="minorHAnsi" w:cstheme="minorHAnsi"/>
                <w:color w:val="auto"/>
                <w:sz w:val="22"/>
              </w:rPr>
              <w:t>Endowment Foundation EEF</w:t>
            </w:r>
            <w:r w:rsidR="00FF4B84">
              <w:rPr>
                <w:rFonts w:asciiTheme="minorHAnsi" w:hAnsiTheme="minorHAnsi" w:cstheme="minorHAnsi"/>
                <w:color w:val="auto"/>
                <w:sz w:val="22"/>
              </w:rPr>
              <w:t xml:space="preserve"> (+5)</w:t>
            </w:r>
          </w:p>
          <w:p w14:paraId="1F036D34" w14:textId="0EA1430C" w:rsidR="00A257C7" w:rsidRDefault="00FF4B84" w:rsidP="002B5CF6">
            <w:pPr>
              <w:pStyle w:val="TableRowCentered"/>
              <w:jc w:val="left"/>
              <w:rPr>
                <w:rFonts w:asciiTheme="minorHAnsi" w:hAnsiTheme="minorHAnsi" w:cstheme="minorHAnsi"/>
                <w:color w:val="auto"/>
                <w:sz w:val="22"/>
              </w:rPr>
            </w:pPr>
            <w:hyperlink r:id="rId14" w:history="1">
              <w:r w:rsidRPr="00C878DB">
                <w:rPr>
                  <w:rStyle w:val="Hyperlink"/>
                  <w:rFonts w:asciiTheme="minorHAnsi" w:hAnsiTheme="minorHAnsi" w:cstheme="minorHAnsi"/>
                  <w:sz w:val="22"/>
                </w:rPr>
                <w:t>https://educationendowmentfoundation.org.uk/education-evidence/teaching-learning-toolkit/one-to-one-tuition</w:t>
              </w:r>
            </w:hyperlink>
          </w:p>
          <w:p w14:paraId="650BE455" w14:textId="019728C3" w:rsidR="00FF4B84" w:rsidRPr="007D777A" w:rsidRDefault="00FF4B84" w:rsidP="002B5CF6">
            <w:pPr>
              <w:pStyle w:val="TableRowCentered"/>
              <w:jc w:val="left"/>
              <w:rPr>
                <w:rFonts w:asciiTheme="minorHAnsi" w:hAnsiTheme="minorHAnsi" w:cstheme="minorHAnsi"/>
                <w:color w:val="auto"/>
                <w:sz w:val="22"/>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3864B" w14:textId="30BC2C1D" w:rsidR="00A257C7" w:rsidRPr="007D777A" w:rsidRDefault="00E73C96">
            <w:pPr>
              <w:pStyle w:val="TableRowCentered"/>
              <w:jc w:val="left"/>
              <w:rPr>
                <w:rFonts w:asciiTheme="minorHAnsi" w:hAnsiTheme="minorHAnsi" w:cstheme="minorHAnsi"/>
                <w:color w:val="auto"/>
                <w:sz w:val="22"/>
              </w:rPr>
            </w:pPr>
            <w:r>
              <w:rPr>
                <w:rFonts w:asciiTheme="minorHAnsi" w:hAnsiTheme="minorHAnsi" w:cstheme="minorHAnsi"/>
                <w:color w:val="auto"/>
                <w:sz w:val="22"/>
              </w:rPr>
              <w:t>1,3,</w:t>
            </w:r>
            <w:r w:rsidR="00A35157" w:rsidRPr="007D777A">
              <w:rPr>
                <w:rFonts w:asciiTheme="minorHAnsi" w:hAnsiTheme="minorHAnsi" w:cstheme="minorHAnsi"/>
                <w:color w:val="auto"/>
                <w:sz w:val="22"/>
              </w:rPr>
              <w:t>4</w:t>
            </w:r>
          </w:p>
        </w:tc>
      </w:tr>
      <w:tr w:rsidR="001146A9" w:rsidRPr="007D777A" w14:paraId="05676084" w14:textId="77777777" w:rsidTr="007262E1">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6ADB" w14:textId="5A27E654" w:rsidR="001146A9" w:rsidRPr="007D777A" w:rsidRDefault="00E64A29" w:rsidP="00EB3FE5">
            <w:pPr>
              <w:pStyle w:val="TableRow"/>
              <w:rPr>
                <w:rFonts w:asciiTheme="minorHAnsi" w:hAnsiTheme="minorHAnsi" w:cstheme="minorHAnsi"/>
                <w:iCs/>
                <w:color w:val="auto"/>
                <w:sz w:val="22"/>
              </w:rPr>
            </w:pPr>
            <w:r w:rsidRPr="00E64A29">
              <w:rPr>
                <w:rFonts w:asciiTheme="minorHAnsi" w:hAnsiTheme="minorHAnsi" w:cstheme="minorHAnsi"/>
                <w:iCs/>
                <w:color w:val="auto"/>
                <w:sz w:val="22"/>
              </w:rPr>
              <w:t>Continue to provide access to Times Tables Rockstars and Numbots for all children in school. Encourage children to use these platforms</w:t>
            </w:r>
            <w:r w:rsidR="001E5CC3">
              <w:rPr>
                <w:rFonts w:asciiTheme="minorHAnsi" w:hAnsiTheme="minorHAnsi" w:cstheme="minorHAnsi"/>
                <w:iCs/>
                <w:color w:val="auto"/>
                <w:sz w:val="22"/>
              </w:rPr>
              <w:t xml:space="preserve"> and others</w:t>
            </w:r>
            <w:r w:rsidRPr="00E64A29">
              <w:rPr>
                <w:rFonts w:asciiTheme="minorHAnsi" w:hAnsiTheme="minorHAnsi" w:cstheme="minorHAnsi"/>
                <w:iCs/>
                <w:color w:val="auto"/>
                <w:sz w:val="22"/>
              </w:rPr>
              <w:t xml:space="preserve"> at home as they can be accessed independently.</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2B12" w14:textId="77777777" w:rsidR="001146A9" w:rsidRDefault="00E64A29" w:rsidP="002B5CF6">
            <w:pPr>
              <w:pStyle w:val="TableRowCentered"/>
              <w:jc w:val="left"/>
              <w:rPr>
                <w:rFonts w:asciiTheme="minorHAnsi" w:hAnsiTheme="minorHAnsi" w:cstheme="minorHAnsi"/>
                <w:color w:val="auto"/>
                <w:sz w:val="22"/>
              </w:rPr>
            </w:pPr>
            <w:r w:rsidRPr="00E64A29">
              <w:rPr>
                <w:rFonts w:asciiTheme="minorHAnsi" w:hAnsiTheme="minorHAnsi" w:cstheme="minorHAnsi"/>
                <w:color w:val="auto"/>
                <w:sz w:val="22"/>
              </w:rPr>
              <w:t>Homework is highlighted by the EEF as having a significant positive impact on pupil attainment (+5 months). Two of the EEF key findings are, “Homework that is linked to classroom work tends to be more effective.” and “It is important to make the purpose of homework clear to pupils (e.g. to increase a specific area of knowledge, or to develop fluency in a particular area).” To this end, Numbots and TT Rockstars are effective programmes to use for Homework as they are very cheap and provide very specific practice around number facts. It also provides specific feedback for children automatically.</w:t>
            </w:r>
            <w:r w:rsidR="001E5CC3">
              <w:rPr>
                <w:rFonts w:asciiTheme="minorHAnsi" w:hAnsiTheme="minorHAnsi" w:cstheme="minorHAnsi"/>
                <w:color w:val="auto"/>
                <w:sz w:val="22"/>
              </w:rPr>
              <w:t xml:space="preserve"> Access to old ipads to complete reading plus at home</w:t>
            </w:r>
            <w:r w:rsidR="004839B4">
              <w:rPr>
                <w:rFonts w:asciiTheme="minorHAnsi" w:hAnsiTheme="minorHAnsi" w:cstheme="minorHAnsi"/>
                <w:color w:val="auto"/>
                <w:sz w:val="22"/>
              </w:rPr>
              <w:t>.</w:t>
            </w:r>
          </w:p>
          <w:p w14:paraId="5B1C369D" w14:textId="5416F217" w:rsidR="004839B4" w:rsidRPr="007D777A" w:rsidRDefault="004839B4" w:rsidP="002B5CF6">
            <w:pPr>
              <w:pStyle w:val="TableRowCentered"/>
              <w:jc w:val="left"/>
              <w:rPr>
                <w:rFonts w:asciiTheme="minorHAnsi" w:hAnsiTheme="minorHAnsi" w:cstheme="minorHAnsi"/>
                <w:color w:val="auto"/>
                <w:sz w:val="22"/>
              </w:rPr>
            </w:pPr>
            <w:r>
              <w:rPr>
                <w:rFonts w:asciiTheme="minorHAnsi" w:hAnsiTheme="minorHAnsi" w:cstheme="minorHAnsi"/>
                <w:color w:val="auto"/>
                <w:sz w:val="22"/>
              </w:rPr>
              <w:t xml:space="preserve">Maths infinity has now been introduced so staff can set online homework for maths linked to </w:t>
            </w:r>
            <w:r w:rsidR="000B46C9">
              <w:rPr>
                <w:rFonts w:asciiTheme="minorHAnsi" w:hAnsiTheme="minorHAnsi" w:cstheme="minorHAnsi"/>
                <w:color w:val="auto"/>
                <w:sz w:val="22"/>
              </w:rPr>
              <w:t xml:space="preserve">that </w:t>
            </w:r>
            <w:proofErr w:type="gramStart"/>
            <w:r w:rsidR="000B46C9">
              <w:rPr>
                <w:rFonts w:asciiTheme="minorHAnsi" w:hAnsiTheme="minorHAnsi" w:cstheme="minorHAnsi"/>
                <w:color w:val="auto"/>
                <w:sz w:val="22"/>
              </w:rPr>
              <w:t>weeks</w:t>
            </w:r>
            <w:proofErr w:type="gramEnd"/>
            <w:r w:rsidR="000B46C9">
              <w:rPr>
                <w:rFonts w:asciiTheme="minorHAnsi" w:hAnsiTheme="minorHAnsi" w:cstheme="minorHAnsi"/>
                <w:color w:val="auto"/>
                <w:sz w:val="22"/>
              </w:rPr>
              <w:t xml:space="preserve"> work.</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03D1" w14:textId="0E63CB1E" w:rsidR="001146A9" w:rsidRDefault="00E64A29">
            <w:pPr>
              <w:pStyle w:val="TableRowCentered"/>
              <w:jc w:val="left"/>
              <w:rPr>
                <w:rFonts w:asciiTheme="minorHAnsi" w:hAnsiTheme="minorHAnsi" w:cstheme="minorHAnsi"/>
                <w:color w:val="auto"/>
                <w:sz w:val="22"/>
              </w:rPr>
            </w:pPr>
            <w:r>
              <w:rPr>
                <w:rFonts w:asciiTheme="minorHAnsi" w:hAnsiTheme="minorHAnsi" w:cstheme="minorHAnsi"/>
                <w:color w:val="auto"/>
                <w:sz w:val="22"/>
              </w:rPr>
              <w:t>1,2,7</w:t>
            </w:r>
          </w:p>
        </w:tc>
      </w:tr>
      <w:tr w:rsidR="00E001CE" w:rsidRPr="007D777A" w14:paraId="5F02A87E" w14:textId="77777777" w:rsidTr="007262E1">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33D58" w14:textId="68E9CA00" w:rsidR="00E001CE" w:rsidRPr="00E64A29" w:rsidRDefault="00E001CE" w:rsidP="00EB3FE5">
            <w:pPr>
              <w:pStyle w:val="TableRow"/>
              <w:rPr>
                <w:rFonts w:asciiTheme="minorHAnsi" w:hAnsiTheme="minorHAnsi" w:cstheme="minorHAnsi"/>
                <w:iCs/>
                <w:color w:val="auto"/>
                <w:sz w:val="22"/>
              </w:rPr>
            </w:pPr>
            <w:r w:rsidRPr="00E001CE">
              <w:rPr>
                <w:rFonts w:asciiTheme="minorHAnsi" w:hAnsiTheme="minorHAnsi" w:cstheme="minorHAnsi"/>
                <w:iCs/>
                <w:color w:val="auto"/>
                <w:sz w:val="22"/>
              </w:rPr>
              <w:t>Provide a further 0.</w:t>
            </w:r>
            <w:r>
              <w:rPr>
                <w:rFonts w:asciiTheme="minorHAnsi" w:hAnsiTheme="minorHAnsi" w:cstheme="minorHAnsi"/>
                <w:iCs/>
                <w:color w:val="auto"/>
                <w:sz w:val="22"/>
              </w:rPr>
              <w:t>2</w:t>
            </w:r>
            <w:r w:rsidRPr="00E001CE">
              <w:rPr>
                <w:rFonts w:asciiTheme="minorHAnsi" w:hAnsiTheme="minorHAnsi" w:cstheme="minorHAnsi"/>
                <w:iCs/>
                <w:color w:val="auto"/>
                <w:sz w:val="22"/>
              </w:rPr>
              <w:t xml:space="preserve"> FTE release time for the SENDCo to support staff with meeting the needs of SEND children and to ensure children receive the support they require (e.g. outside agency referrals, EHCP applications).</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CCF41" w14:textId="77777777" w:rsidR="001E4A61" w:rsidRDefault="001E4A61" w:rsidP="002B5CF6">
            <w:pPr>
              <w:pStyle w:val="TableRowCentered"/>
              <w:jc w:val="left"/>
              <w:rPr>
                <w:rFonts w:asciiTheme="minorHAnsi" w:hAnsiTheme="minorHAnsi" w:cstheme="minorHAnsi"/>
                <w:color w:val="auto"/>
                <w:sz w:val="22"/>
              </w:rPr>
            </w:pPr>
            <w:r w:rsidRPr="001E4A61">
              <w:rPr>
                <w:rFonts w:asciiTheme="minorHAnsi" w:hAnsiTheme="minorHAnsi" w:cstheme="minorHAnsi"/>
                <w:color w:val="auto"/>
                <w:sz w:val="22"/>
              </w:rPr>
              <w:t xml:space="preserve">The EEF’s SEND evidence review (EEF, 2020), available here, makes a wide-ranging number of recommendations to improve provision for children with SEND. </w:t>
            </w:r>
          </w:p>
          <w:p w14:paraId="7F852D42" w14:textId="6E615312" w:rsidR="00E001CE" w:rsidRPr="00E64A29" w:rsidRDefault="001E4A61" w:rsidP="002B5CF6">
            <w:pPr>
              <w:pStyle w:val="TableRowCentered"/>
              <w:jc w:val="left"/>
              <w:rPr>
                <w:rFonts w:asciiTheme="minorHAnsi" w:hAnsiTheme="minorHAnsi" w:cstheme="minorHAnsi"/>
                <w:color w:val="auto"/>
                <w:sz w:val="22"/>
              </w:rPr>
            </w:pPr>
            <w:proofErr w:type="gramStart"/>
            <w:r w:rsidRPr="001E4A61">
              <w:rPr>
                <w:rFonts w:asciiTheme="minorHAnsi" w:hAnsiTheme="minorHAnsi" w:cstheme="minorHAnsi"/>
                <w:color w:val="auto"/>
                <w:sz w:val="22"/>
              </w:rPr>
              <w:t>In order to</w:t>
            </w:r>
            <w:proofErr w:type="gramEnd"/>
            <w:r w:rsidRPr="001E4A61">
              <w:rPr>
                <w:rFonts w:asciiTheme="minorHAnsi" w:hAnsiTheme="minorHAnsi" w:cstheme="minorHAnsi"/>
                <w:color w:val="auto"/>
                <w:sz w:val="22"/>
              </w:rPr>
              <w:t xml:space="preserve"> put these recommendations in place, particularly around multi-agency working, the experienced SENDCo in school needs release time from the classroom.</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4A71" w14:textId="15F15260" w:rsidR="00E001CE" w:rsidRDefault="001E4A61">
            <w:pPr>
              <w:pStyle w:val="TableRowCentered"/>
              <w:jc w:val="left"/>
              <w:rPr>
                <w:rFonts w:asciiTheme="minorHAnsi" w:hAnsiTheme="minorHAnsi" w:cstheme="minorHAnsi"/>
                <w:color w:val="auto"/>
                <w:sz w:val="22"/>
              </w:rPr>
            </w:pPr>
            <w:r>
              <w:rPr>
                <w:rFonts w:asciiTheme="minorHAnsi" w:hAnsiTheme="minorHAnsi" w:cstheme="minorHAnsi"/>
                <w:color w:val="auto"/>
                <w:sz w:val="22"/>
              </w:rPr>
              <w:t>1,4,6</w:t>
            </w:r>
          </w:p>
        </w:tc>
      </w:tr>
    </w:tbl>
    <w:p w14:paraId="2A7D5531" w14:textId="77777777" w:rsidR="00E66558" w:rsidRPr="007D777A" w:rsidRDefault="00E66558">
      <w:pPr>
        <w:spacing w:after="0"/>
        <w:rPr>
          <w:rFonts w:asciiTheme="minorHAnsi" w:hAnsiTheme="minorHAnsi" w:cstheme="minorHAnsi"/>
          <w:b/>
          <w:color w:val="auto"/>
          <w:sz w:val="28"/>
          <w:szCs w:val="28"/>
        </w:rPr>
      </w:pPr>
    </w:p>
    <w:p w14:paraId="2A7D5532" w14:textId="59A68BC3" w:rsidR="00E66558" w:rsidRPr="007D777A" w:rsidRDefault="009D71E8">
      <w:pPr>
        <w:rPr>
          <w:rFonts w:asciiTheme="minorHAnsi" w:hAnsiTheme="minorHAnsi" w:cstheme="minorHAnsi"/>
          <w:b/>
          <w:color w:val="auto"/>
          <w:sz w:val="28"/>
          <w:szCs w:val="28"/>
        </w:rPr>
      </w:pPr>
      <w:r w:rsidRPr="007D777A">
        <w:rPr>
          <w:rFonts w:asciiTheme="minorHAnsi" w:hAnsiTheme="minorHAnsi" w:cstheme="minorHAnsi"/>
          <w:b/>
          <w:color w:val="auto"/>
          <w:sz w:val="28"/>
          <w:szCs w:val="28"/>
        </w:rPr>
        <w:t>Wider strategies (for example, related to attendance, behaviour, wellbeing)</w:t>
      </w:r>
    </w:p>
    <w:p w14:paraId="2A7D5533" w14:textId="6D9895D9" w:rsidR="00E66558" w:rsidRPr="007D777A" w:rsidRDefault="009D71E8">
      <w:pPr>
        <w:spacing w:before="240" w:after="120"/>
        <w:rPr>
          <w:rFonts w:asciiTheme="minorHAnsi" w:hAnsiTheme="minorHAnsi" w:cstheme="minorHAnsi"/>
          <w:color w:val="auto"/>
        </w:rPr>
      </w:pPr>
      <w:r w:rsidRPr="007D777A">
        <w:rPr>
          <w:rFonts w:asciiTheme="minorHAnsi" w:hAnsiTheme="minorHAnsi" w:cstheme="minorHAnsi"/>
          <w:color w:val="auto"/>
        </w:rPr>
        <w:t xml:space="preserve">Budgeted cost: </w:t>
      </w:r>
      <w:r w:rsidRPr="00B11BB8">
        <w:rPr>
          <w:rFonts w:asciiTheme="minorHAnsi" w:hAnsiTheme="minorHAnsi" w:cstheme="minorHAnsi"/>
          <w:color w:val="auto"/>
        </w:rPr>
        <w:t>£</w:t>
      </w:r>
      <w:r w:rsidR="00842402">
        <w:rPr>
          <w:rFonts w:asciiTheme="minorHAnsi" w:hAnsiTheme="minorHAnsi" w:cstheme="minorHAnsi"/>
          <w:color w:val="auto"/>
        </w:rPr>
        <w:t>10,800</w:t>
      </w:r>
    </w:p>
    <w:tbl>
      <w:tblPr>
        <w:tblW w:w="5000" w:type="pct"/>
        <w:tblCellMar>
          <w:left w:w="10" w:type="dxa"/>
          <w:right w:w="10" w:type="dxa"/>
        </w:tblCellMar>
        <w:tblLook w:val="04A0" w:firstRow="1" w:lastRow="0" w:firstColumn="1" w:lastColumn="0" w:noHBand="0" w:noVBand="1"/>
      </w:tblPr>
      <w:tblGrid>
        <w:gridCol w:w="2062"/>
        <w:gridCol w:w="5668"/>
        <w:gridCol w:w="1756"/>
      </w:tblGrid>
      <w:tr w:rsidR="000F1037" w:rsidRPr="007D777A" w14:paraId="2A7D5537" w14:textId="77777777" w:rsidTr="000353B9">
        <w:tc>
          <w:tcPr>
            <w:tcW w:w="20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Evidence that supports this approach</w:t>
            </w:r>
          </w:p>
        </w:tc>
        <w:tc>
          <w:tcPr>
            <w:tcW w:w="17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D777A" w:rsidRDefault="009D71E8">
            <w:pPr>
              <w:pStyle w:val="TableHeader"/>
              <w:jc w:val="left"/>
              <w:rPr>
                <w:rFonts w:asciiTheme="minorHAnsi" w:hAnsiTheme="minorHAnsi" w:cstheme="minorHAnsi"/>
                <w:color w:val="auto"/>
              </w:rPr>
            </w:pPr>
            <w:r w:rsidRPr="007D777A">
              <w:rPr>
                <w:rFonts w:asciiTheme="minorHAnsi" w:hAnsiTheme="minorHAnsi" w:cstheme="minorHAnsi"/>
                <w:color w:val="auto"/>
              </w:rPr>
              <w:t>Challenge number(s) addressed</w:t>
            </w:r>
          </w:p>
        </w:tc>
      </w:tr>
      <w:tr w:rsidR="000F1037" w:rsidRPr="007D777A" w14:paraId="2A7D553F" w14:textId="77777777" w:rsidTr="000353B9">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37B18EE" w:rsidR="00E66558" w:rsidRPr="007D777A" w:rsidRDefault="00DD3E12">
            <w:pPr>
              <w:pStyle w:val="TableRow"/>
              <w:rPr>
                <w:rFonts w:asciiTheme="minorHAnsi" w:hAnsiTheme="minorHAnsi" w:cstheme="minorHAnsi"/>
                <w:iCs/>
                <w:color w:val="auto"/>
                <w:sz w:val="22"/>
              </w:rPr>
            </w:pPr>
            <w:r w:rsidRPr="007D777A">
              <w:rPr>
                <w:rFonts w:asciiTheme="minorHAnsi" w:hAnsiTheme="minorHAnsi" w:cstheme="minorHAnsi"/>
                <w:iCs/>
                <w:color w:val="auto"/>
                <w:sz w:val="22"/>
              </w:rPr>
              <w:t xml:space="preserve">Ensuring quality </w:t>
            </w:r>
            <w:r w:rsidR="00E70ADE" w:rsidRPr="007D777A">
              <w:rPr>
                <w:rFonts w:asciiTheme="minorHAnsi" w:hAnsiTheme="minorHAnsi" w:cstheme="minorHAnsi"/>
                <w:iCs/>
                <w:color w:val="auto"/>
                <w:sz w:val="22"/>
              </w:rPr>
              <w:t>support for children with SEMH</w:t>
            </w:r>
            <w:r w:rsidR="00D322B4">
              <w:rPr>
                <w:rFonts w:asciiTheme="minorHAnsi" w:hAnsiTheme="minorHAnsi" w:cstheme="minorHAnsi"/>
                <w:iCs/>
                <w:color w:val="auto"/>
                <w:sz w:val="22"/>
              </w:rPr>
              <w:t xml:space="preserve"> and behaviour</w:t>
            </w:r>
            <w:r w:rsidR="00E70ADE" w:rsidRPr="007D777A">
              <w:rPr>
                <w:rFonts w:asciiTheme="minorHAnsi" w:hAnsiTheme="minorHAnsi" w:cstheme="minorHAnsi"/>
                <w:iCs/>
                <w:color w:val="auto"/>
                <w:sz w:val="22"/>
              </w:rPr>
              <w:t xml:space="preserve"> through targeted TA support</w:t>
            </w:r>
            <w:r w:rsidR="00800ADF">
              <w:rPr>
                <w:rFonts w:asciiTheme="minorHAnsi" w:hAnsiTheme="minorHAnsi" w:cstheme="minorHAnsi"/>
                <w:iCs/>
                <w:color w:val="auto"/>
                <w:sz w:val="22"/>
              </w:rPr>
              <w:t xml:space="preserve"> and interventions</w:t>
            </w:r>
            <w:r w:rsidR="00E70ADE" w:rsidRPr="007D777A">
              <w:rPr>
                <w:rFonts w:asciiTheme="minorHAnsi" w:hAnsiTheme="minorHAnsi" w:cstheme="minorHAnsi"/>
                <w:iCs/>
                <w:color w:val="auto"/>
                <w:sz w:val="22"/>
              </w:rPr>
              <w:t xml:space="preserve"> across all key stages</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AC51" w14:textId="2B690539" w:rsidR="00B70B76" w:rsidRPr="007D777A" w:rsidRDefault="001D7797" w:rsidP="00B70B76">
            <w:pPr>
              <w:pStyle w:val="TableRowCentered"/>
              <w:jc w:val="left"/>
              <w:rPr>
                <w:rFonts w:asciiTheme="minorHAnsi" w:hAnsiTheme="minorHAnsi" w:cstheme="minorHAnsi"/>
                <w:color w:val="auto"/>
                <w:sz w:val="22"/>
              </w:rPr>
            </w:pPr>
            <w:r>
              <w:rPr>
                <w:rFonts w:asciiTheme="minorHAnsi" w:hAnsiTheme="minorHAnsi" w:cstheme="minorHAnsi"/>
                <w:color w:val="auto"/>
                <w:sz w:val="22"/>
              </w:rPr>
              <w:t>EEF – Behaviour (+4)</w:t>
            </w:r>
          </w:p>
          <w:p w14:paraId="4EDED704" w14:textId="2E1A92E8" w:rsidR="00E66558" w:rsidRDefault="001D7797">
            <w:pPr>
              <w:pStyle w:val="TableRowCentered"/>
              <w:jc w:val="left"/>
              <w:rPr>
                <w:rFonts w:asciiTheme="minorHAnsi" w:hAnsiTheme="minorHAnsi" w:cstheme="minorHAnsi"/>
                <w:color w:val="auto"/>
                <w:sz w:val="22"/>
              </w:rPr>
            </w:pPr>
            <w:hyperlink r:id="rId15" w:history="1">
              <w:r w:rsidRPr="00C878DB">
                <w:rPr>
                  <w:rStyle w:val="Hyperlink"/>
                  <w:rFonts w:asciiTheme="minorHAnsi" w:hAnsiTheme="minorHAnsi" w:cstheme="minorHAnsi"/>
                  <w:sz w:val="22"/>
                </w:rPr>
                <w:t>https://educationendowmentfoundation.org.uk/education-evidence/teaching-learning-toolkit/behaviour-interventions</w:t>
              </w:r>
            </w:hyperlink>
          </w:p>
          <w:p w14:paraId="2A7D553D" w14:textId="15789AFF" w:rsidR="001D7797" w:rsidRPr="007D777A" w:rsidRDefault="001D7797">
            <w:pPr>
              <w:pStyle w:val="TableRowCentered"/>
              <w:jc w:val="left"/>
              <w:rPr>
                <w:rFonts w:asciiTheme="minorHAnsi" w:hAnsiTheme="minorHAnsi" w:cstheme="minorHAnsi"/>
                <w:color w:val="auto"/>
                <w:sz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C82A3D9" w:rsidR="00E66558" w:rsidRPr="007D777A" w:rsidRDefault="00816BB2">
            <w:pPr>
              <w:pStyle w:val="TableRowCentered"/>
              <w:jc w:val="left"/>
              <w:rPr>
                <w:rFonts w:asciiTheme="minorHAnsi" w:hAnsiTheme="minorHAnsi" w:cstheme="minorHAnsi"/>
                <w:color w:val="auto"/>
                <w:sz w:val="22"/>
              </w:rPr>
            </w:pPr>
            <w:r w:rsidRPr="007D777A">
              <w:rPr>
                <w:rFonts w:asciiTheme="minorHAnsi" w:hAnsiTheme="minorHAnsi" w:cstheme="minorHAnsi"/>
                <w:color w:val="auto"/>
                <w:sz w:val="22"/>
              </w:rPr>
              <w:t>1,2,3,4,</w:t>
            </w:r>
          </w:p>
        </w:tc>
      </w:tr>
      <w:tr w:rsidR="00FF6BD1" w:rsidRPr="007D777A" w14:paraId="43B68468" w14:textId="77777777" w:rsidTr="000353B9">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CB76" w14:textId="763EBD6F" w:rsidR="00FF6BD1" w:rsidRPr="007D777A" w:rsidRDefault="009A2DCF">
            <w:pPr>
              <w:pStyle w:val="TableRow"/>
              <w:rPr>
                <w:rFonts w:asciiTheme="minorHAnsi" w:hAnsiTheme="minorHAnsi" w:cstheme="minorHAnsi"/>
                <w:iCs/>
                <w:color w:val="auto"/>
                <w:sz w:val="22"/>
              </w:rPr>
            </w:pPr>
            <w:r>
              <w:rPr>
                <w:rFonts w:asciiTheme="minorHAnsi" w:hAnsiTheme="minorHAnsi" w:cstheme="minorHAnsi"/>
                <w:iCs/>
                <w:color w:val="auto"/>
                <w:sz w:val="22"/>
              </w:rPr>
              <w:t>Theatre visits</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F5AA" w14:textId="763E7C74" w:rsidR="00FF6BD1" w:rsidRDefault="009A2DCF">
            <w:pPr>
              <w:pStyle w:val="TableRowCentered"/>
              <w:jc w:val="left"/>
              <w:rPr>
                <w:rFonts w:asciiTheme="minorHAnsi" w:hAnsiTheme="minorHAnsi" w:cstheme="minorHAnsi"/>
                <w:color w:val="auto"/>
                <w:sz w:val="22"/>
              </w:rPr>
            </w:pPr>
            <w:r>
              <w:rPr>
                <w:rFonts w:asciiTheme="minorHAnsi" w:hAnsiTheme="minorHAnsi" w:cstheme="minorHAnsi"/>
                <w:color w:val="auto"/>
                <w:sz w:val="22"/>
              </w:rPr>
              <w:t>EEF – Arts participation (+3)</w:t>
            </w:r>
          </w:p>
          <w:p w14:paraId="0CFFBAF6" w14:textId="0C6305A4" w:rsidR="009A2DCF" w:rsidRDefault="009A2DCF">
            <w:pPr>
              <w:pStyle w:val="TableRowCentered"/>
              <w:jc w:val="left"/>
              <w:rPr>
                <w:rFonts w:asciiTheme="minorHAnsi" w:hAnsiTheme="minorHAnsi" w:cstheme="minorHAnsi"/>
                <w:color w:val="auto"/>
                <w:sz w:val="22"/>
              </w:rPr>
            </w:pPr>
            <w:hyperlink r:id="rId16" w:history="1">
              <w:r w:rsidRPr="00221C7F">
                <w:rPr>
                  <w:rStyle w:val="Hyperlink"/>
                  <w:rFonts w:asciiTheme="minorHAnsi" w:hAnsiTheme="minorHAnsi" w:cstheme="minorHAnsi"/>
                  <w:sz w:val="22"/>
                </w:rPr>
                <w:t>https://educationendowmentfoundation.org.uk/education-evidence/teaching-learning-toolkit/arts-participation</w:t>
              </w:r>
            </w:hyperlink>
          </w:p>
          <w:p w14:paraId="307925D7" w14:textId="7534FDF6" w:rsidR="009A2DCF" w:rsidRPr="007D777A" w:rsidRDefault="009A2DCF">
            <w:pPr>
              <w:pStyle w:val="TableRowCentered"/>
              <w:jc w:val="left"/>
              <w:rPr>
                <w:rFonts w:asciiTheme="minorHAnsi" w:hAnsiTheme="minorHAnsi" w:cstheme="minorHAnsi"/>
                <w:color w:val="auto"/>
                <w:sz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76E2" w14:textId="79EA862F" w:rsidR="00FF6BD1" w:rsidRPr="007D777A" w:rsidRDefault="00F53140">
            <w:pPr>
              <w:pStyle w:val="TableRowCentered"/>
              <w:jc w:val="left"/>
              <w:rPr>
                <w:rFonts w:asciiTheme="minorHAnsi" w:hAnsiTheme="minorHAnsi" w:cstheme="minorHAnsi"/>
                <w:color w:val="auto"/>
                <w:sz w:val="22"/>
              </w:rPr>
            </w:pPr>
            <w:r>
              <w:rPr>
                <w:rFonts w:asciiTheme="minorHAnsi" w:hAnsiTheme="minorHAnsi" w:cstheme="minorHAnsi"/>
                <w:color w:val="auto"/>
                <w:sz w:val="22"/>
              </w:rPr>
              <w:t>3</w:t>
            </w:r>
          </w:p>
        </w:tc>
      </w:tr>
      <w:tr w:rsidR="004C78EE" w:rsidRPr="007D777A" w14:paraId="685D5ED5" w14:textId="77777777" w:rsidTr="000353B9">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955D" w14:textId="1AAD392F" w:rsidR="004C78EE" w:rsidRDefault="0048585B">
            <w:pPr>
              <w:pStyle w:val="TableRow"/>
              <w:rPr>
                <w:rFonts w:asciiTheme="minorHAnsi" w:hAnsiTheme="minorHAnsi" w:cstheme="minorHAnsi"/>
                <w:iCs/>
                <w:color w:val="auto"/>
                <w:sz w:val="22"/>
              </w:rPr>
            </w:pPr>
            <w:r>
              <w:rPr>
                <w:rFonts w:asciiTheme="minorHAnsi" w:hAnsiTheme="minorHAnsi" w:cstheme="minorHAnsi"/>
                <w:iCs/>
                <w:color w:val="auto"/>
                <w:sz w:val="22"/>
              </w:rPr>
              <w:t xml:space="preserve">Wide range of extra curricular activities </w:t>
            </w:r>
            <w:r w:rsidR="006767F8">
              <w:rPr>
                <w:rFonts w:asciiTheme="minorHAnsi" w:hAnsiTheme="minorHAnsi" w:cstheme="minorHAnsi"/>
                <w:iCs/>
                <w:color w:val="auto"/>
                <w:sz w:val="22"/>
              </w:rPr>
              <w:t>– free of charge</w:t>
            </w:r>
            <w:r w:rsidR="004C78EE">
              <w:rPr>
                <w:rFonts w:asciiTheme="minorHAnsi" w:hAnsiTheme="minorHAnsi" w:cstheme="minorHAnsi"/>
                <w:iCs/>
                <w:color w:val="auto"/>
                <w:sz w:val="22"/>
              </w:rPr>
              <w:t xml:space="preserve">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BBCB" w14:textId="0014D87A" w:rsidR="004C78EE" w:rsidRDefault="00F53140" w:rsidP="004C78EE">
            <w:pPr>
              <w:pStyle w:val="TableRowCentered"/>
              <w:ind w:left="0"/>
              <w:jc w:val="left"/>
              <w:rPr>
                <w:rFonts w:asciiTheme="minorHAnsi" w:hAnsiTheme="minorHAnsi" w:cstheme="minorHAnsi"/>
                <w:color w:val="auto"/>
                <w:sz w:val="22"/>
              </w:rPr>
            </w:pPr>
            <w:r>
              <w:rPr>
                <w:rFonts w:asciiTheme="minorHAnsi" w:hAnsiTheme="minorHAnsi" w:cstheme="minorHAnsi"/>
                <w:color w:val="auto"/>
                <w:sz w:val="22"/>
              </w:rPr>
              <w:t xml:space="preserve">Access to skilled </w:t>
            </w:r>
            <w:r w:rsidR="006767F8">
              <w:rPr>
                <w:rFonts w:asciiTheme="minorHAnsi" w:hAnsiTheme="minorHAnsi" w:cstheme="minorHAnsi"/>
                <w:color w:val="auto"/>
                <w:sz w:val="22"/>
              </w:rPr>
              <w:t xml:space="preserve">extra-curricular activities provided </w:t>
            </w:r>
            <w:r w:rsidR="00237E59">
              <w:rPr>
                <w:rFonts w:asciiTheme="minorHAnsi" w:hAnsiTheme="minorHAnsi" w:cstheme="minorHAnsi"/>
                <w:color w:val="auto"/>
                <w:sz w:val="22"/>
              </w:rPr>
              <w:t>by coaches</w:t>
            </w:r>
            <w:r>
              <w:rPr>
                <w:rFonts w:asciiTheme="minorHAnsi" w:hAnsiTheme="minorHAnsi" w:cstheme="minorHAnsi"/>
                <w:color w:val="auto"/>
                <w:sz w:val="22"/>
              </w:rPr>
              <w:t>, isolated area previously prevented this.</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63E9F" w14:textId="324903E4" w:rsidR="004C78EE" w:rsidRPr="007D777A" w:rsidRDefault="00F53140">
            <w:pPr>
              <w:pStyle w:val="TableRowCentered"/>
              <w:jc w:val="left"/>
              <w:rPr>
                <w:rFonts w:asciiTheme="minorHAnsi" w:hAnsiTheme="minorHAnsi" w:cstheme="minorHAnsi"/>
                <w:color w:val="auto"/>
                <w:sz w:val="22"/>
              </w:rPr>
            </w:pPr>
            <w:r>
              <w:rPr>
                <w:rFonts w:asciiTheme="minorHAnsi" w:hAnsiTheme="minorHAnsi" w:cstheme="minorHAnsi"/>
                <w:color w:val="auto"/>
                <w:sz w:val="22"/>
              </w:rPr>
              <w:t>3</w:t>
            </w:r>
          </w:p>
        </w:tc>
      </w:tr>
      <w:tr w:rsidR="00F53140" w:rsidRPr="007D777A" w14:paraId="37F97523" w14:textId="77777777" w:rsidTr="000353B9">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6ABA" w14:textId="77777777" w:rsidR="00790690" w:rsidRPr="00790690" w:rsidRDefault="00790690" w:rsidP="00790690">
            <w:pPr>
              <w:pStyle w:val="TableRow"/>
              <w:rPr>
                <w:rFonts w:asciiTheme="minorHAnsi" w:hAnsiTheme="minorHAnsi" w:cstheme="minorHAnsi"/>
                <w:iCs/>
                <w:color w:val="auto"/>
                <w:sz w:val="22"/>
              </w:rPr>
            </w:pPr>
            <w:r w:rsidRPr="00790690">
              <w:rPr>
                <w:rFonts w:asciiTheme="minorHAnsi" w:hAnsiTheme="minorHAnsi" w:cstheme="minorHAnsi"/>
                <w:iCs/>
                <w:color w:val="auto"/>
                <w:sz w:val="22"/>
              </w:rPr>
              <w:t xml:space="preserve">Supporting Pupils Mental Health and </w:t>
            </w:r>
          </w:p>
          <w:p w14:paraId="63243B1C" w14:textId="77777777" w:rsidR="00790690" w:rsidRPr="00790690" w:rsidRDefault="00790690" w:rsidP="00790690">
            <w:pPr>
              <w:pStyle w:val="TableRow"/>
              <w:rPr>
                <w:rFonts w:asciiTheme="minorHAnsi" w:hAnsiTheme="minorHAnsi" w:cstheme="minorHAnsi"/>
                <w:iCs/>
                <w:color w:val="auto"/>
                <w:sz w:val="22"/>
              </w:rPr>
            </w:pPr>
            <w:r w:rsidRPr="00790690">
              <w:rPr>
                <w:rFonts w:asciiTheme="minorHAnsi" w:hAnsiTheme="minorHAnsi" w:cstheme="minorHAnsi"/>
                <w:iCs/>
                <w:color w:val="auto"/>
                <w:sz w:val="22"/>
              </w:rPr>
              <w:t>Wellbeing</w:t>
            </w:r>
          </w:p>
          <w:p w14:paraId="7FFC7D55" w14:textId="77777777" w:rsidR="00790690" w:rsidRPr="00790690" w:rsidRDefault="00790690" w:rsidP="00790690">
            <w:pPr>
              <w:pStyle w:val="TableRow"/>
              <w:rPr>
                <w:rFonts w:asciiTheme="minorHAnsi" w:hAnsiTheme="minorHAnsi" w:cstheme="minorHAnsi"/>
                <w:iCs/>
                <w:color w:val="auto"/>
                <w:sz w:val="22"/>
              </w:rPr>
            </w:pPr>
            <w:r w:rsidRPr="00790690">
              <w:rPr>
                <w:rFonts w:asciiTheme="minorHAnsi" w:hAnsiTheme="minorHAnsi" w:cstheme="minorHAnsi"/>
                <w:iCs/>
                <w:color w:val="auto"/>
                <w:sz w:val="22"/>
              </w:rPr>
              <w:t>–</w:t>
            </w:r>
          </w:p>
          <w:p w14:paraId="14610FC1" w14:textId="77777777" w:rsidR="00790690" w:rsidRPr="00790690" w:rsidRDefault="00790690" w:rsidP="00790690">
            <w:pPr>
              <w:pStyle w:val="TableRow"/>
              <w:rPr>
                <w:rFonts w:asciiTheme="minorHAnsi" w:hAnsiTheme="minorHAnsi" w:cstheme="minorHAnsi"/>
                <w:iCs/>
                <w:color w:val="auto"/>
                <w:sz w:val="22"/>
              </w:rPr>
            </w:pPr>
            <w:r w:rsidRPr="00790690">
              <w:rPr>
                <w:rFonts w:asciiTheme="minorHAnsi" w:hAnsiTheme="minorHAnsi" w:cstheme="minorHAnsi"/>
                <w:iCs/>
                <w:color w:val="auto"/>
                <w:sz w:val="22"/>
              </w:rPr>
              <w:t xml:space="preserve">access to 1 to 1 and group </w:t>
            </w:r>
          </w:p>
          <w:p w14:paraId="6AA62BEA" w14:textId="77777777" w:rsidR="00790690" w:rsidRPr="00790690" w:rsidRDefault="00790690" w:rsidP="00790690">
            <w:pPr>
              <w:pStyle w:val="TableRow"/>
              <w:rPr>
                <w:rFonts w:asciiTheme="minorHAnsi" w:hAnsiTheme="minorHAnsi" w:cstheme="minorHAnsi"/>
                <w:iCs/>
                <w:color w:val="auto"/>
                <w:sz w:val="22"/>
              </w:rPr>
            </w:pPr>
            <w:r w:rsidRPr="00790690">
              <w:rPr>
                <w:rFonts w:asciiTheme="minorHAnsi" w:hAnsiTheme="minorHAnsi" w:cstheme="minorHAnsi"/>
                <w:iCs/>
                <w:color w:val="auto"/>
                <w:sz w:val="22"/>
              </w:rPr>
              <w:t>Play Therapy</w:t>
            </w:r>
          </w:p>
          <w:p w14:paraId="03EF90D2" w14:textId="77777777" w:rsidR="00790690" w:rsidRPr="00790690" w:rsidRDefault="00790690" w:rsidP="00790690">
            <w:pPr>
              <w:pStyle w:val="TableRow"/>
              <w:rPr>
                <w:rFonts w:asciiTheme="minorHAnsi" w:hAnsiTheme="minorHAnsi" w:cstheme="minorHAnsi"/>
                <w:iCs/>
                <w:color w:val="auto"/>
                <w:sz w:val="22"/>
              </w:rPr>
            </w:pPr>
            <w:r w:rsidRPr="00790690">
              <w:rPr>
                <w:rFonts w:asciiTheme="minorHAnsi" w:hAnsiTheme="minorHAnsi" w:cstheme="minorHAnsi"/>
                <w:iCs/>
                <w:color w:val="auto"/>
                <w:sz w:val="22"/>
              </w:rPr>
              <w:t xml:space="preserve">via TAs or ABC. </w:t>
            </w:r>
          </w:p>
          <w:p w14:paraId="04B3FFE1" w14:textId="0CB71735" w:rsidR="00F53140" w:rsidRDefault="00F53140">
            <w:pPr>
              <w:pStyle w:val="TableRow"/>
              <w:rPr>
                <w:rFonts w:asciiTheme="minorHAnsi" w:hAnsiTheme="minorHAnsi" w:cstheme="minorHAnsi"/>
                <w:iCs/>
                <w:color w:val="auto"/>
                <w:sz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F4E0C" w14:textId="77777777" w:rsidR="00F95771" w:rsidRDefault="00F95771" w:rsidP="00F95771">
            <w:pPr>
              <w:pStyle w:val="TableRowCentered"/>
              <w:jc w:val="left"/>
              <w:rPr>
                <w:rFonts w:asciiTheme="minorHAnsi" w:hAnsiTheme="minorHAnsi" w:cstheme="minorHAnsi"/>
                <w:color w:val="auto"/>
                <w:sz w:val="22"/>
              </w:rPr>
            </w:pPr>
            <w:r w:rsidRPr="00F95771">
              <w:rPr>
                <w:rFonts w:asciiTheme="minorHAnsi" w:hAnsiTheme="minorHAnsi" w:cstheme="minorHAnsi"/>
                <w:color w:val="auto"/>
                <w:sz w:val="22"/>
              </w:rPr>
              <w:t>EEF –</w:t>
            </w:r>
            <w:r>
              <w:rPr>
                <w:rFonts w:asciiTheme="minorHAnsi" w:hAnsiTheme="minorHAnsi" w:cstheme="minorHAnsi"/>
                <w:color w:val="auto"/>
                <w:sz w:val="22"/>
              </w:rPr>
              <w:t xml:space="preserve"> </w:t>
            </w:r>
            <w:r w:rsidRPr="00F95771">
              <w:rPr>
                <w:rFonts w:asciiTheme="minorHAnsi" w:hAnsiTheme="minorHAnsi" w:cstheme="minorHAnsi"/>
                <w:color w:val="auto"/>
                <w:sz w:val="22"/>
              </w:rPr>
              <w:t xml:space="preserve">Behaviour Interventions </w:t>
            </w:r>
          </w:p>
          <w:p w14:paraId="10916DFB" w14:textId="1D30998C" w:rsidR="00F95771" w:rsidRPr="00F95771" w:rsidRDefault="00F95771" w:rsidP="00F95771">
            <w:pPr>
              <w:pStyle w:val="TableRowCentered"/>
              <w:jc w:val="left"/>
              <w:rPr>
                <w:rFonts w:asciiTheme="minorHAnsi" w:hAnsiTheme="minorHAnsi" w:cstheme="minorHAnsi"/>
                <w:color w:val="auto"/>
                <w:sz w:val="22"/>
              </w:rPr>
            </w:pPr>
            <w:r w:rsidRPr="00F95771">
              <w:rPr>
                <w:rFonts w:asciiTheme="minorHAnsi" w:hAnsiTheme="minorHAnsi" w:cstheme="minorHAnsi"/>
                <w:color w:val="auto"/>
                <w:sz w:val="22"/>
              </w:rPr>
              <w:t>Social and Emotional Learning</w:t>
            </w:r>
          </w:p>
          <w:p w14:paraId="086C0CCB" w14:textId="09ECAC9C" w:rsidR="00F53140" w:rsidRDefault="00F53140" w:rsidP="004C78EE">
            <w:pPr>
              <w:pStyle w:val="TableRowCentered"/>
              <w:ind w:left="0"/>
              <w:jc w:val="left"/>
              <w:rPr>
                <w:rFonts w:asciiTheme="minorHAnsi" w:hAnsiTheme="minorHAnsi" w:cstheme="minorHAnsi"/>
                <w:color w:val="auto"/>
                <w:sz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B76F" w14:textId="77777777" w:rsidR="00277301" w:rsidRPr="00277301" w:rsidRDefault="00277301" w:rsidP="00277301">
            <w:pPr>
              <w:pStyle w:val="TableRowCentered"/>
              <w:jc w:val="left"/>
              <w:rPr>
                <w:rFonts w:asciiTheme="minorHAnsi" w:hAnsiTheme="minorHAnsi" w:cstheme="minorHAnsi"/>
                <w:color w:val="auto"/>
                <w:sz w:val="22"/>
              </w:rPr>
            </w:pPr>
            <w:r w:rsidRPr="00277301">
              <w:rPr>
                <w:rFonts w:asciiTheme="minorHAnsi" w:hAnsiTheme="minorHAnsi" w:cstheme="minorHAnsi"/>
                <w:color w:val="auto"/>
                <w:sz w:val="22"/>
              </w:rPr>
              <w:t xml:space="preserve">4 / 6 </w:t>
            </w:r>
          </w:p>
          <w:p w14:paraId="2DE5D872" w14:textId="77777777" w:rsidR="00277301" w:rsidRPr="00277301" w:rsidRDefault="00277301" w:rsidP="00277301">
            <w:pPr>
              <w:pStyle w:val="TableRowCentered"/>
              <w:jc w:val="left"/>
              <w:rPr>
                <w:rFonts w:asciiTheme="minorHAnsi" w:hAnsiTheme="minorHAnsi" w:cstheme="minorHAnsi"/>
                <w:color w:val="auto"/>
                <w:sz w:val="22"/>
              </w:rPr>
            </w:pPr>
            <w:r w:rsidRPr="00277301">
              <w:rPr>
                <w:rFonts w:asciiTheme="minorHAnsi" w:hAnsiTheme="minorHAnsi" w:cstheme="minorHAnsi"/>
                <w:color w:val="auto"/>
                <w:sz w:val="22"/>
              </w:rPr>
              <w:t xml:space="preserve">Also supports </w:t>
            </w:r>
          </w:p>
          <w:p w14:paraId="65AD4CF4" w14:textId="77777777" w:rsidR="00277301" w:rsidRPr="00277301" w:rsidRDefault="00277301" w:rsidP="00277301">
            <w:pPr>
              <w:pStyle w:val="TableRowCentered"/>
              <w:jc w:val="left"/>
              <w:rPr>
                <w:rFonts w:asciiTheme="minorHAnsi" w:hAnsiTheme="minorHAnsi" w:cstheme="minorHAnsi"/>
                <w:color w:val="auto"/>
                <w:sz w:val="22"/>
              </w:rPr>
            </w:pPr>
            <w:r w:rsidRPr="00277301">
              <w:rPr>
                <w:rFonts w:asciiTheme="minorHAnsi" w:hAnsiTheme="minorHAnsi" w:cstheme="minorHAnsi"/>
                <w:color w:val="auto"/>
                <w:sz w:val="22"/>
              </w:rPr>
              <w:t>1 / 2</w:t>
            </w:r>
          </w:p>
          <w:p w14:paraId="3433881C" w14:textId="3AC1700D" w:rsidR="00F53140" w:rsidRPr="007D777A" w:rsidRDefault="00F53140">
            <w:pPr>
              <w:pStyle w:val="TableRowCentered"/>
              <w:jc w:val="left"/>
              <w:rPr>
                <w:rFonts w:asciiTheme="minorHAnsi" w:hAnsiTheme="minorHAnsi" w:cstheme="minorHAnsi"/>
                <w:color w:val="auto"/>
                <w:sz w:val="22"/>
              </w:rPr>
            </w:pPr>
          </w:p>
        </w:tc>
      </w:tr>
    </w:tbl>
    <w:p w14:paraId="2A7D5540" w14:textId="77777777" w:rsidR="00E66558" w:rsidRPr="007D777A" w:rsidRDefault="00E66558" w:rsidP="00463BB3">
      <w:pPr>
        <w:spacing w:after="0" w:line="240" w:lineRule="auto"/>
        <w:rPr>
          <w:rFonts w:asciiTheme="minorHAnsi" w:hAnsiTheme="minorHAnsi" w:cstheme="minorHAnsi"/>
          <w:b/>
          <w:bCs/>
          <w:color w:val="auto"/>
          <w:sz w:val="28"/>
          <w:szCs w:val="28"/>
        </w:rPr>
      </w:pPr>
    </w:p>
    <w:p w14:paraId="25465FE5" w14:textId="2F271767" w:rsidR="00463BB3" w:rsidRDefault="009D71E8" w:rsidP="00463BB3">
      <w:pPr>
        <w:spacing w:after="0" w:line="240" w:lineRule="auto"/>
        <w:rPr>
          <w:rFonts w:asciiTheme="minorHAnsi" w:hAnsiTheme="minorHAnsi" w:cstheme="minorHAnsi"/>
          <w:b/>
          <w:bCs/>
          <w:color w:val="FF0000"/>
          <w:sz w:val="28"/>
          <w:szCs w:val="28"/>
        </w:rPr>
      </w:pPr>
      <w:r w:rsidRPr="007D777A">
        <w:rPr>
          <w:rFonts w:asciiTheme="minorHAnsi" w:hAnsiTheme="minorHAnsi" w:cstheme="minorHAnsi"/>
          <w:b/>
          <w:bCs/>
          <w:color w:val="auto"/>
          <w:sz w:val="28"/>
          <w:szCs w:val="28"/>
        </w:rPr>
        <w:t xml:space="preserve">Total budgeted cost: </w:t>
      </w:r>
      <w:r w:rsidRPr="00B11BB8">
        <w:rPr>
          <w:rFonts w:asciiTheme="minorHAnsi" w:hAnsiTheme="minorHAnsi" w:cstheme="minorHAnsi"/>
          <w:b/>
          <w:bCs/>
          <w:color w:val="auto"/>
          <w:sz w:val="28"/>
          <w:szCs w:val="28"/>
        </w:rPr>
        <w:t>£</w:t>
      </w:r>
      <w:r w:rsidR="00B11BB8" w:rsidRPr="00B11BB8">
        <w:rPr>
          <w:rFonts w:asciiTheme="minorHAnsi" w:hAnsiTheme="minorHAnsi" w:cstheme="minorHAnsi"/>
          <w:b/>
          <w:bCs/>
          <w:color w:val="auto"/>
          <w:sz w:val="28"/>
          <w:szCs w:val="28"/>
        </w:rPr>
        <w:t>6</w:t>
      </w:r>
      <w:r w:rsidR="00322A11">
        <w:rPr>
          <w:rFonts w:asciiTheme="minorHAnsi" w:hAnsiTheme="minorHAnsi" w:cstheme="minorHAnsi"/>
          <w:b/>
          <w:bCs/>
          <w:color w:val="auto"/>
          <w:sz w:val="28"/>
          <w:szCs w:val="28"/>
        </w:rPr>
        <w:t>5</w:t>
      </w:r>
      <w:r w:rsidR="00B11BB8" w:rsidRPr="00B11BB8">
        <w:rPr>
          <w:rFonts w:asciiTheme="minorHAnsi" w:hAnsiTheme="minorHAnsi" w:cstheme="minorHAnsi"/>
          <w:b/>
          <w:bCs/>
          <w:color w:val="auto"/>
          <w:sz w:val="28"/>
          <w:szCs w:val="28"/>
        </w:rPr>
        <w:t>,</w:t>
      </w:r>
      <w:r w:rsidR="00A46261">
        <w:rPr>
          <w:rFonts w:asciiTheme="minorHAnsi" w:hAnsiTheme="minorHAnsi" w:cstheme="minorHAnsi"/>
          <w:b/>
          <w:bCs/>
          <w:color w:val="auto"/>
          <w:sz w:val="28"/>
          <w:szCs w:val="28"/>
        </w:rPr>
        <w:t>12</w:t>
      </w:r>
      <w:r w:rsidR="00B11BB8" w:rsidRPr="00B11BB8">
        <w:rPr>
          <w:rFonts w:asciiTheme="minorHAnsi" w:hAnsiTheme="minorHAnsi" w:cstheme="minorHAnsi"/>
          <w:b/>
          <w:bCs/>
          <w:color w:val="auto"/>
          <w:sz w:val="28"/>
          <w:szCs w:val="28"/>
        </w:rPr>
        <w:t>0</w:t>
      </w:r>
    </w:p>
    <w:p w14:paraId="399EA327" w14:textId="77777777" w:rsidR="00463BB3" w:rsidRDefault="00463BB3" w:rsidP="00463BB3">
      <w:pPr>
        <w:spacing w:after="0" w:line="240" w:lineRule="auto"/>
        <w:rPr>
          <w:rFonts w:asciiTheme="minorHAnsi" w:hAnsiTheme="minorHAnsi" w:cstheme="minorHAnsi"/>
          <w:b/>
          <w:bCs/>
          <w:color w:val="FF0000"/>
          <w:sz w:val="28"/>
          <w:szCs w:val="28"/>
        </w:rPr>
      </w:pPr>
    </w:p>
    <w:p w14:paraId="34F1FA1A" w14:textId="77777777" w:rsidR="002330EF" w:rsidRDefault="002330EF">
      <w:pPr>
        <w:suppressAutoHyphens w:val="0"/>
        <w:spacing w:after="0" w:line="240" w:lineRule="auto"/>
        <w:rPr>
          <w:rFonts w:asciiTheme="minorHAnsi" w:hAnsiTheme="minorHAnsi" w:cstheme="minorHAnsi"/>
          <w:b/>
          <w:sz w:val="36"/>
          <w:szCs w:val="36"/>
        </w:rPr>
      </w:pPr>
      <w:r>
        <w:rPr>
          <w:rFonts w:asciiTheme="minorHAnsi" w:hAnsiTheme="minorHAnsi" w:cstheme="minorHAnsi"/>
          <w:b/>
          <w:sz w:val="36"/>
          <w:szCs w:val="36"/>
        </w:rPr>
        <w:br w:type="page"/>
      </w:r>
    </w:p>
    <w:p w14:paraId="4A1B0FBC" w14:textId="77777777" w:rsidR="00594796" w:rsidRDefault="00594796" w:rsidP="00463BB3">
      <w:pPr>
        <w:spacing w:after="0" w:line="240" w:lineRule="auto"/>
        <w:rPr>
          <w:rFonts w:asciiTheme="minorHAnsi" w:hAnsiTheme="minorHAnsi" w:cstheme="minorHAnsi"/>
          <w:b/>
          <w:sz w:val="36"/>
          <w:szCs w:val="36"/>
        </w:rPr>
        <w:sectPr w:rsidR="00594796" w:rsidSect="00EC3F22">
          <w:footerReference w:type="default" r:id="rId17"/>
          <w:pgSz w:w="11906" w:h="16838"/>
          <w:pgMar w:top="1134" w:right="1276" w:bottom="993" w:left="1134" w:header="709" w:footer="709" w:gutter="0"/>
          <w:cols w:space="720"/>
        </w:sectPr>
      </w:pPr>
    </w:p>
    <w:p w14:paraId="2A7D5542" w14:textId="277B016A" w:rsidR="00E66558" w:rsidRPr="00463BB3" w:rsidRDefault="009D71E8" w:rsidP="00463BB3">
      <w:pPr>
        <w:spacing w:after="0" w:line="240" w:lineRule="auto"/>
        <w:rPr>
          <w:rFonts w:asciiTheme="minorHAnsi" w:hAnsiTheme="minorHAnsi" w:cstheme="minorHAnsi"/>
          <w:b/>
          <w:sz w:val="36"/>
          <w:szCs w:val="36"/>
        </w:rPr>
      </w:pPr>
      <w:r w:rsidRPr="00463BB3">
        <w:rPr>
          <w:rFonts w:asciiTheme="minorHAnsi" w:hAnsiTheme="minorHAnsi" w:cstheme="minorHAnsi"/>
          <w:b/>
          <w:sz w:val="36"/>
          <w:szCs w:val="36"/>
        </w:rPr>
        <w:t>Part B: Review of outcomes in the previous academic year</w:t>
      </w:r>
    </w:p>
    <w:p w14:paraId="2A7D5543" w14:textId="77777777" w:rsidR="00E66558" w:rsidRPr="007D777A" w:rsidRDefault="009D71E8" w:rsidP="00463BB3">
      <w:pPr>
        <w:pStyle w:val="Heading2"/>
        <w:spacing w:before="0" w:after="0"/>
        <w:rPr>
          <w:rFonts w:asciiTheme="minorHAnsi" w:hAnsiTheme="minorHAnsi" w:cstheme="minorHAnsi"/>
        </w:rPr>
      </w:pPr>
      <w:r w:rsidRPr="007D777A">
        <w:rPr>
          <w:rFonts w:asciiTheme="minorHAnsi" w:hAnsiTheme="minorHAnsi" w:cstheme="minorHAnsi"/>
        </w:rPr>
        <w:t>Pupil premium strategy outcomes</w:t>
      </w:r>
    </w:p>
    <w:p w14:paraId="3A6842F1" w14:textId="4AC62B8B" w:rsidR="008D0954" w:rsidRDefault="009D71E8" w:rsidP="00463BB3">
      <w:pPr>
        <w:spacing w:after="0" w:line="240" w:lineRule="auto"/>
        <w:rPr>
          <w:rFonts w:asciiTheme="minorHAnsi" w:hAnsiTheme="minorHAnsi" w:cstheme="minorHAnsi"/>
        </w:rPr>
      </w:pPr>
      <w:r w:rsidRPr="007D777A">
        <w:rPr>
          <w:rFonts w:asciiTheme="minorHAnsi" w:hAnsiTheme="minorHAnsi" w:cstheme="minorHAnsi"/>
        </w:rPr>
        <w:t>This details the impact that our pupil premium ac</w:t>
      </w:r>
      <w:r w:rsidR="009A2DCF">
        <w:rPr>
          <w:rFonts w:asciiTheme="minorHAnsi" w:hAnsiTheme="minorHAnsi" w:cstheme="minorHAnsi"/>
        </w:rPr>
        <w:t>tivity had on pupils in the 202</w:t>
      </w:r>
      <w:r w:rsidR="00ED1808">
        <w:rPr>
          <w:rFonts w:asciiTheme="minorHAnsi" w:hAnsiTheme="minorHAnsi" w:cstheme="minorHAnsi"/>
        </w:rPr>
        <w:t>3</w:t>
      </w:r>
      <w:r w:rsidR="009A2DCF">
        <w:rPr>
          <w:rFonts w:asciiTheme="minorHAnsi" w:hAnsiTheme="minorHAnsi" w:cstheme="minorHAnsi"/>
        </w:rPr>
        <w:t xml:space="preserve"> to 202</w:t>
      </w:r>
      <w:r w:rsidR="00ED1808">
        <w:rPr>
          <w:rFonts w:asciiTheme="minorHAnsi" w:hAnsiTheme="minorHAnsi" w:cstheme="minorHAnsi"/>
        </w:rPr>
        <w:t>4</w:t>
      </w:r>
      <w:r w:rsidR="00BC437C">
        <w:rPr>
          <w:rFonts w:asciiTheme="minorHAnsi" w:hAnsiTheme="minorHAnsi" w:cstheme="minorHAnsi"/>
        </w:rPr>
        <w:t xml:space="preserve"> </w:t>
      </w:r>
      <w:r w:rsidRPr="007D777A">
        <w:rPr>
          <w:rFonts w:asciiTheme="minorHAnsi" w:hAnsiTheme="minorHAnsi" w:cstheme="minorHAnsi"/>
        </w:rPr>
        <w:t>academic year</w:t>
      </w:r>
      <w:r w:rsidR="00552E7C">
        <w:rPr>
          <w:rFonts w:asciiTheme="minorHAnsi" w:hAnsiTheme="minorHAnsi" w:cstheme="minorHAnsi"/>
        </w:rPr>
        <w:t>.</w:t>
      </w:r>
    </w:p>
    <w:p w14:paraId="3E6973E0" w14:textId="77777777" w:rsidR="00987C38" w:rsidRDefault="00987C38" w:rsidP="00463BB3">
      <w:pPr>
        <w:spacing w:after="0" w:line="240" w:lineRule="auto"/>
        <w:rPr>
          <w:rFonts w:asciiTheme="minorHAnsi" w:hAnsiTheme="minorHAnsi" w:cstheme="minorHAnsi"/>
        </w:rPr>
      </w:pPr>
    </w:p>
    <w:tbl>
      <w:tblPr>
        <w:tblStyle w:val="TableGrid"/>
        <w:tblW w:w="15163" w:type="dxa"/>
        <w:tblLook w:val="04A0" w:firstRow="1" w:lastRow="0" w:firstColumn="1" w:lastColumn="0" w:noHBand="0" w:noVBand="1"/>
      </w:tblPr>
      <w:tblGrid>
        <w:gridCol w:w="2405"/>
        <w:gridCol w:w="4252"/>
        <w:gridCol w:w="4253"/>
        <w:gridCol w:w="4253"/>
      </w:tblGrid>
      <w:tr w:rsidR="00803196" w:rsidRPr="00407E27" w14:paraId="4056BC65" w14:textId="21E72DBB" w:rsidTr="0016786F">
        <w:tc>
          <w:tcPr>
            <w:tcW w:w="15163" w:type="dxa"/>
            <w:gridSpan w:val="4"/>
          </w:tcPr>
          <w:p w14:paraId="3CD221D8" w14:textId="6D49267B" w:rsidR="00803196" w:rsidRPr="00407E27" w:rsidRDefault="00803196" w:rsidP="00463BB3">
            <w:pPr>
              <w:spacing w:after="0" w:line="240" w:lineRule="auto"/>
              <w:rPr>
                <w:rFonts w:asciiTheme="minorHAnsi" w:hAnsiTheme="minorHAnsi" w:cstheme="minorHAnsi"/>
                <w:b/>
                <w:bCs/>
              </w:rPr>
            </w:pPr>
            <w:r w:rsidRPr="00407E27">
              <w:rPr>
                <w:rFonts w:asciiTheme="minorHAnsi" w:hAnsiTheme="minorHAnsi" w:cstheme="minorHAnsi"/>
                <w:b/>
                <w:bCs/>
              </w:rPr>
              <w:t>Review of the strategy against the aims:</w:t>
            </w:r>
          </w:p>
        </w:tc>
      </w:tr>
      <w:tr w:rsidR="00D503E2" w:rsidRPr="00407E27" w14:paraId="66C15151" w14:textId="649D296B" w:rsidTr="00D503E2">
        <w:tc>
          <w:tcPr>
            <w:tcW w:w="2405" w:type="dxa"/>
          </w:tcPr>
          <w:p w14:paraId="5A86586A" w14:textId="4E97ACFF" w:rsidR="00D503E2" w:rsidRPr="00407E27" w:rsidRDefault="00D503E2" w:rsidP="00463BB3">
            <w:pPr>
              <w:spacing w:after="0" w:line="240" w:lineRule="auto"/>
              <w:rPr>
                <w:rFonts w:asciiTheme="minorHAnsi" w:hAnsiTheme="minorHAnsi" w:cstheme="minorHAnsi"/>
                <w:b/>
                <w:bCs/>
              </w:rPr>
            </w:pPr>
            <w:r w:rsidRPr="00407E27">
              <w:rPr>
                <w:rFonts w:asciiTheme="minorHAnsi" w:hAnsiTheme="minorHAnsi" w:cstheme="minorHAnsi"/>
                <w:b/>
                <w:bCs/>
              </w:rPr>
              <w:t>Intended outcome</w:t>
            </w:r>
          </w:p>
        </w:tc>
        <w:tc>
          <w:tcPr>
            <w:tcW w:w="4252" w:type="dxa"/>
          </w:tcPr>
          <w:p w14:paraId="6EFABFA9" w14:textId="01460E66" w:rsidR="00D503E2" w:rsidRPr="00407E27" w:rsidRDefault="00D503E2" w:rsidP="00463BB3">
            <w:pPr>
              <w:spacing w:after="0" w:line="240" w:lineRule="auto"/>
              <w:rPr>
                <w:rFonts w:asciiTheme="minorHAnsi" w:hAnsiTheme="minorHAnsi" w:cstheme="minorHAnsi"/>
                <w:b/>
                <w:bCs/>
              </w:rPr>
            </w:pPr>
            <w:r w:rsidRPr="00407E27">
              <w:rPr>
                <w:rFonts w:asciiTheme="minorHAnsi" w:hAnsiTheme="minorHAnsi" w:cstheme="minorHAnsi"/>
                <w:b/>
                <w:bCs/>
              </w:rPr>
              <w:t>Baseline Position (end of 2021-22)</w:t>
            </w:r>
          </w:p>
        </w:tc>
        <w:tc>
          <w:tcPr>
            <w:tcW w:w="4253" w:type="dxa"/>
          </w:tcPr>
          <w:p w14:paraId="2497987A" w14:textId="7DE64B03" w:rsidR="00D503E2" w:rsidRPr="00407E27" w:rsidRDefault="00D503E2" w:rsidP="00463BB3">
            <w:pPr>
              <w:spacing w:after="0" w:line="240" w:lineRule="auto"/>
              <w:rPr>
                <w:rFonts w:asciiTheme="minorHAnsi" w:hAnsiTheme="minorHAnsi" w:cstheme="minorHAnsi"/>
                <w:b/>
                <w:bCs/>
              </w:rPr>
            </w:pPr>
            <w:r w:rsidRPr="00407E27">
              <w:rPr>
                <w:rFonts w:asciiTheme="minorHAnsi" w:hAnsiTheme="minorHAnsi" w:cstheme="minorHAnsi"/>
                <w:b/>
                <w:bCs/>
              </w:rPr>
              <w:t>Review (end of 2022-2023 academic year)</w:t>
            </w:r>
          </w:p>
        </w:tc>
        <w:tc>
          <w:tcPr>
            <w:tcW w:w="4253" w:type="dxa"/>
          </w:tcPr>
          <w:p w14:paraId="7C4AE36E" w14:textId="40BF29EC" w:rsidR="00D503E2" w:rsidRPr="00407E27" w:rsidRDefault="00C84AA9" w:rsidP="00463BB3">
            <w:pPr>
              <w:spacing w:after="0" w:line="240" w:lineRule="auto"/>
              <w:rPr>
                <w:rFonts w:asciiTheme="minorHAnsi" w:hAnsiTheme="minorHAnsi" w:cstheme="minorHAnsi"/>
                <w:b/>
                <w:bCs/>
              </w:rPr>
            </w:pPr>
            <w:r w:rsidRPr="00C84AA9">
              <w:rPr>
                <w:rFonts w:asciiTheme="minorHAnsi" w:hAnsiTheme="minorHAnsi" w:cstheme="minorHAnsi"/>
                <w:b/>
                <w:bCs/>
              </w:rPr>
              <w:t>Review Point 2(end of 2023-24 academic year)</w:t>
            </w:r>
          </w:p>
        </w:tc>
      </w:tr>
      <w:tr w:rsidR="00D503E2" w14:paraId="72F223A1" w14:textId="16F73D2E" w:rsidTr="00D503E2">
        <w:tc>
          <w:tcPr>
            <w:tcW w:w="2405" w:type="dxa"/>
          </w:tcPr>
          <w:p w14:paraId="215977D4" w14:textId="681FF23F" w:rsidR="00D503E2" w:rsidRDefault="00D503E2" w:rsidP="00463BB3">
            <w:pPr>
              <w:spacing w:after="0" w:line="240" w:lineRule="auto"/>
              <w:rPr>
                <w:rFonts w:asciiTheme="minorHAnsi" w:hAnsiTheme="minorHAnsi" w:cstheme="minorHAnsi"/>
              </w:rPr>
            </w:pPr>
            <w:r w:rsidRPr="00BF0BB4">
              <w:rPr>
                <w:rFonts w:asciiTheme="minorHAnsi" w:hAnsiTheme="minorHAnsi" w:cstheme="minorHAnsi"/>
                <w:color w:val="auto"/>
                <w:sz w:val="22"/>
                <w:szCs w:val="22"/>
              </w:rPr>
              <w:t>Increase the percentage of disadvantaged pupils reaching standards and ensure all pupils, whether PP, SEN or both, make at least expected progress over the year.</w:t>
            </w:r>
          </w:p>
        </w:tc>
        <w:tc>
          <w:tcPr>
            <w:tcW w:w="4252" w:type="dxa"/>
          </w:tcPr>
          <w:p w14:paraId="12788804" w14:textId="34BE7B8F" w:rsidR="00D503E2" w:rsidRDefault="00D503E2" w:rsidP="00463BB3">
            <w:pPr>
              <w:spacing w:after="0" w:line="240" w:lineRule="auto"/>
              <w:rPr>
                <w:rFonts w:asciiTheme="minorHAnsi" w:hAnsiTheme="minorHAnsi" w:cstheme="minorHAnsi"/>
                <w:color w:val="auto"/>
                <w:sz w:val="22"/>
                <w:szCs w:val="22"/>
              </w:rPr>
            </w:pPr>
            <w:r w:rsidRPr="0050303E">
              <w:rPr>
                <w:rFonts w:asciiTheme="minorHAnsi" w:hAnsiTheme="minorHAnsi" w:cstheme="minorHAnsi"/>
                <w:color w:val="auto"/>
                <w:sz w:val="22"/>
                <w:szCs w:val="22"/>
              </w:rPr>
              <w:t>60% of disadvantaged children achieved a GLD, compared to 100% of their peers.</w:t>
            </w:r>
          </w:p>
          <w:p w14:paraId="18650339" w14:textId="77777777" w:rsidR="00803196" w:rsidRDefault="00803196" w:rsidP="00463BB3">
            <w:pPr>
              <w:spacing w:after="0" w:line="240" w:lineRule="auto"/>
              <w:rPr>
                <w:rFonts w:asciiTheme="minorHAnsi" w:hAnsiTheme="minorHAnsi" w:cstheme="minorHAnsi"/>
                <w:color w:val="auto"/>
                <w:sz w:val="22"/>
                <w:szCs w:val="22"/>
              </w:rPr>
            </w:pPr>
          </w:p>
          <w:p w14:paraId="7C2F5620" w14:textId="77777777" w:rsidR="00803196" w:rsidRPr="0050303E" w:rsidRDefault="00803196" w:rsidP="00463BB3">
            <w:pPr>
              <w:spacing w:after="0" w:line="240" w:lineRule="auto"/>
              <w:rPr>
                <w:rFonts w:asciiTheme="minorHAnsi" w:hAnsiTheme="minorHAnsi" w:cstheme="minorHAnsi"/>
                <w:color w:val="auto"/>
                <w:sz w:val="22"/>
                <w:szCs w:val="22"/>
              </w:rPr>
            </w:pPr>
          </w:p>
          <w:p w14:paraId="17AA1317" w14:textId="77777777" w:rsidR="00D503E2" w:rsidRDefault="00D503E2" w:rsidP="00463BB3">
            <w:pPr>
              <w:spacing w:after="0" w:line="240" w:lineRule="auto"/>
              <w:rPr>
                <w:rFonts w:asciiTheme="minorHAnsi" w:hAnsiTheme="minorHAnsi" w:cstheme="minorHAnsi"/>
                <w:color w:val="auto"/>
                <w:sz w:val="22"/>
                <w:szCs w:val="22"/>
              </w:rPr>
            </w:pPr>
          </w:p>
          <w:p w14:paraId="5F7090C4" w14:textId="75AB2631" w:rsidR="00D503E2" w:rsidRDefault="00D503E2" w:rsidP="00A55C25">
            <w:pPr>
              <w:spacing w:after="0" w:line="240" w:lineRule="auto"/>
              <w:rPr>
                <w:rFonts w:asciiTheme="minorHAnsi" w:hAnsiTheme="minorHAnsi" w:cstheme="minorHAnsi"/>
                <w:color w:val="auto"/>
                <w:sz w:val="22"/>
                <w:szCs w:val="22"/>
              </w:rPr>
            </w:pPr>
            <w:r w:rsidRPr="0050303E">
              <w:rPr>
                <w:rFonts w:asciiTheme="minorHAnsi" w:hAnsiTheme="minorHAnsi" w:cstheme="minorHAnsi"/>
                <w:color w:val="auto"/>
                <w:sz w:val="22"/>
                <w:szCs w:val="22"/>
              </w:rPr>
              <w:t xml:space="preserve">In KS2 reading, </w:t>
            </w:r>
            <w:r>
              <w:rPr>
                <w:rFonts w:asciiTheme="minorHAnsi" w:hAnsiTheme="minorHAnsi" w:cstheme="minorHAnsi"/>
                <w:color w:val="auto"/>
                <w:sz w:val="22"/>
                <w:szCs w:val="22"/>
              </w:rPr>
              <w:t>33</w:t>
            </w:r>
            <w:r w:rsidRPr="0050303E">
              <w:rPr>
                <w:rFonts w:asciiTheme="minorHAnsi" w:hAnsiTheme="minorHAnsi" w:cstheme="minorHAnsi"/>
                <w:color w:val="auto"/>
                <w:sz w:val="22"/>
                <w:szCs w:val="22"/>
              </w:rPr>
              <w:t>% of disadvantaged students reached the expected standard, compared to</w:t>
            </w:r>
            <w:r>
              <w:rPr>
                <w:rFonts w:asciiTheme="minorHAnsi" w:hAnsiTheme="minorHAnsi" w:cstheme="minorHAnsi"/>
                <w:color w:val="auto"/>
                <w:sz w:val="22"/>
                <w:szCs w:val="22"/>
              </w:rPr>
              <w:t xml:space="preserve"> 50</w:t>
            </w:r>
            <w:r w:rsidRPr="0050303E">
              <w:rPr>
                <w:rFonts w:asciiTheme="minorHAnsi" w:hAnsiTheme="minorHAnsi" w:cstheme="minorHAnsi"/>
                <w:color w:val="auto"/>
                <w:sz w:val="22"/>
                <w:szCs w:val="22"/>
              </w:rPr>
              <w:t>% of their peers.</w:t>
            </w:r>
          </w:p>
          <w:p w14:paraId="341A286B" w14:textId="77777777" w:rsidR="00803196" w:rsidRDefault="00803196" w:rsidP="00A55C25">
            <w:pPr>
              <w:spacing w:after="0" w:line="240" w:lineRule="auto"/>
              <w:rPr>
                <w:rFonts w:asciiTheme="minorHAnsi" w:hAnsiTheme="minorHAnsi" w:cstheme="minorHAnsi"/>
                <w:color w:val="auto"/>
                <w:sz w:val="22"/>
                <w:szCs w:val="22"/>
              </w:rPr>
            </w:pPr>
          </w:p>
          <w:p w14:paraId="4E29BAF4" w14:textId="77777777" w:rsidR="00803196" w:rsidRPr="0050303E" w:rsidRDefault="00803196" w:rsidP="00A55C25">
            <w:pPr>
              <w:spacing w:after="0" w:line="240" w:lineRule="auto"/>
              <w:rPr>
                <w:rFonts w:asciiTheme="minorHAnsi" w:hAnsiTheme="minorHAnsi" w:cstheme="minorHAnsi"/>
                <w:color w:val="auto"/>
                <w:sz w:val="22"/>
                <w:szCs w:val="22"/>
              </w:rPr>
            </w:pPr>
          </w:p>
          <w:p w14:paraId="3904CBBA" w14:textId="2D1523CD" w:rsidR="00D503E2" w:rsidRDefault="00D503E2" w:rsidP="00A55C25">
            <w:pPr>
              <w:spacing w:after="0" w:line="240" w:lineRule="auto"/>
              <w:rPr>
                <w:rFonts w:asciiTheme="minorHAnsi" w:hAnsiTheme="minorHAnsi" w:cstheme="minorHAnsi"/>
                <w:color w:val="auto"/>
                <w:sz w:val="22"/>
                <w:szCs w:val="22"/>
              </w:rPr>
            </w:pPr>
            <w:r w:rsidRPr="0050303E">
              <w:rPr>
                <w:rFonts w:asciiTheme="minorHAnsi" w:hAnsiTheme="minorHAnsi" w:cstheme="minorHAnsi"/>
                <w:color w:val="auto"/>
                <w:sz w:val="22"/>
                <w:szCs w:val="22"/>
              </w:rPr>
              <w:t xml:space="preserve">In KS2 writing, 17% of disadvantaged students reached the expected standard, compared to </w:t>
            </w:r>
            <w:r>
              <w:rPr>
                <w:rFonts w:asciiTheme="minorHAnsi" w:hAnsiTheme="minorHAnsi" w:cstheme="minorHAnsi"/>
                <w:color w:val="auto"/>
                <w:sz w:val="22"/>
                <w:szCs w:val="22"/>
              </w:rPr>
              <w:t>50</w:t>
            </w:r>
            <w:r w:rsidRPr="0050303E">
              <w:rPr>
                <w:rFonts w:asciiTheme="minorHAnsi" w:hAnsiTheme="minorHAnsi" w:cstheme="minorHAnsi"/>
                <w:color w:val="auto"/>
                <w:sz w:val="22"/>
                <w:szCs w:val="22"/>
              </w:rPr>
              <w:t>% of their peers.</w:t>
            </w:r>
          </w:p>
          <w:p w14:paraId="44A1AF54" w14:textId="77777777" w:rsidR="00803196" w:rsidRDefault="00803196" w:rsidP="00A55C25">
            <w:pPr>
              <w:spacing w:after="0" w:line="240" w:lineRule="auto"/>
              <w:rPr>
                <w:rFonts w:asciiTheme="minorHAnsi" w:hAnsiTheme="minorHAnsi" w:cstheme="minorHAnsi"/>
                <w:color w:val="auto"/>
                <w:sz w:val="22"/>
                <w:szCs w:val="22"/>
              </w:rPr>
            </w:pPr>
          </w:p>
          <w:p w14:paraId="0EC10D58" w14:textId="77777777" w:rsidR="00803196" w:rsidRPr="0050303E" w:rsidRDefault="00803196" w:rsidP="00A55C25">
            <w:pPr>
              <w:spacing w:after="0" w:line="240" w:lineRule="auto"/>
              <w:rPr>
                <w:rFonts w:asciiTheme="minorHAnsi" w:hAnsiTheme="minorHAnsi" w:cstheme="minorHAnsi"/>
                <w:color w:val="auto"/>
                <w:sz w:val="22"/>
                <w:szCs w:val="22"/>
              </w:rPr>
            </w:pPr>
          </w:p>
          <w:p w14:paraId="18EB0408" w14:textId="32F9022C" w:rsidR="00803196" w:rsidRDefault="00D503E2" w:rsidP="00A55C25">
            <w:pPr>
              <w:spacing w:after="0" w:line="240" w:lineRule="auto"/>
              <w:rPr>
                <w:rFonts w:asciiTheme="minorHAnsi" w:hAnsiTheme="minorHAnsi" w:cstheme="minorHAnsi"/>
                <w:color w:val="auto"/>
                <w:sz w:val="22"/>
                <w:szCs w:val="22"/>
              </w:rPr>
            </w:pPr>
            <w:r w:rsidRPr="0050303E">
              <w:rPr>
                <w:rFonts w:asciiTheme="minorHAnsi" w:hAnsiTheme="minorHAnsi" w:cstheme="minorHAnsi"/>
                <w:color w:val="auto"/>
                <w:sz w:val="22"/>
                <w:szCs w:val="22"/>
              </w:rPr>
              <w:t xml:space="preserve">In KS2 maths, </w:t>
            </w:r>
            <w:r>
              <w:rPr>
                <w:rFonts w:asciiTheme="minorHAnsi" w:hAnsiTheme="minorHAnsi" w:cstheme="minorHAnsi"/>
                <w:color w:val="auto"/>
                <w:sz w:val="22"/>
                <w:szCs w:val="22"/>
              </w:rPr>
              <w:t>33</w:t>
            </w:r>
            <w:r w:rsidRPr="0050303E">
              <w:rPr>
                <w:rFonts w:asciiTheme="minorHAnsi" w:hAnsiTheme="minorHAnsi" w:cstheme="minorHAnsi"/>
                <w:color w:val="auto"/>
                <w:sz w:val="22"/>
                <w:szCs w:val="22"/>
              </w:rPr>
              <w:t xml:space="preserve">% of disadvantaged students reached the expected standard, compared to </w:t>
            </w:r>
            <w:r>
              <w:rPr>
                <w:rFonts w:asciiTheme="minorHAnsi" w:hAnsiTheme="minorHAnsi" w:cstheme="minorHAnsi"/>
                <w:color w:val="auto"/>
                <w:sz w:val="22"/>
                <w:szCs w:val="22"/>
              </w:rPr>
              <w:t>50</w:t>
            </w:r>
            <w:r w:rsidRPr="0050303E">
              <w:rPr>
                <w:rFonts w:asciiTheme="minorHAnsi" w:hAnsiTheme="minorHAnsi" w:cstheme="minorHAnsi"/>
                <w:color w:val="auto"/>
                <w:sz w:val="22"/>
                <w:szCs w:val="22"/>
              </w:rPr>
              <w:t>% of their peers.</w:t>
            </w:r>
          </w:p>
          <w:p w14:paraId="0E1F4F45" w14:textId="77777777" w:rsidR="00803196" w:rsidRPr="0050303E" w:rsidRDefault="00803196" w:rsidP="00A55C25">
            <w:pPr>
              <w:spacing w:after="0" w:line="240" w:lineRule="auto"/>
              <w:rPr>
                <w:rFonts w:asciiTheme="minorHAnsi" w:hAnsiTheme="minorHAnsi" w:cstheme="minorHAnsi"/>
                <w:color w:val="auto"/>
                <w:sz w:val="22"/>
                <w:szCs w:val="22"/>
              </w:rPr>
            </w:pPr>
          </w:p>
          <w:p w14:paraId="0056CCF9" w14:textId="3815A308" w:rsidR="00D503E2" w:rsidRPr="0050303E" w:rsidRDefault="00D503E2" w:rsidP="00463BB3">
            <w:pPr>
              <w:spacing w:after="0" w:line="240" w:lineRule="auto"/>
              <w:rPr>
                <w:rFonts w:asciiTheme="minorHAnsi" w:hAnsiTheme="minorHAnsi" w:cstheme="minorHAnsi"/>
                <w:color w:val="auto"/>
                <w:sz w:val="22"/>
                <w:szCs w:val="22"/>
              </w:rPr>
            </w:pPr>
            <w:r w:rsidRPr="00A74322">
              <w:rPr>
                <w:rFonts w:asciiTheme="minorHAnsi" w:hAnsiTheme="minorHAnsi" w:cstheme="minorHAnsi"/>
                <w:color w:val="1F497D" w:themeColor="text2"/>
                <w:sz w:val="22"/>
                <w:szCs w:val="22"/>
              </w:rPr>
              <w:t>(caution must be taken with results due to small cohorts)</w:t>
            </w:r>
          </w:p>
        </w:tc>
        <w:tc>
          <w:tcPr>
            <w:tcW w:w="4253" w:type="dxa"/>
          </w:tcPr>
          <w:p w14:paraId="592DDB98" w14:textId="77777777" w:rsidR="00D503E2" w:rsidRDefault="00D503E2" w:rsidP="00463BB3">
            <w:pPr>
              <w:spacing w:after="0" w:line="240" w:lineRule="auto"/>
              <w:rPr>
                <w:rFonts w:asciiTheme="minorHAnsi" w:hAnsiTheme="minorHAnsi" w:cstheme="minorHAnsi"/>
                <w:color w:val="auto"/>
                <w:sz w:val="22"/>
                <w:szCs w:val="22"/>
              </w:rPr>
            </w:pPr>
            <w:r w:rsidRPr="0050303E">
              <w:rPr>
                <w:rFonts w:asciiTheme="minorHAnsi" w:hAnsiTheme="minorHAnsi" w:cstheme="minorHAnsi"/>
                <w:color w:val="auto"/>
                <w:sz w:val="22"/>
                <w:szCs w:val="22"/>
              </w:rPr>
              <w:t>75% of disadvantaged children achieved a GLD in 22-23 an increase of 15%. There is still a gap between their peers, as 100% of non-disadvantaged children achieved a GLD</w:t>
            </w:r>
          </w:p>
          <w:p w14:paraId="4534AB01" w14:textId="77777777" w:rsidR="00D503E2" w:rsidRDefault="00D503E2" w:rsidP="00463BB3">
            <w:pPr>
              <w:spacing w:after="0" w:line="240" w:lineRule="auto"/>
              <w:rPr>
                <w:rFonts w:asciiTheme="minorHAnsi" w:hAnsiTheme="minorHAnsi" w:cstheme="minorHAnsi"/>
                <w:color w:val="auto"/>
                <w:sz w:val="22"/>
                <w:szCs w:val="22"/>
              </w:rPr>
            </w:pPr>
          </w:p>
          <w:p w14:paraId="0D0A9C5C" w14:textId="37492991" w:rsidR="00D503E2" w:rsidRPr="0050303E" w:rsidRDefault="00D503E2" w:rsidP="004A2F75">
            <w:pPr>
              <w:spacing w:after="0" w:line="240" w:lineRule="auto"/>
              <w:rPr>
                <w:rFonts w:asciiTheme="minorHAnsi" w:hAnsiTheme="minorHAnsi" w:cstheme="minorHAnsi"/>
                <w:color w:val="auto"/>
                <w:sz w:val="22"/>
                <w:szCs w:val="22"/>
              </w:rPr>
            </w:pPr>
            <w:r w:rsidRPr="0050303E">
              <w:rPr>
                <w:rFonts w:asciiTheme="minorHAnsi" w:hAnsiTheme="minorHAnsi" w:cstheme="minorHAnsi"/>
                <w:color w:val="auto"/>
                <w:sz w:val="22"/>
                <w:szCs w:val="22"/>
              </w:rPr>
              <w:t>In KS2 reading, 86% of disadvantaged students reached the expected standard</w:t>
            </w:r>
            <w:r>
              <w:rPr>
                <w:rFonts w:asciiTheme="minorHAnsi" w:hAnsiTheme="minorHAnsi" w:cstheme="minorHAnsi"/>
                <w:color w:val="auto"/>
                <w:sz w:val="22"/>
                <w:szCs w:val="22"/>
              </w:rPr>
              <w:t xml:space="preserve"> or higher</w:t>
            </w:r>
            <w:r w:rsidRPr="0050303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which is a huge improvement (53%) on 21-22. </w:t>
            </w:r>
          </w:p>
          <w:p w14:paraId="6B1D2D2B" w14:textId="77777777" w:rsidR="00D503E2" w:rsidRPr="0050303E" w:rsidRDefault="00D503E2" w:rsidP="004A2F75">
            <w:pPr>
              <w:spacing w:after="0" w:line="240" w:lineRule="auto"/>
              <w:rPr>
                <w:rFonts w:asciiTheme="minorHAnsi" w:hAnsiTheme="minorHAnsi" w:cstheme="minorHAnsi"/>
                <w:color w:val="auto"/>
                <w:sz w:val="22"/>
                <w:szCs w:val="22"/>
              </w:rPr>
            </w:pPr>
          </w:p>
          <w:p w14:paraId="595AA9DB" w14:textId="32F129E4" w:rsidR="00D503E2" w:rsidRPr="003D3483" w:rsidRDefault="00D503E2" w:rsidP="004A2F75">
            <w:pPr>
              <w:spacing w:after="0" w:line="240" w:lineRule="auto"/>
            </w:pPr>
            <w:r w:rsidRPr="0050303E">
              <w:rPr>
                <w:rFonts w:asciiTheme="minorHAnsi" w:hAnsiTheme="minorHAnsi" w:cstheme="minorHAnsi"/>
                <w:color w:val="auto"/>
                <w:sz w:val="22"/>
                <w:szCs w:val="22"/>
              </w:rPr>
              <w:t xml:space="preserve">In KS2 writing, 17% of disadvantaged students reached the expected standard, </w:t>
            </w:r>
            <w:r>
              <w:rPr>
                <w:rFonts w:asciiTheme="minorHAnsi" w:hAnsiTheme="minorHAnsi" w:cstheme="minorHAnsi"/>
                <w:color w:val="auto"/>
                <w:sz w:val="22"/>
                <w:szCs w:val="22"/>
              </w:rPr>
              <w:t>which shows no improvement (0%) on 21-22.  This is a priority for the academy improvement plan.</w:t>
            </w:r>
          </w:p>
          <w:p w14:paraId="566D9A65" w14:textId="299B9B25" w:rsidR="00D503E2" w:rsidRPr="0050303E" w:rsidRDefault="00D503E2" w:rsidP="004A2F75">
            <w:pPr>
              <w:spacing w:after="0" w:line="240" w:lineRule="auto"/>
              <w:rPr>
                <w:rFonts w:asciiTheme="minorHAnsi" w:hAnsiTheme="minorHAnsi" w:cstheme="minorHAnsi"/>
                <w:color w:val="auto"/>
                <w:sz w:val="22"/>
                <w:szCs w:val="22"/>
              </w:rPr>
            </w:pPr>
            <w:r w:rsidRPr="0050303E">
              <w:rPr>
                <w:rFonts w:asciiTheme="minorHAnsi" w:hAnsiTheme="minorHAnsi" w:cstheme="minorHAnsi"/>
                <w:color w:val="auto"/>
                <w:sz w:val="22"/>
                <w:szCs w:val="22"/>
              </w:rPr>
              <w:t xml:space="preserve">In KS2 maths, 86% of disadvantaged students reached the expected standard, </w:t>
            </w:r>
            <w:r>
              <w:rPr>
                <w:rFonts w:asciiTheme="minorHAnsi" w:hAnsiTheme="minorHAnsi" w:cstheme="minorHAnsi"/>
                <w:color w:val="auto"/>
                <w:sz w:val="22"/>
                <w:szCs w:val="22"/>
              </w:rPr>
              <w:t>which is a huge improvement (53%) on 21-22.</w:t>
            </w:r>
          </w:p>
          <w:p w14:paraId="1D020E7A" w14:textId="40013239" w:rsidR="00D503E2" w:rsidRPr="0050303E" w:rsidRDefault="00D503E2" w:rsidP="00463BB3">
            <w:pPr>
              <w:spacing w:after="0" w:line="240" w:lineRule="auto"/>
              <w:rPr>
                <w:rFonts w:asciiTheme="minorHAnsi" w:hAnsiTheme="minorHAnsi" w:cstheme="minorHAnsi"/>
                <w:color w:val="auto"/>
                <w:sz w:val="22"/>
                <w:szCs w:val="22"/>
              </w:rPr>
            </w:pPr>
            <w:r w:rsidRPr="00A74322">
              <w:rPr>
                <w:rFonts w:asciiTheme="minorHAnsi" w:hAnsiTheme="minorHAnsi" w:cstheme="minorHAnsi"/>
                <w:color w:val="1F497D" w:themeColor="text2"/>
                <w:sz w:val="22"/>
                <w:szCs w:val="22"/>
              </w:rPr>
              <w:t>(caution must be taken with results due to small cohorts)</w:t>
            </w:r>
          </w:p>
        </w:tc>
        <w:tc>
          <w:tcPr>
            <w:tcW w:w="4253" w:type="dxa"/>
          </w:tcPr>
          <w:p w14:paraId="58F1058E" w14:textId="501703EE" w:rsidR="00D503E2" w:rsidRDefault="00A27B41" w:rsidP="00463BB3">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33% of disadvantaged children achieved </w:t>
            </w:r>
            <w:r w:rsidR="00BC39F9">
              <w:rPr>
                <w:rFonts w:asciiTheme="minorHAnsi" w:hAnsiTheme="minorHAnsi" w:cstheme="minorHAnsi"/>
                <w:color w:val="auto"/>
                <w:sz w:val="22"/>
                <w:szCs w:val="22"/>
              </w:rPr>
              <w:t xml:space="preserve">a GLD in 23-24 this is decrease.  This cohort of children has 55% SEND and 3 EHCPs which has a significant impact on achievement. </w:t>
            </w:r>
          </w:p>
          <w:p w14:paraId="4D7B94EB" w14:textId="77777777" w:rsidR="003208A8" w:rsidRDefault="003208A8" w:rsidP="00463BB3">
            <w:pPr>
              <w:spacing w:after="0" w:line="240" w:lineRule="auto"/>
              <w:rPr>
                <w:rFonts w:asciiTheme="minorHAnsi" w:hAnsiTheme="minorHAnsi" w:cstheme="minorHAnsi"/>
                <w:color w:val="auto"/>
                <w:sz w:val="22"/>
                <w:szCs w:val="22"/>
              </w:rPr>
            </w:pPr>
          </w:p>
          <w:p w14:paraId="1C060E2C" w14:textId="7A1A47E8" w:rsidR="003208A8" w:rsidRDefault="005A2A7B" w:rsidP="00463BB3">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In KS2 reading</w:t>
            </w:r>
            <w:r w:rsidR="006E20F4">
              <w:rPr>
                <w:rFonts w:asciiTheme="minorHAnsi" w:hAnsiTheme="minorHAnsi" w:cstheme="minorHAnsi"/>
                <w:color w:val="auto"/>
                <w:sz w:val="22"/>
                <w:szCs w:val="22"/>
              </w:rPr>
              <w:t>, 59% of dis</w:t>
            </w:r>
            <w:r w:rsidR="00951E14">
              <w:rPr>
                <w:rFonts w:asciiTheme="minorHAnsi" w:hAnsiTheme="minorHAnsi" w:cstheme="minorHAnsi"/>
                <w:color w:val="auto"/>
                <w:sz w:val="22"/>
                <w:szCs w:val="22"/>
              </w:rPr>
              <w:t xml:space="preserve">advantaged students reached </w:t>
            </w:r>
            <w:r w:rsidR="00DF1A86">
              <w:rPr>
                <w:rFonts w:asciiTheme="minorHAnsi" w:hAnsiTheme="minorHAnsi" w:cstheme="minorHAnsi"/>
                <w:color w:val="auto"/>
                <w:sz w:val="22"/>
                <w:szCs w:val="22"/>
              </w:rPr>
              <w:t>the expected standard and</w:t>
            </w:r>
            <w:r w:rsidR="00193889">
              <w:rPr>
                <w:rFonts w:asciiTheme="minorHAnsi" w:hAnsiTheme="minorHAnsi" w:cstheme="minorHAnsi"/>
                <w:color w:val="auto"/>
                <w:sz w:val="22"/>
                <w:szCs w:val="22"/>
              </w:rPr>
              <w:t xml:space="preserve"> 17% achieved GDS.</w:t>
            </w:r>
          </w:p>
          <w:p w14:paraId="40ADF91A" w14:textId="77777777" w:rsidR="00193889" w:rsidRDefault="00193889" w:rsidP="00463BB3">
            <w:pPr>
              <w:spacing w:after="0" w:line="240" w:lineRule="auto"/>
              <w:rPr>
                <w:rFonts w:asciiTheme="minorHAnsi" w:hAnsiTheme="minorHAnsi" w:cstheme="minorHAnsi"/>
                <w:color w:val="auto"/>
                <w:sz w:val="22"/>
                <w:szCs w:val="22"/>
              </w:rPr>
            </w:pPr>
          </w:p>
          <w:p w14:paraId="6D78E03D" w14:textId="77777777" w:rsidR="00193889" w:rsidRDefault="00193889" w:rsidP="00463BB3">
            <w:pPr>
              <w:spacing w:after="0" w:line="240" w:lineRule="auto"/>
              <w:rPr>
                <w:rFonts w:asciiTheme="minorHAnsi" w:hAnsiTheme="minorHAnsi" w:cstheme="minorHAnsi"/>
                <w:color w:val="auto"/>
                <w:sz w:val="22"/>
                <w:szCs w:val="22"/>
              </w:rPr>
            </w:pPr>
          </w:p>
          <w:p w14:paraId="0D0AB26E" w14:textId="0E5EB9A1" w:rsidR="00193889" w:rsidRDefault="005D40EB" w:rsidP="00463BB3">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In KS2 writing, 50% of dis</w:t>
            </w:r>
            <w:r w:rsidR="009B7E4E">
              <w:rPr>
                <w:rFonts w:asciiTheme="minorHAnsi" w:hAnsiTheme="minorHAnsi" w:cstheme="minorHAnsi"/>
                <w:color w:val="auto"/>
                <w:sz w:val="22"/>
                <w:szCs w:val="22"/>
              </w:rPr>
              <w:t>advantaged students reached expected standard</w:t>
            </w:r>
            <w:r w:rsidR="00AD74FB">
              <w:rPr>
                <w:rFonts w:asciiTheme="minorHAnsi" w:hAnsiTheme="minorHAnsi" w:cstheme="minorHAnsi"/>
                <w:color w:val="auto"/>
                <w:sz w:val="22"/>
                <w:szCs w:val="22"/>
              </w:rPr>
              <w:t xml:space="preserve"> which is an improvement of 33% on 22-23 data. </w:t>
            </w:r>
            <w:r w:rsidR="00C07E37">
              <w:rPr>
                <w:rFonts w:asciiTheme="minorHAnsi" w:hAnsiTheme="minorHAnsi" w:cstheme="minorHAnsi"/>
                <w:color w:val="auto"/>
                <w:sz w:val="22"/>
                <w:szCs w:val="22"/>
              </w:rPr>
              <w:t xml:space="preserve">This continues to be a priority on the </w:t>
            </w:r>
            <w:r w:rsidR="001B480D">
              <w:rPr>
                <w:rFonts w:asciiTheme="minorHAnsi" w:hAnsiTheme="minorHAnsi" w:cstheme="minorHAnsi"/>
                <w:color w:val="auto"/>
                <w:sz w:val="22"/>
                <w:szCs w:val="22"/>
              </w:rPr>
              <w:t>academy</w:t>
            </w:r>
            <w:r w:rsidR="00C07E37">
              <w:rPr>
                <w:rFonts w:asciiTheme="minorHAnsi" w:hAnsiTheme="minorHAnsi" w:cstheme="minorHAnsi"/>
                <w:color w:val="auto"/>
                <w:sz w:val="22"/>
                <w:szCs w:val="22"/>
              </w:rPr>
              <w:t xml:space="preserve"> </w:t>
            </w:r>
            <w:r w:rsidR="001B480D">
              <w:rPr>
                <w:rFonts w:asciiTheme="minorHAnsi" w:hAnsiTheme="minorHAnsi" w:cstheme="minorHAnsi"/>
                <w:color w:val="auto"/>
                <w:sz w:val="22"/>
                <w:szCs w:val="22"/>
              </w:rPr>
              <w:t>improvement</w:t>
            </w:r>
            <w:r w:rsidR="00C07E37">
              <w:rPr>
                <w:rFonts w:asciiTheme="minorHAnsi" w:hAnsiTheme="minorHAnsi" w:cstheme="minorHAnsi"/>
                <w:color w:val="auto"/>
                <w:sz w:val="22"/>
                <w:szCs w:val="22"/>
              </w:rPr>
              <w:t xml:space="preserve"> pln. </w:t>
            </w:r>
          </w:p>
          <w:p w14:paraId="73876BA5" w14:textId="609F9E99" w:rsidR="00CB0B30" w:rsidRDefault="00CB0B30" w:rsidP="00463BB3">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In KS2 maths, 68% of </w:t>
            </w:r>
            <w:r w:rsidR="00FC312F">
              <w:rPr>
                <w:rFonts w:asciiTheme="minorHAnsi" w:hAnsiTheme="minorHAnsi" w:cstheme="minorHAnsi"/>
                <w:color w:val="auto"/>
                <w:sz w:val="22"/>
                <w:szCs w:val="22"/>
              </w:rPr>
              <w:t>disadvantaged students re</w:t>
            </w:r>
            <w:r w:rsidR="007A2A19">
              <w:rPr>
                <w:rFonts w:asciiTheme="minorHAnsi" w:hAnsiTheme="minorHAnsi" w:cstheme="minorHAnsi"/>
                <w:color w:val="auto"/>
                <w:sz w:val="22"/>
                <w:szCs w:val="22"/>
              </w:rPr>
              <w:t xml:space="preserve">ached </w:t>
            </w:r>
            <w:r w:rsidR="003B2E2A">
              <w:rPr>
                <w:rFonts w:asciiTheme="minorHAnsi" w:hAnsiTheme="minorHAnsi" w:cstheme="minorHAnsi"/>
                <w:color w:val="auto"/>
                <w:sz w:val="22"/>
                <w:szCs w:val="22"/>
              </w:rPr>
              <w:t xml:space="preserve">the expected </w:t>
            </w:r>
            <w:r w:rsidR="00946CD5">
              <w:rPr>
                <w:rFonts w:asciiTheme="minorHAnsi" w:hAnsiTheme="minorHAnsi" w:cstheme="minorHAnsi"/>
                <w:color w:val="auto"/>
                <w:sz w:val="22"/>
                <w:szCs w:val="22"/>
              </w:rPr>
              <w:t>and 8% of them achieved GDS.</w:t>
            </w:r>
          </w:p>
          <w:p w14:paraId="6084F88A" w14:textId="77777777" w:rsidR="00946CD5" w:rsidRDefault="00946CD5" w:rsidP="00463BB3">
            <w:pPr>
              <w:spacing w:after="0" w:line="240" w:lineRule="auto"/>
              <w:rPr>
                <w:rFonts w:asciiTheme="minorHAnsi" w:hAnsiTheme="minorHAnsi" w:cstheme="minorHAnsi"/>
                <w:color w:val="auto"/>
                <w:sz w:val="22"/>
                <w:szCs w:val="22"/>
              </w:rPr>
            </w:pPr>
          </w:p>
          <w:p w14:paraId="083492D3" w14:textId="77777777" w:rsidR="007D795F" w:rsidRDefault="007D795F" w:rsidP="00463BB3">
            <w:pPr>
              <w:spacing w:after="0" w:line="240" w:lineRule="auto"/>
              <w:rPr>
                <w:rFonts w:asciiTheme="minorHAnsi" w:hAnsiTheme="minorHAnsi" w:cstheme="minorHAnsi"/>
                <w:color w:val="auto"/>
                <w:sz w:val="22"/>
                <w:szCs w:val="22"/>
              </w:rPr>
            </w:pPr>
          </w:p>
          <w:p w14:paraId="25F2DAD0" w14:textId="5AFD7749" w:rsidR="007D795F" w:rsidRPr="0050303E" w:rsidRDefault="007D795F" w:rsidP="00463BB3">
            <w:pPr>
              <w:spacing w:after="0" w:line="240" w:lineRule="auto"/>
              <w:rPr>
                <w:rFonts w:asciiTheme="minorHAnsi" w:hAnsiTheme="minorHAnsi" w:cstheme="minorHAnsi"/>
                <w:color w:val="auto"/>
                <w:sz w:val="22"/>
                <w:szCs w:val="22"/>
              </w:rPr>
            </w:pPr>
          </w:p>
        </w:tc>
      </w:tr>
      <w:tr w:rsidR="00D503E2" w14:paraId="3F624AFF" w14:textId="1D5BA6F6" w:rsidTr="00D503E2">
        <w:tc>
          <w:tcPr>
            <w:tcW w:w="2405" w:type="dxa"/>
          </w:tcPr>
          <w:p w14:paraId="4E4DC063" w14:textId="2BDE14B1" w:rsidR="00D503E2" w:rsidRDefault="00D503E2" w:rsidP="0077105D">
            <w:pPr>
              <w:pStyle w:val="TableHeader"/>
              <w:jc w:val="left"/>
              <w:rPr>
                <w:rFonts w:asciiTheme="minorHAnsi" w:hAnsiTheme="minorHAnsi" w:cstheme="minorHAnsi"/>
              </w:rPr>
            </w:pPr>
            <w:r w:rsidRPr="00BF0BB4">
              <w:rPr>
                <w:rFonts w:asciiTheme="minorHAnsi" w:hAnsiTheme="minorHAnsi" w:cstheme="minorHAnsi"/>
                <w:b w:val="0"/>
                <w:color w:val="auto"/>
                <w:sz w:val="22"/>
                <w:szCs w:val="22"/>
              </w:rPr>
              <w:t>To improve the attendance and punctuality of disadvantaged children.</w:t>
            </w:r>
          </w:p>
        </w:tc>
        <w:tc>
          <w:tcPr>
            <w:tcW w:w="4252" w:type="dxa"/>
          </w:tcPr>
          <w:p w14:paraId="26F82E86" w14:textId="36F0FC0C" w:rsidR="00D503E2" w:rsidRPr="00DA24BF" w:rsidRDefault="00D503E2" w:rsidP="00463BB3">
            <w:pPr>
              <w:spacing w:after="0" w:line="240" w:lineRule="auto"/>
              <w:rPr>
                <w:rFonts w:asciiTheme="minorHAnsi" w:hAnsiTheme="minorHAnsi" w:cstheme="minorHAnsi"/>
                <w:color w:val="auto"/>
                <w:sz w:val="22"/>
                <w:szCs w:val="22"/>
              </w:rPr>
            </w:pPr>
            <w:r w:rsidRPr="00DA24BF">
              <w:rPr>
                <w:rFonts w:asciiTheme="minorHAnsi" w:hAnsiTheme="minorHAnsi" w:cstheme="minorHAnsi"/>
                <w:color w:val="auto"/>
                <w:sz w:val="22"/>
                <w:szCs w:val="22"/>
              </w:rPr>
              <w:t xml:space="preserve">Disadvantaged attendance is </w:t>
            </w:r>
            <w:r w:rsidRPr="00010DD0">
              <w:rPr>
                <w:rFonts w:asciiTheme="minorHAnsi" w:hAnsiTheme="minorHAnsi" w:cstheme="minorHAnsi"/>
                <w:color w:val="auto"/>
                <w:sz w:val="22"/>
                <w:szCs w:val="22"/>
              </w:rPr>
              <w:t xml:space="preserve">93.9%, </w:t>
            </w:r>
            <w:r w:rsidRPr="00DA24BF">
              <w:rPr>
                <w:rFonts w:asciiTheme="minorHAnsi" w:hAnsiTheme="minorHAnsi" w:cstheme="minorHAnsi"/>
                <w:color w:val="auto"/>
                <w:sz w:val="22"/>
                <w:szCs w:val="22"/>
              </w:rPr>
              <w:t xml:space="preserve">compared to </w:t>
            </w:r>
            <w:r w:rsidRPr="00010DD0">
              <w:rPr>
                <w:rFonts w:asciiTheme="minorHAnsi" w:hAnsiTheme="minorHAnsi" w:cstheme="minorHAnsi"/>
                <w:color w:val="auto"/>
                <w:sz w:val="22"/>
                <w:szCs w:val="22"/>
              </w:rPr>
              <w:t xml:space="preserve">94.7% </w:t>
            </w:r>
            <w:r w:rsidRPr="00DA24BF">
              <w:rPr>
                <w:rFonts w:asciiTheme="minorHAnsi" w:hAnsiTheme="minorHAnsi" w:cstheme="minorHAnsi"/>
                <w:color w:val="auto"/>
                <w:sz w:val="22"/>
                <w:szCs w:val="22"/>
              </w:rPr>
              <w:t>for non-disadvantaged</w:t>
            </w:r>
            <w:r>
              <w:rPr>
                <w:rFonts w:asciiTheme="minorHAnsi" w:hAnsiTheme="minorHAnsi" w:cstheme="minorHAnsi"/>
                <w:color w:val="auto"/>
                <w:sz w:val="22"/>
                <w:szCs w:val="22"/>
              </w:rPr>
              <w:t xml:space="preserve"> a difference of -0.8% in 21/22.</w:t>
            </w:r>
          </w:p>
          <w:p w14:paraId="17DA7B32" w14:textId="6ECD7F65" w:rsidR="00D503E2" w:rsidRDefault="00D503E2" w:rsidP="00463BB3">
            <w:pPr>
              <w:spacing w:after="0" w:line="240" w:lineRule="auto"/>
              <w:rPr>
                <w:rFonts w:asciiTheme="minorHAnsi" w:hAnsiTheme="minorHAnsi" w:cstheme="minorHAnsi"/>
              </w:rPr>
            </w:pPr>
          </w:p>
        </w:tc>
        <w:tc>
          <w:tcPr>
            <w:tcW w:w="4253" w:type="dxa"/>
          </w:tcPr>
          <w:p w14:paraId="66615B4F" w14:textId="0D783221" w:rsidR="00D503E2" w:rsidRDefault="00D503E2" w:rsidP="00463BB3">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A slight decline</w:t>
            </w:r>
            <w:r w:rsidRPr="00CC133D">
              <w:rPr>
                <w:rFonts w:asciiTheme="minorHAnsi" w:hAnsiTheme="minorHAnsi" w:cstheme="minorHAnsi"/>
                <w:color w:val="auto"/>
                <w:sz w:val="22"/>
                <w:szCs w:val="22"/>
              </w:rPr>
              <w:t xml:space="preserve"> in attendance </w:t>
            </w:r>
            <w:r>
              <w:rPr>
                <w:rFonts w:asciiTheme="minorHAnsi" w:hAnsiTheme="minorHAnsi" w:cstheme="minorHAnsi"/>
                <w:color w:val="auto"/>
                <w:sz w:val="22"/>
                <w:szCs w:val="22"/>
              </w:rPr>
              <w:t>was</w:t>
            </w:r>
            <w:r w:rsidRPr="00CC133D">
              <w:rPr>
                <w:rFonts w:asciiTheme="minorHAnsi" w:hAnsiTheme="minorHAnsi" w:cstheme="minorHAnsi"/>
                <w:color w:val="auto"/>
                <w:sz w:val="22"/>
                <w:szCs w:val="22"/>
              </w:rPr>
              <w:t xml:space="preserve"> seen </w:t>
            </w:r>
            <w:r>
              <w:rPr>
                <w:rFonts w:asciiTheme="minorHAnsi" w:hAnsiTheme="minorHAnsi" w:cstheme="minorHAnsi"/>
                <w:color w:val="auto"/>
                <w:sz w:val="22"/>
                <w:szCs w:val="22"/>
              </w:rPr>
              <w:t>towards</w:t>
            </w:r>
            <w:r w:rsidRPr="00CC133D">
              <w:rPr>
                <w:rFonts w:asciiTheme="minorHAnsi" w:hAnsiTheme="minorHAnsi" w:cstheme="minorHAnsi"/>
                <w:color w:val="auto"/>
                <w:sz w:val="22"/>
                <w:szCs w:val="22"/>
              </w:rPr>
              <w:t xml:space="preserve"> the </w:t>
            </w:r>
            <w:r>
              <w:rPr>
                <w:rFonts w:asciiTheme="minorHAnsi" w:hAnsiTheme="minorHAnsi" w:cstheme="minorHAnsi"/>
                <w:color w:val="auto"/>
                <w:sz w:val="22"/>
                <w:szCs w:val="22"/>
              </w:rPr>
              <w:t>end of school</w:t>
            </w:r>
            <w:r w:rsidRPr="00CC133D">
              <w:rPr>
                <w:rFonts w:asciiTheme="minorHAnsi" w:hAnsiTheme="minorHAnsi" w:cstheme="minorHAnsi"/>
                <w:color w:val="auto"/>
                <w:sz w:val="22"/>
                <w:szCs w:val="22"/>
              </w:rPr>
              <w:t xml:space="preserve"> year. </w:t>
            </w:r>
          </w:p>
          <w:p w14:paraId="450400DD" w14:textId="02AFDEA1" w:rsidR="00D503E2" w:rsidRPr="00CC133D" w:rsidRDefault="00D503E2" w:rsidP="00463BB3">
            <w:pPr>
              <w:spacing w:after="0" w:line="240" w:lineRule="auto"/>
              <w:rPr>
                <w:rFonts w:asciiTheme="minorHAnsi" w:hAnsiTheme="minorHAnsi" w:cstheme="minorHAnsi"/>
                <w:color w:val="auto"/>
                <w:sz w:val="22"/>
                <w:szCs w:val="22"/>
              </w:rPr>
            </w:pPr>
            <w:r w:rsidRPr="00CC133D">
              <w:rPr>
                <w:rFonts w:asciiTheme="minorHAnsi" w:hAnsiTheme="minorHAnsi" w:cstheme="minorHAnsi"/>
                <w:color w:val="auto"/>
                <w:sz w:val="22"/>
                <w:szCs w:val="22"/>
              </w:rPr>
              <w:t xml:space="preserve">Disadvantaged attendance </w:t>
            </w:r>
            <w:r>
              <w:rPr>
                <w:rFonts w:asciiTheme="minorHAnsi" w:hAnsiTheme="minorHAnsi" w:cstheme="minorHAnsi"/>
                <w:color w:val="auto"/>
                <w:sz w:val="22"/>
                <w:szCs w:val="22"/>
              </w:rPr>
              <w:t>decreased</w:t>
            </w:r>
            <w:r w:rsidRPr="00CC133D">
              <w:rPr>
                <w:rFonts w:asciiTheme="minorHAnsi" w:hAnsiTheme="minorHAnsi" w:cstheme="minorHAnsi"/>
                <w:color w:val="auto"/>
                <w:sz w:val="22"/>
                <w:szCs w:val="22"/>
              </w:rPr>
              <w:t xml:space="preserve"> to </w:t>
            </w:r>
            <w:r w:rsidRPr="00010DD0">
              <w:rPr>
                <w:rFonts w:asciiTheme="minorHAnsi" w:hAnsiTheme="minorHAnsi" w:cstheme="minorHAnsi"/>
                <w:color w:val="auto"/>
                <w:sz w:val="22"/>
                <w:szCs w:val="22"/>
              </w:rPr>
              <w:t>92.3% (-</w:t>
            </w:r>
            <w:r>
              <w:rPr>
                <w:rFonts w:asciiTheme="minorHAnsi" w:hAnsiTheme="minorHAnsi" w:cstheme="minorHAnsi"/>
                <w:color w:val="auto"/>
                <w:sz w:val="22"/>
                <w:szCs w:val="22"/>
              </w:rPr>
              <w:t>1.6</w:t>
            </w:r>
            <w:r w:rsidRPr="00010DD0">
              <w:rPr>
                <w:rFonts w:asciiTheme="minorHAnsi" w:hAnsiTheme="minorHAnsi" w:cstheme="minorHAnsi"/>
                <w:color w:val="auto"/>
                <w:sz w:val="22"/>
                <w:szCs w:val="22"/>
              </w:rPr>
              <w:t>%)</w:t>
            </w:r>
            <w:r>
              <w:rPr>
                <w:rFonts w:asciiTheme="minorHAnsi" w:hAnsiTheme="minorHAnsi" w:cstheme="minorHAnsi"/>
                <w:color w:val="auto"/>
                <w:sz w:val="22"/>
                <w:szCs w:val="22"/>
              </w:rPr>
              <w:t xml:space="preserve"> from 21/22.</w:t>
            </w:r>
          </w:p>
          <w:p w14:paraId="6213BD1F" w14:textId="77777777" w:rsidR="00D503E2" w:rsidRDefault="00D503E2" w:rsidP="00463BB3">
            <w:pPr>
              <w:spacing w:after="0" w:line="240" w:lineRule="auto"/>
              <w:rPr>
                <w:rFonts w:asciiTheme="minorHAnsi" w:hAnsiTheme="minorHAnsi" w:cstheme="minorHAnsi"/>
                <w:color w:val="auto"/>
                <w:sz w:val="22"/>
                <w:szCs w:val="22"/>
              </w:rPr>
            </w:pPr>
            <w:r w:rsidRPr="00CC133D">
              <w:rPr>
                <w:rFonts w:asciiTheme="minorHAnsi" w:hAnsiTheme="minorHAnsi" w:cstheme="minorHAnsi"/>
                <w:color w:val="auto"/>
                <w:sz w:val="22"/>
                <w:szCs w:val="22"/>
              </w:rPr>
              <w:t xml:space="preserve">The gap between disadvantaged students and their peers </w:t>
            </w:r>
            <w:r>
              <w:rPr>
                <w:rFonts w:asciiTheme="minorHAnsi" w:hAnsiTheme="minorHAnsi" w:cstheme="minorHAnsi"/>
                <w:color w:val="auto"/>
                <w:sz w:val="22"/>
                <w:szCs w:val="22"/>
              </w:rPr>
              <w:t>has widened from 0.8% to 1.4%)</w:t>
            </w:r>
            <w:r w:rsidRPr="00CC133D">
              <w:rPr>
                <w:rFonts w:asciiTheme="minorHAnsi" w:hAnsiTheme="minorHAnsi" w:cstheme="minorHAnsi"/>
                <w:color w:val="auto"/>
                <w:sz w:val="22"/>
                <w:szCs w:val="22"/>
              </w:rPr>
              <w:t xml:space="preserve"> </w:t>
            </w:r>
          </w:p>
          <w:p w14:paraId="33B4EFDA" w14:textId="15804DFF" w:rsidR="00D503E2" w:rsidRDefault="00D503E2" w:rsidP="00463BB3">
            <w:pPr>
              <w:spacing w:after="0" w:line="240" w:lineRule="auto"/>
              <w:rPr>
                <w:rFonts w:asciiTheme="minorHAnsi" w:hAnsiTheme="minorHAnsi" w:cstheme="minorHAnsi"/>
              </w:rPr>
            </w:pPr>
            <w:r>
              <w:rPr>
                <w:rFonts w:asciiTheme="minorHAnsi" w:hAnsiTheme="minorHAnsi" w:cstheme="minorHAnsi"/>
              </w:rPr>
              <w:t>It must be noted that this was a national downward trend and that school figures were higher than national figures of 88.6% disadvantaged and 93.8% non-disadvantaged.</w:t>
            </w:r>
          </w:p>
        </w:tc>
        <w:tc>
          <w:tcPr>
            <w:tcW w:w="4253" w:type="dxa"/>
          </w:tcPr>
          <w:p w14:paraId="685CBFEC" w14:textId="265F8F3A" w:rsidR="00946CD5" w:rsidRPr="00776E86" w:rsidRDefault="00946CD5" w:rsidP="00946CD5">
            <w:pPr>
              <w:spacing w:after="0" w:line="240" w:lineRule="auto"/>
              <w:rPr>
                <w:rFonts w:asciiTheme="minorHAnsi" w:hAnsiTheme="minorHAnsi" w:cstheme="minorHAnsi"/>
                <w:color w:val="auto"/>
                <w:sz w:val="22"/>
                <w:szCs w:val="22"/>
              </w:rPr>
            </w:pPr>
            <w:r w:rsidRPr="00776E86">
              <w:rPr>
                <w:rFonts w:asciiTheme="minorHAnsi" w:hAnsiTheme="minorHAnsi" w:cstheme="minorHAnsi"/>
                <w:color w:val="auto"/>
                <w:sz w:val="22"/>
                <w:szCs w:val="22"/>
              </w:rPr>
              <w:t xml:space="preserve">A slight </w:t>
            </w:r>
            <w:r w:rsidR="00C40748" w:rsidRPr="00776E86">
              <w:rPr>
                <w:rFonts w:asciiTheme="minorHAnsi" w:hAnsiTheme="minorHAnsi" w:cstheme="minorHAnsi"/>
                <w:color w:val="auto"/>
                <w:sz w:val="22"/>
                <w:szCs w:val="22"/>
              </w:rPr>
              <w:t>increase</w:t>
            </w:r>
            <w:r w:rsidRPr="00776E86">
              <w:rPr>
                <w:rFonts w:asciiTheme="minorHAnsi" w:hAnsiTheme="minorHAnsi" w:cstheme="minorHAnsi"/>
                <w:color w:val="auto"/>
                <w:sz w:val="22"/>
                <w:szCs w:val="22"/>
              </w:rPr>
              <w:t xml:space="preserve"> in attendance was seen towards the end of school year. </w:t>
            </w:r>
          </w:p>
          <w:p w14:paraId="493BBF83" w14:textId="07DB396A" w:rsidR="00946CD5" w:rsidRPr="00776E86" w:rsidRDefault="00946CD5" w:rsidP="00946CD5">
            <w:pPr>
              <w:spacing w:after="0" w:line="240" w:lineRule="auto"/>
              <w:rPr>
                <w:rFonts w:asciiTheme="minorHAnsi" w:hAnsiTheme="minorHAnsi" w:cstheme="minorHAnsi"/>
                <w:color w:val="auto"/>
                <w:sz w:val="22"/>
                <w:szCs w:val="22"/>
              </w:rPr>
            </w:pPr>
            <w:r w:rsidRPr="00776E86">
              <w:rPr>
                <w:rFonts w:asciiTheme="minorHAnsi" w:hAnsiTheme="minorHAnsi" w:cstheme="minorHAnsi"/>
                <w:color w:val="auto"/>
                <w:sz w:val="22"/>
                <w:szCs w:val="22"/>
              </w:rPr>
              <w:t xml:space="preserve">Disadvantaged attendance </w:t>
            </w:r>
            <w:r w:rsidR="00776E86" w:rsidRPr="00776E86">
              <w:rPr>
                <w:rFonts w:asciiTheme="minorHAnsi" w:hAnsiTheme="minorHAnsi" w:cstheme="minorHAnsi"/>
                <w:color w:val="auto"/>
                <w:sz w:val="22"/>
                <w:szCs w:val="22"/>
              </w:rPr>
              <w:t>in</w:t>
            </w:r>
            <w:r w:rsidRPr="00776E86">
              <w:rPr>
                <w:rFonts w:asciiTheme="minorHAnsi" w:hAnsiTheme="minorHAnsi" w:cstheme="minorHAnsi"/>
                <w:color w:val="auto"/>
                <w:sz w:val="22"/>
                <w:szCs w:val="22"/>
              </w:rPr>
              <w:t>creased to 92.</w:t>
            </w:r>
            <w:r w:rsidR="00C40748" w:rsidRPr="00776E86">
              <w:rPr>
                <w:rFonts w:asciiTheme="minorHAnsi" w:hAnsiTheme="minorHAnsi" w:cstheme="minorHAnsi"/>
                <w:color w:val="auto"/>
                <w:sz w:val="22"/>
                <w:szCs w:val="22"/>
              </w:rPr>
              <w:t>5</w:t>
            </w:r>
            <w:r w:rsidRPr="00776E86">
              <w:rPr>
                <w:rFonts w:asciiTheme="minorHAnsi" w:hAnsiTheme="minorHAnsi" w:cstheme="minorHAnsi"/>
                <w:color w:val="auto"/>
                <w:sz w:val="22"/>
                <w:szCs w:val="22"/>
              </w:rPr>
              <w:t>% (</w:t>
            </w:r>
            <w:r w:rsidR="00776E86" w:rsidRPr="00776E86">
              <w:rPr>
                <w:rFonts w:asciiTheme="minorHAnsi" w:hAnsiTheme="minorHAnsi" w:cstheme="minorHAnsi"/>
                <w:color w:val="auto"/>
                <w:sz w:val="22"/>
                <w:szCs w:val="22"/>
              </w:rPr>
              <w:t>+0</w:t>
            </w:r>
            <w:r w:rsidRPr="00776E86">
              <w:rPr>
                <w:rFonts w:asciiTheme="minorHAnsi" w:hAnsiTheme="minorHAnsi" w:cstheme="minorHAnsi"/>
                <w:color w:val="auto"/>
                <w:sz w:val="22"/>
                <w:szCs w:val="22"/>
              </w:rPr>
              <w:t>.</w:t>
            </w:r>
            <w:r w:rsidR="00776E86" w:rsidRPr="00776E86">
              <w:rPr>
                <w:rFonts w:asciiTheme="minorHAnsi" w:hAnsiTheme="minorHAnsi" w:cstheme="minorHAnsi"/>
                <w:color w:val="auto"/>
                <w:sz w:val="22"/>
                <w:szCs w:val="22"/>
              </w:rPr>
              <w:t>2</w:t>
            </w:r>
            <w:r w:rsidRPr="00776E86">
              <w:rPr>
                <w:rFonts w:asciiTheme="minorHAnsi" w:hAnsiTheme="minorHAnsi" w:cstheme="minorHAnsi"/>
                <w:color w:val="auto"/>
                <w:sz w:val="22"/>
                <w:szCs w:val="22"/>
              </w:rPr>
              <w:t>%) from 2</w:t>
            </w:r>
            <w:r w:rsidR="00776E86" w:rsidRPr="00776E86">
              <w:rPr>
                <w:rFonts w:asciiTheme="minorHAnsi" w:hAnsiTheme="minorHAnsi" w:cstheme="minorHAnsi"/>
                <w:color w:val="auto"/>
                <w:sz w:val="22"/>
                <w:szCs w:val="22"/>
              </w:rPr>
              <w:t>2</w:t>
            </w:r>
            <w:r w:rsidRPr="00776E86">
              <w:rPr>
                <w:rFonts w:asciiTheme="minorHAnsi" w:hAnsiTheme="minorHAnsi" w:cstheme="minorHAnsi"/>
                <w:color w:val="auto"/>
                <w:sz w:val="22"/>
                <w:szCs w:val="22"/>
              </w:rPr>
              <w:t>/2</w:t>
            </w:r>
            <w:r w:rsidR="00776E86" w:rsidRPr="00776E86">
              <w:rPr>
                <w:rFonts w:asciiTheme="minorHAnsi" w:hAnsiTheme="minorHAnsi" w:cstheme="minorHAnsi"/>
                <w:color w:val="auto"/>
                <w:sz w:val="22"/>
                <w:szCs w:val="22"/>
              </w:rPr>
              <w:t>3</w:t>
            </w:r>
            <w:r w:rsidRPr="00776E86">
              <w:rPr>
                <w:rFonts w:asciiTheme="minorHAnsi" w:hAnsiTheme="minorHAnsi" w:cstheme="minorHAnsi"/>
                <w:color w:val="auto"/>
                <w:sz w:val="22"/>
                <w:szCs w:val="22"/>
              </w:rPr>
              <w:t>.</w:t>
            </w:r>
          </w:p>
          <w:p w14:paraId="53F9A228" w14:textId="77777777" w:rsidR="00946CD5" w:rsidRDefault="00946CD5" w:rsidP="00946CD5">
            <w:pPr>
              <w:spacing w:after="0" w:line="240" w:lineRule="auto"/>
              <w:rPr>
                <w:rFonts w:asciiTheme="minorHAnsi" w:hAnsiTheme="minorHAnsi" w:cstheme="minorHAnsi"/>
                <w:color w:val="FF0000"/>
                <w:sz w:val="22"/>
                <w:szCs w:val="22"/>
              </w:rPr>
            </w:pPr>
          </w:p>
          <w:p w14:paraId="26BE78F1" w14:textId="6ACA74DA" w:rsidR="00946CD5" w:rsidRPr="00DE2CD6" w:rsidRDefault="00946CD5" w:rsidP="00946CD5">
            <w:pPr>
              <w:spacing w:after="0" w:line="240" w:lineRule="auto"/>
              <w:rPr>
                <w:rFonts w:asciiTheme="minorHAnsi" w:hAnsiTheme="minorHAnsi" w:cstheme="minorHAnsi"/>
                <w:color w:val="auto"/>
                <w:sz w:val="22"/>
                <w:szCs w:val="22"/>
              </w:rPr>
            </w:pPr>
            <w:r w:rsidRPr="00DE2CD6">
              <w:rPr>
                <w:rFonts w:asciiTheme="minorHAnsi" w:hAnsiTheme="minorHAnsi" w:cstheme="minorHAnsi"/>
                <w:color w:val="auto"/>
                <w:sz w:val="22"/>
                <w:szCs w:val="22"/>
              </w:rPr>
              <w:t xml:space="preserve">The gap between disadvantaged students and their peers has widened from </w:t>
            </w:r>
            <w:r w:rsidR="00FD4A96" w:rsidRPr="00DE2CD6">
              <w:rPr>
                <w:rFonts w:asciiTheme="minorHAnsi" w:hAnsiTheme="minorHAnsi" w:cstheme="minorHAnsi"/>
                <w:color w:val="auto"/>
                <w:sz w:val="22"/>
                <w:szCs w:val="22"/>
              </w:rPr>
              <w:t>1.4</w:t>
            </w:r>
            <w:r w:rsidRPr="00DE2CD6">
              <w:rPr>
                <w:rFonts w:asciiTheme="minorHAnsi" w:hAnsiTheme="minorHAnsi" w:cstheme="minorHAnsi"/>
                <w:color w:val="auto"/>
                <w:sz w:val="22"/>
                <w:szCs w:val="22"/>
              </w:rPr>
              <w:t xml:space="preserve">% to </w:t>
            </w:r>
            <w:r w:rsidR="00FD4A96" w:rsidRPr="00DE2CD6">
              <w:rPr>
                <w:rFonts w:asciiTheme="minorHAnsi" w:hAnsiTheme="minorHAnsi" w:cstheme="minorHAnsi"/>
                <w:color w:val="auto"/>
                <w:sz w:val="22"/>
                <w:szCs w:val="22"/>
              </w:rPr>
              <w:t>2</w:t>
            </w:r>
            <w:r w:rsidRPr="00DE2CD6">
              <w:rPr>
                <w:rFonts w:asciiTheme="minorHAnsi" w:hAnsiTheme="minorHAnsi" w:cstheme="minorHAnsi"/>
                <w:color w:val="auto"/>
                <w:sz w:val="22"/>
                <w:szCs w:val="22"/>
              </w:rPr>
              <w:t xml:space="preserve">.4%) </w:t>
            </w:r>
          </w:p>
          <w:p w14:paraId="6020EEF3" w14:textId="7A0D9845" w:rsidR="00D503E2" w:rsidRDefault="00946CD5" w:rsidP="00DE2CD6">
            <w:pPr>
              <w:spacing w:after="0" w:line="240" w:lineRule="auto"/>
              <w:rPr>
                <w:rFonts w:asciiTheme="minorHAnsi" w:hAnsiTheme="minorHAnsi" w:cstheme="minorHAnsi"/>
                <w:color w:val="auto"/>
                <w:sz w:val="22"/>
                <w:szCs w:val="22"/>
              </w:rPr>
            </w:pPr>
            <w:r w:rsidRPr="00DE2CD6">
              <w:rPr>
                <w:rFonts w:asciiTheme="minorHAnsi" w:hAnsiTheme="minorHAnsi" w:cstheme="minorHAnsi"/>
                <w:color w:val="auto"/>
              </w:rPr>
              <w:t>It must be noted that school figures were higher than national figures of 88.</w:t>
            </w:r>
            <w:r w:rsidR="005F4913" w:rsidRPr="00DE2CD6">
              <w:rPr>
                <w:rFonts w:asciiTheme="minorHAnsi" w:hAnsiTheme="minorHAnsi" w:cstheme="minorHAnsi"/>
                <w:color w:val="auto"/>
              </w:rPr>
              <w:t>9</w:t>
            </w:r>
            <w:r w:rsidRPr="00DE2CD6">
              <w:rPr>
                <w:rFonts w:asciiTheme="minorHAnsi" w:hAnsiTheme="minorHAnsi" w:cstheme="minorHAnsi"/>
                <w:color w:val="auto"/>
              </w:rPr>
              <w:t>% disadvantaged and 9</w:t>
            </w:r>
            <w:r w:rsidR="00D12FA1" w:rsidRPr="00DE2CD6">
              <w:rPr>
                <w:rFonts w:asciiTheme="minorHAnsi" w:hAnsiTheme="minorHAnsi" w:cstheme="minorHAnsi"/>
                <w:color w:val="auto"/>
              </w:rPr>
              <w:t>4</w:t>
            </w:r>
            <w:r w:rsidRPr="00DE2CD6">
              <w:rPr>
                <w:rFonts w:asciiTheme="minorHAnsi" w:hAnsiTheme="minorHAnsi" w:cstheme="minorHAnsi"/>
                <w:color w:val="auto"/>
              </w:rPr>
              <w:t>.</w:t>
            </w:r>
            <w:r w:rsidR="00D12FA1" w:rsidRPr="00DE2CD6">
              <w:rPr>
                <w:rFonts w:asciiTheme="minorHAnsi" w:hAnsiTheme="minorHAnsi" w:cstheme="minorHAnsi"/>
                <w:color w:val="auto"/>
              </w:rPr>
              <w:t>2</w:t>
            </w:r>
            <w:r w:rsidRPr="00DE2CD6">
              <w:rPr>
                <w:rFonts w:asciiTheme="minorHAnsi" w:hAnsiTheme="minorHAnsi" w:cstheme="minorHAnsi"/>
                <w:color w:val="auto"/>
              </w:rPr>
              <w:t>% non-disadvantaged.</w:t>
            </w:r>
          </w:p>
        </w:tc>
      </w:tr>
      <w:tr w:rsidR="00D503E2" w14:paraId="4D576AD7" w14:textId="7609B169" w:rsidTr="00D503E2">
        <w:tc>
          <w:tcPr>
            <w:tcW w:w="2405" w:type="dxa"/>
          </w:tcPr>
          <w:p w14:paraId="38E3F972" w14:textId="4DDABAFF" w:rsidR="00D503E2" w:rsidRDefault="00D503E2" w:rsidP="00463BB3">
            <w:pPr>
              <w:spacing w:after="0" w:line="240" w:lineRule="auto"/>
              <w:rPr>
                <w:rFonts w:asciiTheme="minorHAnsi" w:hAnsiTheme="minorHAnsi" w:cstheme="minorHAnsi"/>
              </w:rPr>
            </w:pPr>
            <w:r w:rsidRPr="00F672D8">
              <w:rPr>
                <w:rFonts w:asciiTheme="minorHAnsi" w:hAnsiTheme="minorHAnsi" w:cstheme="minorHAnsi"/>
                <w:color w:val="auto"/>
                <w:sz w:val="22"/>
                <w:szCs w:val="22"/>
              </w:rPr>
              <w:t xml:space="preserve">Increase opportunities and experiences for children – to raise confidence, self-esteem and resilience to raise aspirations </w:t>
            </w:r>
            <w:r w:rsidRPr="00F672D8">
              <w:rPr>
                <w:rFonts w:asciiTheme="minorHAnsi" w:hAnsiTheme="minorHAnsi" w:cstheme="minorHAnsi"/>
                <w:iCs/>
                <w:color w:val="auto"/>
                <w:sz w:val="22"/>
                <w:szCs w:val="22"/>
              </w:rPr>
              <w:t>due to limited wider experiences.</w:t>
            </w:r>
          </w:p>
        </w:tc>
        <w:tc>
          <w:tcPr>
            <w:tcW w:w="4252" w:type="dxa"/>
          </w:tcPr>
          <w:p w14:paraId="4786B3A9" w14:textId="77777777" w:rsidR="00D503E2" w:rsidRPr="00973CDE" w:rsidRDefault="00D503E2" w:rsidP="00463BB3">
            <w:pPr>
              <w:spacing w:after="0" w:line="240" w:lineRule="auto"/>
              <w:rPr>
                <w:rFonts w:asciiTheme="minorHAnsi" w:hAnsiTheme="minorHAnsi" w:cstheme="minorHAnsi"/>
                <w:iCs/>
                <w:color w:val="auto"/>
                <w:sz w:val="22"/>
                <w:szCs w:val="22"/>
              </w:rPr>
            </w:pPr>
            <w:r w:rsidRPr="00973CDE">
              <w:rPr>
                <w:rFonts w:asciiTheme="minorHAnsi" w:hAnsiTheme="minorHAnsi" w:cstheme="minorHAnsi"/>
                <w:color w:val="auto"/>
                <w:sz w:val="22"/>
                <w:szCs w:val="22"/>
              </w:rPr>
              <w:t xml:space="preserve">Disadvantaged children have higher levels of SEND where the category of need is identified as SEMH. </w:t>
            </w:r>
          </w:p>
          <w:p w14:paraId="1CE557F8" w14:textId="15A73D87" w:rsidR="00D503E2" w:rsidRDefault="00D503E2" w:rsidP="00463BB3">
            <w:pPr>
              <w:spacing w:after="0" w:line="240" w:lineRule="auto"/>
              <w:rPr>
                <w:rFonts w:asciiTheme="minorHAnsi" w:hAnsiTheme="minorHAnsi" w:cstheme="minorHAnsi"/>
              </w:rPr>
            </w:pPr>
            <w:r w:rsidRPr="00973CDE">
              <w:rPr>
                <w:rFonts w:asciiTheme="minorHAnsi" w:hAnsiTheme="minorHAnsi" w:cstheme="minorHAnsi"/>
                <w:color w:val="auto"/>
                <w:sz w:val="22"/>
                <w:szCs w:val="22"/>
              </w:rPr>
              <w:t xml:space="preserve">There is also a higher rate of social care involvement amongst our </w:t>
            </w:r>
            <w:r w:rsidRPr="00973CDE">
              <w:rPr>
                <w:rFonts w:asciiTheme="minorHAnsi" w:hAnsiTheme="minorHAnsi" w:cstheme="minorHAnsi"/>
                <w:iCs/>
                <w:color w:val="auto"/>
                <w:sz w:val="22"/>
                <w:szCs w:val="22"/>
              </w:rPr>
              <w:t>disadvantaged</w:t>
            </w:r>
            <w:r w:rsidRPr="00973CDE">
              <w:rPr>
                <w:rFonts w:asciiTheme="minorHAnsi" w:hAnsiTheme="minorHAnsi" w:cstheme="minorHAnsi"/>
                <w:color w:val="auto"/>
                <w:sz w:val="22"/>
                <w:szCs w:val="22"/>
              </w:rPr>
              <w:t xml:space="preserve"> children; this correlates to range of emotional wellbeing issues.</w:t>
            </w:r>
          </w:p>
        </w:tc>
        <w:tc>
          <w:tcPr>
            <w:tcW w:w="4253" w:type="dxa"/>
          </w:tcPr>
          <w:p w14:paraId="44FF931C" w14:textId="6A61ACDA" w:rsidR="00D503E2" w:rsidRPr="00F31794" w:rsidRDefault="00D503E2" w:rsidP="00F31794">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 xml:space="preserve">Training for all staff on issues around Mental Health </w:t>
            </w:r>
          </w:p>
          <w:p w14:paraId="68435573" w14:textId="679464C5" w:rsidR="00D503E2" w:rsidRPr="00F31794" w:rsidRDefault="00D503E2" w:rsidP="00F31794">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Working with identified families to improve children’s attendance and punctuality.</w:t>
            </w:r>
          </w:p>
          <w:p w14:paraId="6725AC3E" w14:textId="7E38B4C9" w:rsidR="00D503E2" w:rsidRPr="00F31794" w:rsidRDefault="00D503E2" w:rsidP="00F31794">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Providing support for parents/carers</w:t>
            </w:r>
          </w:p>
          <w:p w14:paraId="4C6F7543" w14:textId="2C5CF6AB" w:rsidR="00D503E2" w:rsidRPr="00F31794" w:rsidRDefault="00D503E2" w:rsidP="00F31794">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Extended learning out of hours by providing after school provision</w:t>
            </w:r>
            <w:r>
              <w:rPr>
                <w:rFonts w:asciiTheme="minorHAnsi" w:hAnsiTheme="minorHAnsi" w:cstheme="minorHAnsi"/>
                <w:iCs/>
                <w:color w:val="auto"/>
                <w:sz w:val="22"/>
                <w:szCs w:val="22"/>
              </w:rPr>
              <w:t xml:space="preserve"> and booster sessions.</w:t>
            </w:r>
          </w:p>
          <w:p w14:paraId="6F48D114" w14:textId="77777777" w:rsidR="00D503E2" w:rsidRPr="00F31794" w:rsidRDefault="00D503E2" w:rsidP="00F31794">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 xml:space="preserve">Providing books for all children </w:t>
            </w:r>
          </w:p>
          <w:p w14:paraId="6186863C" w14:textId="77777777" w:rsidR="00D503E2" w:rsidRPr="00F31794" w:rsidRDefault="00D503E2" w:rsidP="00F31794">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 xml:space="preserve">Reduced costs for educational visits </w:t>
            </w:r>
          </w:p>
          <w:p w14:paraId="16D622C4" w14:textId="3BB3673B" w:rsidR="00D503E2" w:rsidRPr="00F31794" w:rsidRDefault="00D503E2" w:rsidP="00F31794">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Funded extra</w:t>
            </w:r>
            <w:r>
              <w:rPr>
                <w:rFonts w:asciiTheme="minorHAnsi" w:hAnsiTheme="minorHAnsi" w:cstheme="minorHAnsi"/>
                <w:iCs/>
                <w:color w:val="auto"/>
                <w:sz w:val="22"/>
                <w:szCs w:val="22"/>
              </w:rPr>
              <w:t xml:space="preserve"> - </w:t>
            </w:r>
            <w:r w:rsidRPr="00F31794">
              <w:rPr>
                <w:rFonts w:asciiTheme="minorHAnsi" w:hAnsiTheme="minorHAnsi" w:cstheme="minorHAnsi"/>
                <w:iCs/>
                <w:color w:val="auto"/>
                <w:sz w:val="22"/>
                <w:szCs w:val="22"/>
              </w:rPr>
              <w:t>curricular opportunities</w:t>
            </w:r>
          </w:p>
          <w:p w14:paraId="09A5AAB1" w14:textId="55DB0B9B" w:rsidR="00D503E2" w:rsidRDefault="00D503E2" w:rsidP="00437B92">
            <w:pPr>
              <w:shd w:val="clear" w:color="auto" w:fill="FFFFFF"/>
              <w:suppressAutoHyphens w:val="0"/>
              <w:spacing w:after="0" w:line="240" w:lineRule="auto"/>
              <w:rPr>
                <w:rFonts w:asciiTheme="minorHAnsi" w:hAnsiTheme="minorHAnsi" w:cstheme="minorHAnsi"/>
                <w:iCs/>
                <w:color w:val="auto"/>
                <w:sz w:val="22"/>
                <w:szCs w:val="22"/>
              </w:rPr>
            </w:pPr>
            <w:r w:rsidRPr="00F31794">
              <w:rPr>
                <w:rFonts w:asciiTheme="minorHAnsi" w:hAnsiTheme="minorHAnsi" w:cstheme="minorHAnsi"/>
                <w:iCs/>
                <w:color w:val="auto"/>
                <w:sz w:val="22"/>
                <w:szCs w:val="22"/>
              </w:rPr>
              <w:t>Externally provided programmes.</w:t>
            </w:r>
          </w:p>
          <w:p w14:paraId="31905453" w14:textId="32A32527" w:rsidR="00D503E2" w:rsidRDefault="00D503E2" w:rsidP="00B665E3">
            <w:pPr>
              <w:shd w:val="clear" w:color="auto" w:fill="FFFFFF"/>
              <w:suppressAutoHyphens w:val="0"/>
              <w:spacing w:after="0" w:line="240" w:lineRule="auto"/>
              <w:rPr>
                <w:rFonts w:asciiTheme="minorHAnsi" w:hAnsiTheme="minorHAnsi" w:cstheme="minorHAnsi"/>
                <w:iCs/>
                <w:color w:val="auto"/>
                <w:sz w:val="22"/>
                <w:szCs w:val="22"/>
              </w:rPr>
            </w:pPr>
            <w:r w:rsidRPr="00B665E3">
              <w:rPr>
                <w:rFonts w:asciiTheme="minorHAnsi" w:hAnsiTheme="minorHAnsi" w:cstheme="minorHAnsi"/>
                <w:iCs/>
                <w:color w:val="auto"/>
                <w:sz w:val="22"/>
                <w:szCs w:val="22"/>
              </w:rPr>
              <w:t>Personalised support and tailored interventions to the needs of the child –</w:t>
            </w:r>
            <w:r>
              <w:rPr>
                <w:rFonts w:asciiTheme="minorHAnsi" w:hAnsiTheme="minorHAnsi" w:cstheme="minorHAnsi"/>
                <w:iCs/>
                <w:color w:val="auto"/>
                <w:sz w:val="22"/>
                <w:szCs w:val="22"/>
              </w:rPr>
              <w:t xml:space="preserve"> </w:t>
            </w:r>
            <w:r w:rsidRPr="00B665E3">
              <w:rPr>
                <w:rFonts w:asciiTheme="minorHAnsi" w:hAnsiTheme="minorHAnsi" w:cstheme="minorHAnsi"/>
                <w:iCs/>
                <w:color w:val="auto"/>
                <w:sz w:val="22"/>
                <w:szCs w:val="22"/>
              </w:rPr>
              <w:t>academic</w:t>
            </w:r>
            <w:r>
              <w:rPr>
                <w:rFonts w:asciiTheme="minorHAnsi" w:hAnsiTheme="minorHAnsi" w:cstheme="minorHAnsi"/>
                <w:iCs/>
                <w:color w:val="auto"/>
                <w:sz w:val="22"/>
                <w:szCs w:val="22"/>
              </w:rPr>
              <w:t xml:space="preserve"> </w:t>
            </w:r>
            <w:r w:rsidRPr="00B665E3">
              <w:rPr>
                <w:rFonts w:asciiTheme="minorHAnsi" w:hAnsiTheme="minorHAnsi" w:cstheme="minorHAnsi"/>
                <w:iCs/>
                <w:color w:val="auto"/>
                <w:sz w:val="22"/>
                <w:szCs w:val="22"/>
              </w:rPr>
              <w:t>and otherwise</w:t>
            </w:r>
          </w:p>
          <w:p w14:paraId="2F8820A2" w14:textId="77777777" w:rsidR="00D503E2" w:rsidRDefault="00D503E2" w:rsidP="00B665E3">
            <w:pPr>
              <w:pStyle w:val="NoSpacing"/>
              <w:rPr>
                <w:rFonts w:asciiTheme="minorHAnsi" w:hAnsiTheme="minorHAnsi" w:cstheme="minorHAnsi"/>
                <w:sz w:val="22"/>
                <w:szCs w:val="22"/>
              </w:rPr>
            </w:pPr>
            <w:r>
              <w:rPr>
                <w:rFonts w:asciiTheme="minorHAnsi" w:hAnsiTheme="minorHAnsi" w:cstheme="minorHAnsi"/>
                <w:sz w:val="22"/>
                <w:szCs w:val="22"/>
              </w:rPr>
              <w:t>Counsellors in school to deliver 1:1 session.</w:t>
            </w:r>
          </w:p>
          <w:p w14:paraId="7CF73299" w14:textId="77777777" w:rsidR="00D503E2" w:rsidRPr="00751B9E" w:rsidRDefault="00D503E2" w:rsidP="00D516D5">
            <w:pPr>
              <w:pStyle w:val="NoSpacing"/>
              <w:rPr>
                <w:rFonts w:asciiTheme="minorHAnsi" w:hAnsiTheme="minorHAnsi" w:cstheme="minorHAnsi"/>
                <w:sz w:val="22"/>
                <w:szCs w:val="22"/>
              </w:rPr>
            </w:pPr>
            <w:r>
              <w:rPr>
                <w:rFonts w:asciiTheme="minorHAnsi" w:hAnsiTheme="minorHAnsi" w:cstheme="minorHAnsi"/>
                <w:sz w:val="22"/>
                <w:szCs w:val="22"/>
              </w:rPr>
              <w:t xml:space="preserve">We Eat Elephants (WEE) Wellbeing, Emotional Education course delivered to LKS2. </w:t>
            </w:r>
          </w:p>
          <w:p w14:paraId="256C787F" w14:textId="03FCC97D" w:rsidR="00D503E2" w:rsidRPr="00F31794" w:rsidRDefault="00D503E2" w:rsidP="00DD7028">
            <w:pPr>
              <w:spacing w:after="0" w:line="240" w:lineRule="auto"/>
              <w:rPr>
                <w:rFonts w:asciiTheme="minorHAnsi" w:hAnsiTheme="minorHAnsi" w:cstheme="minorHAnsi"/>
                <w:color w:val="auto"/>
                <w:sz w:val="22"/>
                <w:szCs w:val="22"/>
              </w:rPr>
            </w:pPr>
            <w:r w:rsidRPr="00751B9E">
              <w:rPr>
                <w:rFonts w:asciiTheme="minorHAnsi" w:hAnsiTheme="minorHAnsi" w:cstheme="minorHAnsi"/>
                <w:iCs/>
                <w:color w:val="auto"/>
                <w:sz w:val="22"/>
                <w:szCs w:val="22"/>
              </w:rPr>
              <w:t>Work with the Educational Psychologist to develop a self-support mechanism for emotional issues and difficulties.</w:t>
            </w:r>
          </w:p>
        </w:tc>
        <w:tc>
          <w:tcPr>
            <w:tcW w:w="4253" w:type="dxa"/>
          </w:tcPr>
          <w:p w14:paraId="2BEBEC17" w14:textId="77777777" w:rsidR="00D503E2" w:rsidRDefault="00CD3EF4" w:rsidP="00F31794">
            <w:pPr>
              <w:shd w:val="clear" w:color="auto" w:fill="FFFFFF"/>
              <w:suppressAutoHyphens w:val="0"/>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Staff have continued to work with Alliance and have received regular CPD</w:t>
            </w:r>
            <w:r w:rsidR="009A70B4">
              <w:rPr>
                <w:rFonts w:asciiTheme="minorHAnsi" w:hAnsiTheme="minorHAnsi" w:cstheme="minorHAnsi"/>
                <w:iCs/>
                <w:color w:val="auto"/>
                <w:sz w:val="22"/>
                <w:szCs w:val="22"/>
              </w:rPr>
              <w:t>.</w:t>
            </w:r>
          </w:p>
          <w:p w14:paraId="252D4062" w14:textId="77777777" w:rsidR="009A70B4" w:rsidRDefault="009A70B4" w:rsidP="00F31794">
            <w:pPr>
              <w:shd w:val="clear" w:color="auto" w:fill="FFFFFF"/>
              <w:suppressAutoHyphens w:val="0"/>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Trust have introduced a streamlined attendance </w:t>
            </w:r>
            <w:r w:rsidR="00AE1AAA">
              <w:rPr>
                <w:rFonts w:asciiTheme="minorHAnsi" w:hAnsiTheme="minorHAnsi" w:cstheme="minorHAnsi"/>
                <w:iCs/>
                <w:color w:val="auto"/>
                <w:sz w:val="22"/>
                <w:szCs w:val="22"/>
              </w:rPr>
              <w:t xml:space="preserve">procedure and tracking system to </w:t>
            </w:r>
            <w:r w:rsidR="009920F4">
              <w:rPr>
                <w:rFonts w:asciiTheme="minorHAnsi" w:hAnsiTheme="minorHAnsi" w:cstheme="minorHAnsi"/>
                <w:iCs/>
                <w:color w:val="auto"/>
                <w:sz w:val="22"/>
                <w:szCs w:val="22"/>
              </w:rPr>
              <w:t>support and impact on attendance and persistent absence.</w:t>
            </w:r>
          </w:p>
          <w:p w14:paraId="53661BB7" w14:textId="2F96C4D2" w:rsidR="009920F4" w:rsidRDefault="00362BA3" w:rsidP="00F31794">
            <w:pPr>
              <w:shd w:val="clear" w:color="auto" w:fill="FFFFFF"/>
              <w:suppressAutoHyphens w:val="0"/>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All staff are trained in SMART circuit by Future steps so that daily sensory </w:t>
            </w:r>
            <w:r w:rsidR="00DE2CD6">
              <w:rPr>
                <w:rFonts w:asciiTheme="minorHAnsi" w:hAnsiTheme="minorHAnsi" w:cstheme="minorHAnsi"/>
                <w:iCs/>
                <w:color w:val="auto"/>
                <w:sz w:val="22"/>
                <w:szCs w:val="22"/>
              </w:rPr>
              <w:t>circuits</w:t>
            </w:r>
            <w:r>
              <w:rPr>
                <w:rFonts w:asciiTheme="minorHAnsi" w:hAnsiTheme="minorHAnsi" w:cstheme="minorHAnsi"/>
                <w:iCs/>
                <w:color w:val="auto"/>
                <w:sz w:val="22"/>
                <w:szCs w:val="22"/>
              </w:rPr>
              <w:t xml:space="preserve"> can be carried out </w:t>
            </w:r>
            <w:r w:rsidR="00B35CCB">
              <w:rPr>
                <w:rFonts w:asciiTheme="minorHAnsi" w:hAnsiTheme="minorHAnsi" w:cstheme="minorHAnsi"/>
                <w:iCs/>
                <w:color w:val="auto"/>
                <w:sz w:val="22"/>
                <w:szCs w:val="22"/>
              </w:rPr>
              <w:t xml:space="preserve">to ensure children are regulated. </w:t>
            </w:r>
          </w:p>
          <w:p w14:paraId="0B229EBD" w14:textId="77777777" w:rsidR="00406A08" w:rsidRDefault="00406A08" w:rsidP="00F31794">
            <w:pPr>
              <w:shd w:val="clear" w:color="auto" w:fill="FFFFFF"/>
              <w:suppressAutoHyphens w:val="0"/>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All children receive a free book every year, school library has been significantly updated </w:t>
            </w:r>
            <w:r w:rsidR="002B742A">
              <w:rPr>
                <w:rFonts w:asciiTheme="minorHAnsi" w:hAnsiTheme="minorHAnsi" w:cstheme="minorHAnsi"/>
                <w:iCs/>
                <w:color w:val="auto"/>
                <w:sz w:val="22"/>
                <w:szCs w:val="22"/>
              </w:rPr>
              <w:t xml:space="preserve">to promote the love of reading. Half termly visits form the local bookstore bringing the latest/exciting newly published books.  </w:t>
            </w:r>
          </w:p>
          <w:p w14:paraId="57457857" w14:textId="77777777" w:rsidR="0036056D" w:rsidRDefault="0036056D" w:rsidP="00F31794">
            <w:pPr>
              <w:shd w:val="clear" w:color="auto" w:fill="FFFFFF"/>
              <w:suppressAutoHyphens w:val="0"/>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Reduced or free residential visits to </w:t>
            </w:r>
            <w:r w:rsidR="00A00215">
              <w:rPr>
                <w:rFonts w:asciiTheme="minorHAnsi" w:hAnsiTheme="minorHAnsi" w:cstheme="minorHAnsi"/>
                <w:iCs/>
                <w:color w:val="auto"/>
                <w:sz w:val="22"/>
                <w:szCs w:val="22"/>
              </w:rPr>
              <w:t>either Derwent Hill or Whitby for all KS2 children.</w:t>
            </w:r>
          </w:p>
          <w:p w14:paraId="39741D27" w14:textId="77777777" w:rsidR="00A00215" w:rsidRDefault="00A00215" w:rsidP="00A00215">
            <w:pPr>
              <w:shd w:val="clear" w:color="auto" w:fill="FFFFFF"/>
              <w:suppressAutoHyphens w:val="0"/>
              <w:spacing w:after="0" w:line="240" w:lineRule="auto"/>
              <w:rPr>
                <w:rFonts w:asciiTheme="minorHAnsi" w:hAnsiTheme="minorHAnsi" w:cstheme="minorHAnsi"/>
                <w:iCs/>
                <w:color w:val="auto"/>
                <w:sz w:val="22"/>
                <w:szCs w:val="22"/>
              </w:rPr>
            </w:pPr>
            <w:r w:rsidRPr="00B665E3">
              <w:rPr>
                <w:rFonts w:asciiTheme="minorHAnsi" w:hAnsiTheme="minorHAnsi" w:cstheme="minorHAnsi"/>
                <w:iCs/>
                <w:color w:val="auto"/>
                <w:sz w:val="22"/>
                <w:szCs w:val="22"/>
              </w:rPr>
              <w:t>Personalised support and tailored interventions to the needs of the child –</w:t>
            </w:r>
            <w:r>
              <w:rPr>
                <w:rFonts w:asciiTheme="minorHAnsi" w:hAnsiTheme="minorHAnsi" w:cstheme="minorHAnsi"/>
                <w:iCs/>
                <w:color w:val="auto"/>
                <w:sz w:val="22"/>
                <w:szCs w:val="22"/>
              </w:rPr>
              <w:t xml:space="preserve"> </w:t>
            </w:r>
            <w:r w:rsidRPr="00B665E3">
              <w:rPr>
                <w:rFonts w:asciiTheme="minorHAnsi" w:hAnsiTheme="minorHAnsi" w:cstheme="minorHAnsi"/>
                <w:iCs/>
                <w:color w:val="auto"/>
                <w:sz w:val="22"/>
                <w:szCs w:val="22"/>
              </w:rPr>
              <w:t>academic</w:t>
            </w:r>
            <w:r>
              <w:rPr>
                <w:rFonts w:asciiTheme="minorHAnsi" w:hAnsiTheme="minorHAnsi" w:cstheme="minorHAnsi"/>
                <w:iCs/>
                <w:color w:val="auto"/>
                <w:sz w:val="22"/>
                <w:szCs w:val="22"/>
              </w:rPr>
              <w:t xml:space="preserve"> </w:t>
            </w:r>
            <w:r w:rsidRPr="00B665E3">
              <w:rPr>
                <w:rFonts w:asciiTheme="minorHAnsi" w:hAnsiTheme="minorHAnsi" w:cstheme="minorHAnsi"/>
                <w:iCs/>
                <w:color w:val="auto"/>
                <w:sz w:val="22"/>
                <w:szCs w:val="22"/>
              </w:rPr>
              <w:t>and otherwise</w:t>
            </w:r>
          </w:p>
          <w:p w14:paraId="368F3B88" w14:textId="77777777" w:rsidR="00A00215" w:rsidRDefault="00A00215" w:rsidP="00A00215">
            <w:pPr>
              <w:pStyle w:val="NoSpacing"/>
              <w:rPr>
                <w:rFonts w:asciiTheme="minorHAnsi" w:hAnsiTheme="minorHAnsi" w:cstheme="minorHAnsi"/>
                <w:sz w:val="22"/>
                <w:szCs w:val="22"/>
              </w:rPr>
            </w:pPr>
            <w:r>
              <w:rPr>
                <w:rFonts w:asciiTheme="minorHAnsi" w:hAnsiTheme="minorHAnsi" w:cstheme="minorHAnsi"/>
                <w:sz w:val="22"/>
                <w:szCs w:val="22"/>
              </w:rPr>
              <w:t>Counsellors in school to deliver 1:1 session.</w:t>
            </w:r>
          </w:p>
          <w:p w14:paraId="5410B358" w14:textId="77777777" w:rsidR="007C7ACD" w:rsidRDefault="00A00215" w:rsidP="00A00215">
            <w:pPr>
              <w:pStyle w:val="NoSpacing"/>
              <w:rPr>
                <w:rFonts w:asciiTheme="minorHAnsi" w:hAnsiTheme="minorHAnsi" w:cstheme="minorHAnsi"/>
                <w:sz w:val="22"/>
                <w:szCs w:val="22"/>
              </w:rPr>
            </w:pPr>
            <w:r>
              <w:rPr>
                <w:rFonts w:asciiTheme="minorHAnsi" w:hAnsiTheme="minorHAnsi" w:cstheme="minorHAnsi"/>
                <w:sz w:val="22"/>
                <w:szCs w:val="22"/>
              </w:rPr>
              <w:t>We Eat Elephants (WEE) Wellbeing, Emotional Education course delivered to KS1.</w:t>
            </w:r>
          </w:p>
          <w:p w14:paraId="614DB2F5" w14:textId="77777777" w:rsidR="00F93D4E" w:rsidRDefault="00972171" w:rsidP="00A00215">
            <w:pPr>
              <w:pStyle w:val="NoSpacing"/>
              <w:rPr>
                <w:rFonts w:asciiTheme="minorHAnsi" w:hAnsiTheme="minorHAnsi" w:cstheme="minorHAnsi"/>
                <w:sz w:val="22"/>
                <w:szCs w:val="22"/>
              </w:rPr>
            </w:pPr>
            <w:r>
              <w:rPr>
                <w:rFonts w:asciiTheme="minorHAnsi" w:hAnsiTheme="minorHAnsi" w:cstheme="minorHAnsi"/>
                <w:sz w:val="22"/>
                <w:szCs w:val="22"/>
              </w:rPr>
              <w:t>Service level agreement with ABC counselling to work with children</w:t>
            </w:r>
            <w:r w:rsidR="00F93D4E">
              <w:rPr>
                <w:rFonts w:asciiTheme="minorHAnsi" w:hAnsiTheme="minorHAnsi" w:cstheme="minorHAnsi"/>
                <w:sz w:val="22"/>
                <w:szCs w:val="22"/>
              </w:rPr>
              <w:t xml:space="preserve"> on a 1:1 basis.</w:t>
            </w:r>
          </w:p>
          <w:p w14:paraId="2FEBAC7F" w14:textId="57F3AE28" w:rsidR="00A00215" w:rsidRPr="00751B9E" w:rsidRDefault="00F93D4E" w:rsidP="00A00215">
            <w:pPr>
              <w:pStyle w:val="NoSpacing"/>
              <w:rPr>
                <w:rFonts w:asciiTheme="minorHAnsi" w:hAnsiTheme="minorHAnsi" w:cstheme="minorHAnsi"/>
                <w:sz w:val="22"/>
                <w:szCs w:val="22"/>
              </w:rPr>
            </w:pPr>
            <w:r>
              <w:rPr>
                <w:rFonts w:asciiTheme="minorHAnsi" w:hAnsiTheme="minorHAnsi" w:cstheme="minorHAnsi"/>
                <w:sz w:val="22"/>
                <w:szCs w:val="22"/>
              </w:rPr>
              <w:t xml:space="preserve">Collaboration with TeesSpark </w:t>
            </w:r>
            <w:r w:rsidR="00401FE3">
              <w:rPr>
                <w:rFonts w:asciiTheme="minorHAnsi" w:hAnsiTheme="minorHAnsi" w:cstheme="minorHAnsi"/>
                <w:sz w:val="22"/>
                <w:szCs w:val="22"/>
              </w:rPr>
              <w:t xml:space="preserve">to provide Y1-Y6 with a termly visit from </w:t>
            </w:r>
            <w:r w:rsidR="00182D57">
              <w:rPr>
                <w:rFonts w:asciiTheme="minorHAnsi" w:hAnsiTheme="minorHAnsi" w:cstheme="minorHAnsi"/>
                <w:sz w:val="22"/>
                <w:szCs w:val="22"/>
              </w:rPr>
              <w:t>speakers from a varie</w:t>
            </w:r>
            <w:r w:rsidR="007903B6">
              <w:rPr>
                <w:rFonts w:asciiTheme="minorHAnsi" w:hAnsiTheme="minorHAnsi" w:cstheme="minorHAnsi"/>
                <w:sz w:val="22"/>
                <w:szCs w:val="22"/>
              </w:rPr>
              <w:t>ty</w:t>
            </w:r>
            <w:r w:rsidR="00DE2CD6">
              <w:rPr>
                <w:rFonts w:asciiTheme="minorHAnsi" w:hAnsiTheme="minorHAnsi" w:cstheme="minorHAnsi"/>
                <w:sz w:val="22"/>
                <w:szCs w:val="22"/>
              </w:rPr>
              <w:t xml:space="preserve"> of</w:t>
            </w:r>
            <w:r w:rsidR="007903B6">
              <w:rPr>
                <w:rFonts w:asciiTheme="minorHAnsi" w:hAnsiTheme="minorHAnsi" w:cstheme="minorHAnsi"/>
                <w:sz w:val="22"/>
                <w:szCs w:val="22"/>
              </w:rPr>
              <w:t xml:space="preserve"> </w:t>
            </w:r>
            <w:r w:rsidR="003F40A0">
              <w:rPr>
                <w:rFonts w:asciiTheme="minorHAnsi" w:hAnsiTheme="minorHAnsi" w:cstheme="minorHAnsi"/>
                <w:sz w:val="22"/>
                <w:szCs w:val="22"/>
              </w:rPr>
              <w:t xml:space="preserve">professions to spark the children’s interest and raise aspirations. </w:t>
            </w:r>
            <w:r w:rsidR="00A00215">
              <w:rPr>
                <w:rFonts w:asciiTheme="minorHAnsi" w:hAnsiTheme="minorHAnsi" w:cstheme="minorHAnsi"/>
                <w:sz w:val="22"/>
                <w:szCs w:val="22"/>
              </w:rPr>
              <w:t xml:space="preserve"> </w:t>
            </w:r>
          </w:p>
          <w:p w14:paraId="6CE80560" w14:textId="5DEA4846" w:rsidR="00A00215" w:rsidRPr="00F31794" w:rsidRDefault="00A00215" w:rsidP="00F31794">
            <w:pPr>
              <w:shd w:val="clear" w:color="auto" w:fill="FFFFFF"/>
              <w:suppressAutoHyphens w:val="0"/>
              <w:spacing w:after="0" w:line="240" w:lineRule="auto"/>
              <w:rPr>
                <w:rFonts w:asciiTheme="minorHAnsi" w:hAnsiTheme="minorHAnsi" w:cstheme="minorHAnsi"/>
                <w:iCs/>
                <w:color w:val="auto"/>
                <w:sz w:val="22"/>
                <w:szCs w:val="22"/>
              </w:rPr>
            </w:pPr>
          </w:p>
        </w:tc>
      </w:tr>
      <w:tr w:rsidR="00D503E2" w14:paraId="68288943" w14:textId="4C210B3E" w:rsidTr="00D503E2">
        <w:tc>
          <w:tcPr>
            <w:tcW w:w="2405" w:type="dxa"/>
          </w:tcPr>
          <w:p w14:paraId="2DAA979E" w14:textId="02AC99EE" w:rsidR="00D503E2" w:rsidRDefault="00D503E2" w:rsidP="00463BB3">
            <w:pPr>
              <w:spacing w:after="0" w:line="240" w:lineRule="auto"/>
              <w:rPr>
                <w:rFonts w:asciiTheme="minorHAnsi" w:hAnsiTheme="minorHAnsi" w:cstheme="minorHAnsi"/>
              </w:rPr>
            </w:pPr>
            <w:r>
              <w:rPr>
                <w:rFonts w:asciiTheme="minorHAnsi" w:hAnsiTheme="minorHAnsi" w:cstheme="minorHAnsi"/>
                <w:color w:val="auto"/>
                <w:sz w:val="22"/>
                <w:szCs w:val="22"/>
              </w:rPr>
              <w:t>Develop the vocabulary of disadvantaged pupils, in general and across the curriculum.</w:t>
            </w:r>
          </w:p>
        </w:tc>
        <w:tc>
          <w:tcPr>
            <w:tcW w:w="4252" w:type="dxa"/>
          </w:tcPr>
          <w:p w14:paraId="04875641" w14:textId="5D8935CF" w:rsidR="00D503E2" w:rsidRDefault="00D503E2" w:rsidP="00463BB3">
            <w:pPr>
              <w:spacing w:after="0" w:line="240" w:lineRule="auto"/>
              <w:rPr>
                <w:rFonts w:asciiTheme="minorHAnsi" w:hAnsiTheme="minorHAnsi" w:cstheme="minorHAnsi"/>
              </w:rPr>
            </w:pPr>
            <w:r w:rsidRPr="00591D6C">
              <w:rPr>
                <w:rFonts w:asciiTheme="minorHAnsi" w:hAnsiTheme="minorHAnsi" w:cstheme="minorHAnsi"/>
                <w:color w:val="auto"/>
                <w:sz w:val="22"/>
                <w:szCs w:val="22"/>
              </w:rPr>
              <w:t xml:space="preserve">Assessments and observations indicate significantly weaker oral language among disadvantaged pupils. There is a higher rate of pupils with SEND where communication and interaction </w:t>
            </w:r>
            <w:proofErr w:type="gramStart"/>
            <w:r w:rsidRPr="00591D6C">
              <w:rPr>
                <w:rFonts w:asciiTheme="minorHAnsi" w:hAnsiTheme="minorHAnsi" w:cstheme="minorHAnsi"/>
                <w:color w:val="auto"/>
                <w:sz w:val="22"/>
                <w:szCs w:val="22"/>
              </w:rPr>
              <w:t>is</w:t>
            </w:r>
            <w:proofErr w:type="gramEnd"/>
            <w:r w:rsidRPr="00591D6C">
              <w:rPr>
                <w:rFonts w:asciiTheme="minorHAnsi" w:hAnsiTheme="minorHAnsi" w:cstheme="minorHAnsi"/>
                <w:color w:val="auto"/>
                <w:sz w:val="22"/>
                <w:szCs w:val="22"/>
              </w:rPr>
              <w:t xml:space="preserve"> identified.</w:t>
            </w:r>
          </w:p>
        </w:tc>
        <w:tc>
          <w:tcPr>
            <w:tcW w:w="4253" w:type="dxa"/>
          </w:tcPr>
          <w:p w14:paraId="5704A486" w14:textId="5A2D7AAA" w:rsidR="00D503E2" w:rsidRDefault="00D503E2" w:rsidP="00463BB3">
            <w:pPr>
              <w:spacing w:after="0" w:line="240" w:lineRule="auto"/>
              <w:rPr>
                <w:rFonts w:asciiTheme="minorHAnsi" w:hAnsiTheme="minorHAnsi" w:cstheme="minorHAnsi"/>
              </w:rPr>
            </w:pPr>
            <w:r>
              <w:rPr>
                <w:rFonts w:asciiTheme="minorHAnsi" w:hAnsiTheme="minorHAnsi" w:cstheme="minorHAnsi"/>
                <w:color w:val="auto"/>
                <w:sz w:val="22"/>
                <w:szCs w:val="22"/>
              </w:rPr>
              <w:t>T</w:t>
            </w:r>
            <w:r w:rsidRPr="00874447">
              <w:rPr>
                <w:rFonts w:asciiTheme="minorHAnsi" w:hAnsiTheme="minorHAnsi" w:cstheme="minorHAnsi"/>
                <w:color w:val="auto"/>
                <w:sz w:val="22"/>
                <w:szCs w:val="22"/>
              </w:rPr>
              <w:t xml:space="preserve">he </w:t>
            </w:r>
            <w:r>
              <w:rPr>
                <w:rFonts w:asciiTheme="minorHAnsi" w:hAnsiTheme="minorHAnsi" w:cstheme="minorHAnsi"/>
                <w:color w:val="auto"/>
                <w:sz w:val="22"/>
                <w:szCs w:val="22"/>
              </w:rPr>
              <w:t>Talk boost</w:t>
            </w:r>
            <w:r w:rsidRPr="00874447">
              <w:rPr>
                <w:rFonts w:asciiTheme="minorHAnsi" w:hAnsiTheme="minorHAnsi" w:cstheme="minorHAnsi"/>
                <w:color w:val="auto"/>
                <w:sz w:val="22"/>
                <w:szCs w:val="22"/>
              </w:rPr>
              <w:t xml:space="preserve"> </w:t>
            </w:r>
            <w:r>
              <w:rPr>
                <w:rFonts w:asciiTheme="minorHAnsi" w:hAnsiTheme="minorHAnsi" w:cstheme="minorHAnsi"/>
                <w:color w:val="auto"/>
                <w:sz w:val="22"/>
                <w:szCs w:val="22"/>
              </w:rPr>
              <w:t>is a</w:t>
            </w:r>
            <w:r w:rsidRPr="00874447">
              <w:rPr>
                <w:rFonts w:asciiTheme="minorHAnsi" w:hAnsiTheme="minorHAnsi" w:cstheme="minorHAnsi"/>
                <w:color w:val="auto"/>
                <w:sz w:val="22"/>
                <w:szCs w:val="22"/>
              </w:rPr>
              <w:t xml:space="preserve"> language </w:t>
            </w:r>
            <w:r>
              <w:rPr>
                <w:rFonts w:asciiTheme="minorHAnsi" w:hAnsiTheme="minorHAnsi" w:cstheme="minorHAnsi"/>
                <w:color w:val="auto"/>
                <w:sz w:val="22"/>
                <w:szCs w:val="22"/>
              </w:rPr>
              <w:t>intervention</w:t>
            </w:r>
            <w:r w:rsidRPr="0087444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which running </w:t>
            </w:r>
            <w:r w:rsidRPr="00874447">
              <w:rPr>
                <w:rFonts w:asciiTheme="minorHAnsi" w:hAnsiTheme="minorHAnsi" w:cstheme="minorHAnsi"/>
                <w:color w:val="auto"/>
                <w:sz w:val="22"/>
                <w:szCs w:val="22"/>
              </w:rPr>
              <w:t xml:space="preserve">in EYFS successfully. </w:t>
            </w:r>
            <w:r>
              <w:rPr>
                <w:rFonts w:asciiTheme="minorHAnsi" w:hAnsiTheme="minorHAnsi" w:cstheme="minorHAnsi"/>
                <w:color w:val="auto"/>
                <w:sz w:val="22"/>
                <w:szCs w:val="22"/>
              </w:rPr>
              <w:t>Power of reading</w:t>
            </w:r>
            <w:r w:rsidRPr="00874447">
              <w:rPr>
                <w:rFonts w:asciiTheme="minorHAnsi" w:hAnsiTheme="minorHAnsi" w:cstheme="minorHAnsi"/>
                <w:color w:val="auto"/>
                <w:sz w:val="22"/>
                <w:szCs w:val="22"/>
              </w:rPr>
              <w:t xml:space="preserve"> has also been successfully piloted in KS1</w:t>
            </w:r>
            <w:r>
              <w:rPr>
                <w:rFonts w:asciiTheme="minorHAnsi" w:hAnsiTheme="minorHAnsi" w:cstheme="minorHAnsi"/>
                <w:color w:val="auto"/>
                <w:sz w:val="22"/>
                <w:szCs w:val="22"/>
              </w:rPr>
              <w:t xml:space="preserve"> and KS2</w:t>
            </w:r>
            <w:r w:rsidRPr="00874447">
              <w:rPr>
                <w:rFonts w:asciiTheme="minorHAnsi" w:hAnsiTheme="minorHAnsi" w:cstheme="minorHAnsi"/>
                <w:color w:val="auto"/>
                <w:sz w:val="22"/>
                <w:szCs w:val="22"/>
              </w:rPr>
              <w:t>, to improve vocabulary development.</w:t>
            </w:r>
          </w:p>
        </w:tc>
        <w:tc>
          <w:tcPr>
            <w:tcW w:w="4253" w:type="dxa"/>
          </w:tcPr>
          <w:p w14:paraId="62AA6EA1" w14:textId="179367BD" w:rsidR="003D53B4" w:rsidRDefault="003F40A0" w:rsidP="003D53B4">
            <w:pPr>
              <w:spacing w:after="0"/>
              <w:jc w:val="center"/>
              <w:rPr>
                <w:rFonts w:ascii="Twinkl" w:hAnsi="Twinkl"/>
                <w:b/>
                <w:bCs/>
                <w:i/>
                <w:iCs/>
              </w:rPr>
            </w:pPr>
            <w:r>
              <w:rPr>
                <w:rFonts w:asciiTheme="minorHAnsi" w:hAnsiTheme="minorHAnsi" w:cstheme="minorHAnsi"/>
                <w:color w:val="auto"/>
                <w:sz w:val="22"/>
                <w:szCs w:val="22"/>
              </w:rPr>
              <w:t xml:space="preserve">Enrolled on Voice 21 project </w:t>
            </w:r>
            <w:r w:rsidR="001E581B">
              <w:rPr>
                <w:rFonts w:asciiTheme="minorHAnsi" w:hAnsiTheme="minorHAnsi" w:cstheme="minorHAnsi"/>
                <w:color w:val="auto"/>
                <w:sz w:val="22"/>
                <w:szCs w:val="22"/>
              </w:rPr>
              <w:t>which focusses on Oracy</w:t>
            </w:r>
            <w:r w:rsidR="002350B0">
              <w:rPr>
                <w:rFonts w:asciiTheme="minorHAnsi" w:hAnsiTheme="minorHAnsi" w:cstheme="minorHAnsi"/>
                <w:color w:val="auto"/>
                <w:sz w:val="22"/>
                <w:szCs w:val="22"/>
              </w:rPr>
              <w:t xml:space="preserve">. School </w:t>
            </w:r>
            <w:proofErr w:type="gramStart"/>
            <w:r w:rsidR="002350B0">
              <w:rPr>
                <w:rFonts w:asciiTheme="minorHAnsi" w:hAnsiTheme="minorHAnsi" w:cstheme="minorHAnsi"/>
                <w:color w:val="auto"/>
                <w:sz w:val="22"/>
                <w:szCs w:val="22"/>
              </w:rPr>
              <w:t>have</w:t>
            </w:r>
            <w:proofErr w:type="gramEnd"/>
            <w:r w:rsidR="002350B0">
              <w:rPr>
                <w:rFonts w:asciiTheme="minorHAnsi" w:hAnsiTheme="minorHAnsi" w:cstheme="minorHAnsi"/>
                <w:color w:val="auto"/>
                <w:sz w:val="22"/>
                <w:szCs w:val="22"/>
              </w:rPr>
              <w:t xml:space="preserve"> a vision a detailed </w:t>
            </w:r>
            <w:r w:rsidR="003D53B4">
              <w:rPr>
                <w:rFonts w:asciiTheme="minorHAnsi" w:hAnsiTheme="minorHAnsi" w:cstheme="minorHAnsi"/>
                <w:color w:val="auto"/>
                <w:sz w:val="22"/>
                <w:szCs w:val="22"/>
              </w:rPr>
              <w:t xml:space="preserve">academy improvement plan to ensure </w:t>
            </w:r>
            <w:r w:rsidR="003F7BF6">
              <w:rPr>
                <w:rFonts w:asciiTheme="minorHAnsi" w:hAnsiTheme="minorHAnsi" w:cstheme="minorHAnsi"/>
                <w:color w:val="auto"/>
                <w:sz w:val="22"/>
                <w:szCs w:val="22"/>
              </w:rPr>
              <w:t xml:space="preserve">we are </w:t>
            </w:r>
            <w:r w:rsidR="003D53B4" w:rsidRPr="00E33ABF">
              <w:rPr>
                <w:rFonts w:ascii="Twinkl" w:hAnsi="Twinkl"/>
                <w:b/>
                <w:bCs/>
                <w:i/>
                <w:iCs/>
              </w:rPr>
              <w:t>"Empowering Confident Communicators for Success in School and Beyond"</w:t>
            </w:r>
          </w:p>
          <w:p w14:paraId="0D56FDBC" w14:textId="77777777" w:rsidR="00D503E2" w:rsidRDefault="005743E7" w:rsidP="00463BB3">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Talk boost continues to </w:t>
            </w:r>
            <w:r w:rsidR="00C76A1E">
              <w:rPr>
                <w:rFonts w:asciiTheme="minorHAnsi" w:hAnsiTheme="minorHAnsi" w:cstheme="minorHAnsi"/>
                <w:color w:val="auto"/>
                <w:sz w:val="22"/>
                <w:szCs w:val="22"/>
              </w:rPr>
              <w:t>be implemented</w:t>
            </w:r>
            <w:r w:rsidR="00F9074B">
              <w:rPr>
                <w:rFonts w:asciiTheme="minorHAnsi" w:hAnsiTheme="minorHAnsi" w:cstheme="minorHAnsi"/>
                <w:color w:val="auto"/>
                <w:sz w:val="22"/>
                <w:szCs w:val="22"/>
              </w:rPr>
              <w:t>.</w:t>
            </w:r>
          </w:p>
          <w:p w14:paraId="2AB93319" w14:textId="00767DD5" w:rsidR="00EB7E18" w:rsidRDefault="00EB7E18" w:rsidP="00463BB3">
            <w:p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Increased vocabulary from Power of reading resources and lessons </w:t>
            </w:r>
            <w:r w:rsidR="00221FF8">
              <w:rPr>
                <w:rFonts w:asciiTheme="minorHAnsi" w:hAnsiTheme="minorHAnsi" w:cstheme="minorHAnsi"/>
                <w:color w:val="auto"/>
                <w:sz w:val="22"/>
                <w:szCs w:val="22"/>
              </w:rPr>
              <w:t xml:space="preserve">has had a good impact. This is to </w:t>
            </w:r>
            <w:proofErr w:type="gramStart"/>
            <w:r w:rsidR="00221FF8">
              <w:rPr>
                <w:rFonts w:asciiTheme="minorHAnsi" w:hAnsiTheme="minorHAnsi" w:cstheme="minorHAnsi"/>
                <w:color w:val="auto"/>
                <w:sz w:val="22"/>
                <w:szCs w:val="22"/>
              </w:rPr>
              <w:t>continue</w:t>
            </w:r>
            <w:proofErr w:type="gramEnd"/>
            <w:r w:rsidR="00221FF8">
              <w:rPr>
                <w:rFonts w:asciiTheme="minorHAnsi" w:hAnsiTheme="minorHAnsi" w:cstheme="minorHAnsi"/>
                <w:color w:val="auto"/>
                <w:sz w:val="22"/>
                <w:szCs w:val="22"/>
              </w:rPr>
              <w:t xml:space="preserve"> and EY </w:t>
            </w:r>
            <w:r w:rsidR="002E3B67">
              <w:rPr>
                <w:rFonts w:asciiTheme="minorHAnsi" w:hAnsiTheme="minorHAnsi" w:cstheme="minorHAnsi"/>
                <w:color w:val="auto"/>
                <w:sz w:val="22"/>
                <w:szCs w:val="22"/>
              </w:rPr>
              <w:t xml:space="preserve">have introduced Gregg Boterill Drawing club to promote speech, vocabulary and </w:t>
            </w:r>
            <w:r w:rsidR="00926D86">
              <w:rPr>
                <w:rFonts w:asciiTheme="minorHAnsi" w:hAnsiTheme="minorHAnsi" w:cstheme="minorHAnsi"/>
                <w:color w:val="auto"/>
                <w:sz w:val="22"/>
                <w:szCs w:val="22"/>
              </w:rPr>
              <w:t>writing skills.</w:t>
            </w:r>
          </w:p>
        </w:tc>
      </w:tr>
    </w:tbl>
    <w:p w14:paraId="05F95FFE" w14:textId="77777777" w:rsidR="00987C38" w:rsidRDefault="00987C38" w:rsidP="00463BB3">
      <w:pPr>
        <w:spacing w:after="0" w:line="240" w:lineRule="auto"/>
        <w:rPr>
          <w:rFonts w:asciiTheme="minorHAnsi" w:hAnsiTheme="minorHAnsi" w:cstheme="minorHAnsi"/>
        </w:rPr>
      </w:pPr>
    </w:p>
    <w:p w14:paraId="4EA79F37" w14:textId="77777777" w:rsidR="003F741D" w:rsidRDefault="003F741D" w:rsidP="00463BB3">
      <w:pPr>
        <w:spacing w:after="0" w:line="240" w:lineRule="auto"/>
        <w:rPr>
          <w:b/>
          <w:bCs/>
          <w:u w:val="single"/>
        </w:rPr>
      </w:pPr>
    </w:p>
    <w:p w14:paraId="36249D20" w14:textId="77777777" w:rsidR="003F741D" w:rsidRDefault="003F741D" w:rsidP="00463BB3">
      <w:pPr>
        <w:spacing w:after="0" w:line="240" w:lineRule="auto"/>
        <w:rPr>
          <w:b/>
          <w:bCs/>
          <w:u w:val="single"/>
        </w:rPr>
      </w:pPr>
    </w:p>
    <w:p w14:paraId="3C6BBFE1" w14:textId="77777777" w:rsidR="003F741D" w:rsidRDefault="003F741D" w:rsidP="00463BB3">
      <w:pPr>
        <w:spacing w:after="0" w:line="240" w:lineRule="auto"/>
        <w:rPr>
          <w:b/>
          <w:bCs/>
          <w:u w:val="single"/>
        </w:rPr>
      </w:pPr>
    </w:p>
    <w:p w14:paraId="5F136742" w14:textId="77777777" w:rsidR="003F741D" w:rsidRDefault="003F741D" w:rsidP="00463BB3">
      <w:pPr>
        <w:spacing w:after="0" w:line="240" w:lineRule="auto"/>
        <w:rPr>
          <w:b/>
          <w:bCs/>
          <w:u w:val="single"/>
        </w:rPr>
      </w:pPr>
    </w:p>
    <w:p w14:paraId="290ADA54" w14:textId="77777777" w:rsidR="003F741D" w:rsidRDefault="003F741D" w:rsidP="00463BB3">
      <w:pPr>
        <w:spacing w:after="0" w:line="240" w:lineRule="auto"/>
        <w:rPr>
          <w:b/>
          <w:bCs/>
          <w:u w:val="single"/>
        </w:rPr>
      </w:pPr>
    </w:p>
    <w:p w14:paraId="1708ACF0" w14:textId="77777777" w:rsidR="003F741D" w:rsidRDefault="003F741D" w:rsidP="00463BB3">
      <w:pPr>
        <w:spacing w:after="0" w:line="240" w:lineRule="auto"/>
        <w:rPr>
          <w:b/>
          <w:bCs/>
          <w:u w:val="single"/>
        </w:rPr>
      </w:pPr>
    </w:p>
    <w:p w14:paraId="09A3CDDA" w14:textId="77777777" w:rsidR="003F741D" w:rsidRDefault="003F741D" w:rsidP="00463BB3">
      <w:pPr>
        <w:spacing w:after="0" w:line="240" w:lineRule="auto"/>
        <w:rPr>
          <w:b/>
          <w:bCs/>
          <w:u w:val="single"/>
        </w:rPr>
      </w:pPr>
    </w:p>
    <w:p w14:paraId="28516141" w14:textId="77777777" w:rsidR="003F741D" w:rsidRDefault="003F741D" w:rsidP="00463BB3">
      <w:pPr>
        <w:spacing w:after="0" w:line="240" w:lineRule="auto"/>
        <w:rPr>
          <w:b/>
          <w:bCs/>
          <w:u w:val="single"/>
        </w:rPr>
      </w:pPr>
    </w:p>
    <w:p w14:paraId="66848BBA" w14:textId="77777777" w:rsidR="003F741D" w:rsidRDefault="003F741D" w:rsidP="00463BB3">
      <w:pPr>
        <w:spacing w:after="0" w:line="240" w:lineRule="auto"/>
        <w:rPr>
          <w:b/>
          <w:bCs/>
          <w:u w:val="single"/>
        </w:rPr>
      </w:pPr>
    </w:p>
    <w:p w14:paraId="151BC2A5" w14:textId="77777777" w:rsidR="003F741D" w:rsidRDefault="003F741D" w:rsidP="00463BB3">
      <w:pPr>
        <w:spacing w:after="0" w:line="240" w:lineRule="auto"/>
        <w:rPr>
          <w:b/>
          <w:bCs/>
          <w:u w:val="single"/>
        </w:rPr>
      </w:pPr>
    </w:p>
    <w:p w14:paraId="539594CD" w14:textId="77777777" w:rsidR="003F741D" w:rsidRDefault="003F741D" w:rsidP="00463BB3">
      <w:pPr>
        <w:spacing w:after="0" w:line="240" w:lineRule="auto"/>
        <w:rPr>
          <w:b/>
          <w:bCs/>
          <w:u w:val="single"/>
        </w:rPr>
      </w:pPr>
    </w:p>
    <w:p w14:paraId="33F0B49C" w14:textId="6506DE93" w:rsidR="00987C38" w:rsidRPr="00132570" w:rsidRDefault="00132570" w:rsidP="00463BB3">
      <w:pPr>
        <w:spacing w:after="0" w:line="240" w:lineRule="auto"/>
        <w:rPr>
          <w:b/>
          <w:u w:val="single"/>
        </w:rPr>
      </w:pPr>
      <w:r w:rsidRPr="00132570">
        <w:rPr>
          <w:b/>
          <w:bCs/>
          <w:u w:val="single"/>
        </w:rPr>
        <w:t>Appendix 1 – Data summary</w:t>
      </w:r>
    </w:p>
    <w:p w14:paraId="37910EC8" w14:textId="77777777" w:rsidR="00132570" w:rsidRDefault="00132570" w:rsidP="00463BB3">
      <w:pPr>
        <w:spacing w:after="0" w:line="240" w:lineRule="auto"/>
        <w:rPr>
          <w:rFonts w:asciiTheme="minorHAnsi" w:hAnsiTheme="minorHAnsi" w:cstheme="minorHAnsi"/>
        </w:rPr>
      </w:pPr>
    </w:p>
    <w:tbl>
      <w:tblPr>
        <w:tblStyle w:val="TableGrid"/>
        <w:tblW w:w="14701" w:type="dxa"/>
        <w:tblLook w:val="04A0" w:firstRow="1" w:lastRow="0" w:firstColumn="1" w:lastColumn="0" w:noHBand="0" w:noVBand="1"/>
      </w:tblPr>
      <w:tblGrid>
        <w:gridCol w:w="987"/>
        <w:gridCol w:w="1074"/>
        <w:gridCol w:w="1404"/>
        <w:gridCol w:w="1404"/>
        <w:gridCol w:w="1405"/>
        <w:gridCol w:w="1404"/>
        <w:gridCol w:w="1405"/>
        <w:gridCol w:w="1404"/>
        <w:gridCol w:w="1405"/>
        <w:gridCol w:w="1404"/>
        <w:gridCol w:w="1405"/>
      </w:tblGrid>
      <w:tr w:rsidR="003C2B36" w14:paraId="364DC2CC" w14:textId="77777777" w:rsidTr="00216AE6">
        <w:tc>
          <w:tcPr>
            <w:tcW w:w="2061" w:type="dxa"/>
            <w:gridSpan w:val="2"/>
          </w:tcPr>
          <w:p w14:paraId="351B917C" w14:textId="77777777" w:rsidR="00E043B8" w:rsidRPr="008F69E7" w:rsidRDefault="00E043B8" w:rsidP="008F69E7">
            <w:pPr>
              <w:spacing w:after="0" w:line="240" w:lineRule="auto"/>
              <w:jc w:val="center"/>
              <w:rPr>
                <w:rFonts w:asciiTheme="minorHAnsi" w:eastAsia="Times New Roman" w:hAnsiTheme="minorHAnsi" w:cstheme="minorHAnsi"/>
                <w:lang w:eastAsia="en-GB"/>
              </w:rPr>
            </w:pPr>
          </w:p>
        </w:tc>
        <w:tc>
          <w:tcPr>
            <w:tcW w:w="1404" w:type="dxa"/>
          </w:tcPr>
          <w:p w14:paraId="071AE2E6" w14:textId="77777777" w:rsidR="00E043B8" w:rsidRDefault="00E043B8" w:rsidP="008F69E7">
            <w:pPr>
              <w:spacing w:after="0" w:line="240" w:lineRule="auto"/>
              <w:jc w:val="center"/>
              <w:rPr>
                <w:rFonts w:asciiTheme="minorHAnsi" w:hAnsiTheme="minorHAnsi" w:cstheme="minorHAnsi"/>
              </w:rPr>
            </w:pPr>
            <w:r>
              <w:rPr>
                <w:rFonts w:asciiTheme="minorHAnsi" w:hAnsiTheme="minorHAnsi" w:cstheme="minorHAnsi"/>
              </w:rPr>
              <w:t>2023-24</w:t>
            </w:r>
          </w:p>
          <w:p w14:paraId="7721C310" w14:textId="3B379B00" w:rsidR="00441C37" w:rsidRPr="008F69E7" w:rsidRDefault="00441C37" w:rsidP="008F69E7">
            <w:pPr>
              <w:spacing w:after="0" w:line="240" w:lineRule="auto"/>
              <w:jc w:val="center"/>
              <w:rPr>
                <w:rFonts w:asciiTheme="minorHAnsi" w:hAnsiTheme="minorHAnsi" w:cstheme="minorHAnsi"/>
              </w:rPr>
            </w:pPr>
            <w:r>
              <w:rPr>
                <w:rFonts w:asciiTheme="minorHAnsi" w:hAnsiTheme="minorHAnsi" w:cstheme="minorHAnsi"/>
              </w:rPr>
              <w:t>ALL</w:t>
            </w:r>
          </w:p>
        </w:tc>
        <w:tc>
          <w:tcPr>
            <w:tcW w:w="1404" w:type="dxa"/>
            <w:shd w:val="clear" w:color="auto" w:fill="DBE5F1" w:themeFill="accent1" w:themeFillTint="33"/>
          </w:tcPr>
          <w:p w14:paraId="32659C8D" w14:textId="302BC7A9" w:rsidR="00E043B8" w:rsidRPr="008F69E7" w:rsidRDefault="00441C37" w:rsidP="008F69E7">
            <w:pPr>
              <w:spacing w:after="0" w:line="240" w:lineRule="auto"/>
              <w:jc w:val="center"/>
              <w:rPr>
                <w:rFonts w:asciiTheme="minorHAnsi" w:hAnsiTheme="minorHAnsi" w:cstheme="minorHAnsi"/>
              </w:rPr>
            </w:pPr>
            <w:r>
              <w:rPr>
                <w:rFonts w:asciiTheme="minorHAnsi" w:hAnsiTheme="minorHAnsi" w:cstheme="minorHAnsi"/>
              </w:rPr>
              <w:t>2023-24 PP</w:t>
            </w:r>
          </w:p>
        </w:tc>
        <w:tc>
          <w:tcPr>
            <w:tcW w:w="1405" w:type="dxa"/>
          </w:tcPr>
          <w:p w14:paraId="64372546" w14:textId="77777777" w:rsidR="00E043B8" w:rsidRDefault="00441C37" w:rsidP="008F69E7">
            <w:pPr>
              <w:spacing w:after="0" w:line="240" w:lineRule="auto"/>
              <w:jc w:val="center"/>
              <w:rPr>
                <w:rFonts w:asciiTheme="minorHAnsi" w:hAnsiTheme="minorHAnsi" w:cstheme="minorHAnsi"/>
              </w:rPr>
            </w:pPr>
            <w:r>
              <w:rPr>
                <w:rFonts w:asciiTheme="minorHAnsi" w:hAnsiTheme="minorHAnsi" w:cstheme="minorHAnsi"/>
              </w:rPr>
              <w:t>2023-24</w:t>
            </w:r>
          </w:p>
          <w:p w14:paraId="3C981FF2" w14:textId="302960C1" w:rsidR="001E1CF2" w:rsidRPr="008F69E7" w:rsidRDefault="001E1CF2" w:rsidP="008F69E7">
            <w:pPr>
              <w:spacing w:after="0" w:line="240" w:lineRule="auto"/>
              <w:jc w:val="center"/>
              <w:rPr>
                <w:rFonts w:asciiTheme="minorHAnsi" w:hAnsiTheme="minorHAnsi" w:cstheme="minorHAnsi"/>
              </w:rPr>
            </w:pPr>
            <w:r>
              <w:rPr>
                <w:rFonts w:asciiTheme="minorHAnsi" w:hAnsiTheme="minorHAnsi" w:cstheme="minorHAnsi"/>
              </w:rPr>
              <w:t>Non-PP</w:t>
            </w:r>
          </w:p>
        </w:tc>
        <w:tc>
          <w:tcPr>
            <w:tcW w:w="1404" w:type="dxa"/>
          </w:tcPr>
          <w:p w14:paraId="7DA91B22" w14:textId="795492FE" w:rsidR="00E043B8" w:rsidRPr="008F69E7" w:rsidRDefault="00E043B8" w:rsidP="008F69E7">
            <w:pPr>
              <w:spacing w:after="0" w:line="240" w:lineRule="auto"/>
              <w:jc w:val="center"/>
              <w:rPr>
                <w:rFonts w:asciiTheme="minorHAnsi" w:eastAsia="Times New Roman" w:hAnsiTheme="minorHAnsi" w:cstheme="minorHAnsi"/>
                <w:lang w:eastAsia="en-GB"/>
              </w:rPr>
            </w:pPr>
            <w:r w:rsidRPr="008F69E7">
              <w:rPr>
                <w:rFonts w:asciiTheme="minorHAnsi" w:eastAsia="Times New Roman" w:hAnsiTheme="minorHAnsi" w:cstheme="minorHAnsi"/>
                <w:lang w:eastAsia="en-GB"/>
              </w:rPr>
              <w:t>2022-23 ALL</w:t>
            </w:r>
          </w:p>
        </w:tc>
        <w:tc>
          <w:tcPr>
            <w:tcW w:w="1405" w:type="dxa"/>
            <w:shd w:val="clear" w:color="auto" w:fill="DBE5F1" w:themeFill="accent1" w:themeFillTint="33"/>
          </w:tcPr>
          <w:p w14:paraId="5B82E66E" w14:textId="69F4A4D2" w:rsidR="00E043B8" w:rsidRPr="008F69E7" w:rsidRDefault="00E043B8" w:rsidP="008F69E7">
            <w:pPr>
              <w:spacing w:after="0" w:line="240" w:lineRule="auto"/>
              <w:jc w:val="center"/>
              <w:rPr>
                <w:rFonts w:asciiTheme="minorHAnsi" w:eastAsia="Times New Roman" w:hAnsiTheme="minorHAnsi" w:cstheme="minorHAnsi"/>
                <w:lang w:eastAsia="en-GB"/>
              </w:rPr>
            </w:pPr>
            <w:r w:rsidRPr="008F69E7">
              <w:rPr>
                <w:rFonts w:asciiTheme="minorHAnsi" w:eastAsia="Times New Roman" w:hAnsiTheme="minorHAnsi" w:cstheme="minorHAnsi"/>
                <w:lang w:eastAsia="en-GB"/>
              </w:rPr>
              <w:t>2022-23 PP</w:t>
            </w:r>
          </w:p>
        </w:tc>
        <w:tc>
          <w:tcPr>
            <w:tcW w:w="1404" w:type="dxa"/>
          </w:tcPr>
          <w:p w14:paraId="47CEE633" w14:textId="6963F244" w:rsidR="00E043B8" w:rsidRPr="008F69E7" w:rsidRDefault="00E043B8" w:rsidP="008F69E7">
            <w:pPr>
              <w:spacing w:after="0" w:line="240" w:lineRule="auto"/>
              <w:jc w:val="center"/>
              <w:rPr>
                <w:rFonts w:asciiTheme="minorHAnsi" w:eastAsia="Times New Roman" w:hAnsiTheme="minorHAnsi" w:cstheme="minorHAnsi"/>
                <w:lang w:eastAsia="en-GB"/>
              </w:rPr>
            </w:pPr>
            <w:r w:rsidRPr="008F69E7">
              <w:rPr>
                <w:rFonts w:asciiTheme="minorHAnsi" w:eastAsia="Times New Roman" w:hAnsiTheme="minorHAnsi" w:cstheme="minorHAnsi"/>
                <w:lang w:eastAsia="en-GB"/>
              </w:rPr>
              <w:t xml:space="preserve">2022-23 </w:t>
            </w:r>
            <w:proofErr w:type="gramStart"/>
            <w:r w:rsidRPr="008F69E7">
              <w:rPr>
                <w:rFonts w:asciiTheme="minorHAnsi" w:eastAsia="Times New Roman" w:hAnsiTheme="minorHAnsi" w:cstheme="minorHAnsi"/>
                <w:lang w:eastAsia="en-GB"/>
              </w:rPr>
              <w:t>Non-PP</w:t>
            </w:r>
            <w:proofErr w:type="gramEnd"/>
          </w:p>
        </w:tc>
        <w:tc>
          <w:tcPr>
            <w:tcW w:w="1405" w:type="dxa"/>
          </w:tcPr>
          <w:p w14:paraId="6761FD01" w14:textId="3A51FCB6" w:rsidR="00E043B8" w:rsidRPr="008F69E7" w:rsidRDefault="00E043B8" w:rsidP="008F69E7">
            <w:pPr>
              <w:spacing w:after="0" w:line="240" w:lineRule="auto"/>
              <w:jc w:val="center"/>
              <w:rPr>
                <w:rFonts w:asciiTheme="minorHAnsi" w:eastAsia="Times New Roman" w:hAnsiTheme="minorHAnsi" w:cstheme="minorHAnsi"/>
                <w:lang w:eastAsia="en-GB"/>
              </w:rPr>
            </w:pPr>
            <w:r w:rsidRPr="008F69E7">
              <w:rPr>
                <w:rFonts w:asciiTheme="minorHAnsi" w:eastAsia="Times New Roman" w:hAnsiTheme="minorHAnsi" w:cstheme="minorHAnsi"/>
                <w:lang w:eastAsia="en-GB"/>
              </w:rPr>
              <w:t>2021-22 ALL</w:t>
            </w:r>
          </w:p>
        </w:tc>
        <w:tc>
          <w:tcPr>
            <w:tcW w:w="1404" w:type="dxa"/>
            <w:shd w:val="clear" w:color="auto" w:fill="DBE5F1" w:themeFill="accent1" w:themeFillTint="33"/>
          </w:tcPr>
          <w:p w14:paraId="3533FE55" w14:textId="76589C12" w:rsidR="00E043B8" w:rsidRPr="008F69E7" w:rsidRDefault="00E043B8" w:rsidP="008F69E7">
            <w:pPr>
              <w:spacing w:after="0" w:line="240" w:lineRule="auto"/>
              <w:jc w:val="center"/>
              <w:rPr>
                <w:rFonts w:asciiTheme="minorHAnsi" w:eastAsia="Times New Roman" w:hAnsiTheme="minorHAnsi" w:cstheme="minorHAnsi"/>
                <w:lang w:eastAsia="en-GB"/>
              </w:rPr>
            </w:pPr>
            <w:r w:rsidRPr="008F69E7">
              <w:rPr>
                <w:rFonts w:asciiTheme="minorHAnsi" w:eastAsia="Times New Roman" w:hAnsiTheme="minorHAnsi" w:cstheme="minorHAnsi"/>
                <w:lang w:eastAsia="en-GB"/>
              </w:rPr>
              <w:t>2021-22 PP</w:t>
            </w:r>
          </w:p>
        </w:tc>
        <w:tc>
          <w:tcPr>
            <w:tcW w:w="1405" w:type="dxa"/>
          </w:tcPr>
          <w:p w14:paraId="26B0DD18" w14:textId="23CFC15A" w:rsidR="00E043B8" w:rsidRPr="008F69E7" w:rsidRDefault="00E043B8" w:rsidP="008F69E7">
            <w:pPr>
              <w:spacing w:after="0" w:line="240" w:lineRule="auto"/>
              <w:jc w:val="center"/>
              <w:rPr>
                <w:rFonts w:asciiTheme="minorHAnsi" w:eastAsia="Times New Roman" w:hAnsiTheme="minorHAnsi" w:cstheme="minorHAnsi"/>
                <w:lang w:eastAsia="en-GB"/>
              </w:rPr>
            </w:pPr>
            <w:r w:rsidRPr="008F69E7">
              <w:rPr>
                <w:rFonts w:asciiTheme="minorHAnsi" w:eastAsia="Times New Roman" w:hAnsiTheme="minorHAnsi" w:cstheme="minorHAnsi"/>
                <w:lang w:eastAsia="en-GB"/>
              </w:rPr>
              <w:t xml:space="preserve">2021-22 </w:t>
            </w:r>
            <w:proofErr w:type="gramStart"/>
            <w:r w:rsidRPr="008F69E7">
              <w:rPr>
                <w:rFonts w:asciiTheme="minorHAnsi" w:eastAsia="Times New Roman" w:hAnsiTheme="minorHAnsi" w:cstheme="minorHAnsi"/>
                <w:lang w:eastAsia="en-GB"/>
              </w:rPr>
              <w:t>Non-PP</w:t>
            </w:r>
            <w:proofErr w:type="gramEnd"/>
          </w:p>
        </w:tc>
      </w:tr>
      <w:tr w:rsidR="003C2B36" w14:paraId="41E79867" w14:textId="77777777" w:rsidTr="00124B76">
        <w:tc>
          <w:tcPr>
            <w:tcW w:w="2061" w:type="dxa"/>
            <w:gridSpan w:val="2"/>
          </w:tcPr>
          <w:p w14:paraId="6036DC35" w14:textId="3EE1952F" w:rsidR="00E043B8" w:rsidRPr="008F69E7" w:rsidRDefault="00E043B8" w:rsidP="008F69E7">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Attendance</w:t>
            </w:r>
          </w:p>
        </w:tc>
        <w:tc>
          <w:tcPr>
            <w:tcW w:w="1404" w:type="dxa"/>
            <w:shd w:val="clear" w:color="auto" w:fill="auto"/>
          </w:tcPr>
          <w:p w14:paraId="71EB5142" w14:textId="2080AFFD" w:rsidR="00E043B8" w:rsidRPr="00942C58" w:rsidRDefault="00124B76" w:rsidP="008F69E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93.6%</w:t>
            </w:r>
          </w:p>
        </w:tc>
        <w:tc>
          <w:tcPr>
            <w:tcW w:w="1404" w:type="dxa"/>
            <w:shd w:val="clear" w:color="auto" w:fill="DBE5F1" w:themeFill="accent1" w:themeFillTint="33"/>
          </w:tcPr>
          <w:p w14:paraId="7E8BF4BC" w14:textId="55FB26FB" w:rsidR="00E043B8" w:rsidRPr="00942C58" w:rsidRDefault="00651B5C" w:rsidP="008F69E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92.5%</w:t>
            </w:r>
          </w:p>
        </w:tc>
        <w:tc>
          <w:tcPr>
            <w:tcW w:w="1405" w:type="dxa"/>
            <w:shd w:val="clear" w:color="auto" w:fill="auto"/>
          </w:tcPr>
          <w:p w14:paraId="2B466C3D" w14:textId="04C35E09" w:rsidR="00E043B8" w:rsidRPr="00942C58" w:rsidRDefault="003A676D" w:rsidP="008F69E7">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94.9</w:t>
            </w:r>
            <w:r w:rsidR="00651B5C">
              <w:rPr>
                <w:rFonts w:asciiTheme="minorHAnsi" w:hAnsiTheme="minorHAnsi" w:cstheme="minorHAnsi"/>
                <w:sz w:val="20"/>
                <w:szCs w:val="20"/>
              </w:rPr>
              <w:t>%</w:t>
            </w:r>
          </w:p>
        </w:tc>
        <w:tc>
          <w:tcPr>
            <w:tcW w:w="1404" w:type="dxa"/>
          </w:tcPr>
          <w:p w14:paraId="33AABDC3" w14:textId="5525EEC9" w:rsidR="00E043B8" w:rsidRPr="00942C58" w:rsidRDefault="00E043B8" w:rsidP="008F69E7">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93.2%</w:t>
            </w:r>
          </w:p>
        </w:tc>
        <w:tc>
          <w:tcPr>
            <w:tcW w:w="1405" w:type="dxa"/>
            <w:shd w:val="clear" w:color="auto" w:fill="DBE5F1" w:themeFill="accent1" w:themeFillTint="33"/>
          </w:tcPr>
          <w:p w14:paraId="383EB9E2" w14:textId="01D8B533" w:rsidR="00E043B8" w:rsidRPr="00942C58" w:rsidRDefault="00E043B8" w:rsidP="008F69E7">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92.3%</w:t>
            </w:r>
          </w:p>
        </w:tc>
        <w:tc>
          <w:tcPr>
            <w:tcW w:w="1404" w:type="dxa"/>
          </w:tcPr>
          <w:p w14:paraId="596DD6FC" w14:textId="1A53967D" w:rsidR="00E043B8" w:rsidRPr="00942C58" w:rsidRDefault="00E043B8" w:rsidP="008F69E7">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94.9%</w:t>
            </w:r>
          </w:p>
        </w:tc>
        <w:tc>
          <w:tcPr>
            <w:tcW w:w="1405" w:type="dxa"/>
          </w:tcPr>
          <w:p w14:paraId="65DD711D" w14:textId="4B229B3E" w:rsidR="00E043B8" w:rsidRPr="00942C58" w:rsidRDefault="00E043B8" w:rsidP="008F69E7">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94.1%</w:t>
            </w:r>
          </w:p>
        </w:tc>
        <w:tc>
          <w:tcPr>
            <w:tcW w:w="1404" w:type="dxa"/>
            <w:shd w:val="clear" w:color="auto" w:fill="DBE5F1" w:themeFill="accent1" w:themeFillTint="33"/>
          </w:tcPr>
          <w:p w14:paraId="7B495121" w14:textId="6984E7EA" w:rsidR="00E043B8" w:rsidRPr="00942C58" w:rsidRDefault="00E043B8" w:rsidP="008F69E7">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93.9%</w:t>
            </w:r>
          </w:p>
        </w:tc>
        <w:tc>
          <w:tcPr>
            <w:tcW w:w="1405" w:type="dxa"/>
          </w:tcPr>
          <w:p w14:paraId="46BA58E6" w14:textId="25548BAF" w:rsidR="00E043B8" w:rsidRPr="00942C58" w:rsidRDefault="00E043B8" w:rsidP="008F69E7">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94.7%</w:t>
            </w:r>
          </w:p>
        </w:tc>
      </w:tr>
      <w:tr w:rsidR="003C2B36" w14:paraId="4CFAFD6C" w14:textId="77777777" w:rsidTr="00216AE6">
        <w:tc>
          <w:tcPr>
            <w:tcW w:w="2061" w:type="dxa"/>
            <w:gridSpan w:val="2"/>
          </w:tcPr>
          <w:p w14:paraId="0AFF91A8" w14:textId="21163BDC" w:rsidR="00E043B8" w:rsidRPr="008F69E7" w:rsidRDefault="00E043B8" w:rsidP="00374F66">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EYFS GLD</w:t>
            </w:r>
          </w:p>
        </w:tc>
        <w:tc>
          <w:tcPr>
            <w:tcW w:w="1404" w:type="dxa"/>
          </w:tcPr>
          <w:p w14:paraId="3445C0FC" w14:textId="27FDC654" w:rsidR="00E043B8" w:rsidRPr="00942C58" w:rsidRDefault="001B2A48"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36%</w:t>
            </w:r>
            <w:r w:rsidR="00586E3C">
              <w:rPr>
                <w:rFonts w:asciiTheme="minorHAnsi" w:hAnsiTheme="minorHAnsi" w:cstheme="minorHAnsi"/>
                <w:sz w:val="20"/>
                <w:szCs w:val="20"/>
              </w:rPr>
              <w:t xml:space="preserve"> (5/14)</w:t>
            </w:r>
          </w:p>
        </w:tc>
        <w:tc>
          <w:tcPr>
            <w:tcW w:w="1404" w:type="dxa"/>
            <w:shd w:val="clear" w:color="auto" w:fill="DBE5F1" w:themeFill="accent1" w:themeFillTint="33"/>
          </w:tcPr>
          <w:p w14:paraId="6005E3D1" w14:textId="3C07B5DA" w:rsidR="00E043B8" w:rsidRDefault="00E771C9"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33%</w:t>
            </w:r>
            <w:r w:rsidR="00C1515D">
              <w:rPr>
                <w:rFonts w:asciiTheme="minorHAnsi" w:hAnsiTheme="minorHAnsi" w:cstheme="minorHAnsi"/>
                <w:sz w:val="20"/>
                <w:szCs w:val="20"/>
              </w:rPr>
              <w:t xml:space="preserve"> (2/</w:t>
            </w:r>
            <w:r w:rsidR="00586E3C">
              <w:rPr>
                <w:rFonts w:asciiTheme="minorHAnsi" w:hAnsiTheme="minorHAnsi" w:cstheme="minorHAnsi"/>
                <w:sz w:val="20"/>
                <w:szCs w:val="20"/>
              </w:rPr>
              <w:t>9)</w:t>
            </w:r>
          </w:p>
          <w:p w14:paraId="7E15568B" w14:textId="758F685B" w:rsidR="003D7638" w:rsidRPr="003C2B36" w:rsidRDefault="003C2B36" w:rsidP="003C2B36">
            <w:pPr>
              <w:spacing w:after="0"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 xml:space="preserve">- </w:t>
            </w:r>
            <w:r w:rsidRPr="003C2B36">
              <w:rPr>
                <w:rFonts w:asciiTheme="minorHAnsi" w:hAnsiTheme="minorHAnsi" w:cstheme="minorHAnsi"/>
                <w:color w:val="FF0000"/>
                <w:sz w:val="20"/>
                <w:szCs w:val="20"/>
              </w:rPr>
              <w:t>42% (SEND)</w:t>
            </w:r>
          </w:p>
        </w:tc>
        <w:tc>
          <w:tcPr>
            <w:tcW w:w="1405" w:type="dxa"/>
          </w:tcPr>
          <w:p w14:paraId="4CF1E264" w14:textId="2C9175BB" w:rsidR="008017E3" w:rsidRPr="00942C58" w:rsidRDefault="008017E3" w:rsidP="008017E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60% </w:t>
            </w:r>
            <w:r w:rsidR="00C1515D">
              <w:rPr>
                <w:rFonts w:asciiTheme="minorHAnsi" w:hAnsiTheme="minorHAnsi" w:cstheme="minorHAnsi"/>
                <w:sz w:val="20"/>
                <w:szCs w:val="20"/>
              </w:rPr>
              <w:t>(3/5)</w:t>
            </w:r>
          </w:p>
        </w:tc>
        <w:tc>
          <w:tcPr>
            <w:tcW w:w="1404" w:type="dxa"/>
          </w:tcPr>
          <w:p w14:paraId="098398E6" w14:textId="710E4ECC"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86% (6/7)</w:t>
            </w:r>
          </w:p>
        </w:tc>
        <w:tc>
          <w:tcPr>
            <w:tcW w:w="1405" w:type="dxa"/>
            <w:shd w:val="clear" w:color="auto" w:fill="DBE5F1" w:themeFill="accent1" w:themeFillTint="33"/>
          </w:tcPr>
          <w:p w14:paraId="188D723E" w14:textId="1ECC1CD6" w:rsidR="00E043B8" w:rsidRPr="00942C58" w:rsidRDefault="00E043B8" w:rsidP="00374F66">
            <w:pPr>
              <w:spacing w:after="0" w:line="240" w:lineRule="auto"/>
              <w:jc w:val="center"/>
              <w:rPr>
                <w:rFonts w:asciiTheme="minorHAnsi" w:eastAsia="Times New Roman" w:hAnsiTheme="minorHAnsi" w:cstheme="minorHAnsi"/>
                <w:color w:val="00B050"/>
                <w:sz w:val="20"/>
                <w:szCs w:val="20"/>
                <w:lang w:eastAsia="en-GB"/>
              </w:rPr>
            </w:pPr>
            <w:r w:rsidRPr="00942C58">
              <w:rPr>
                <w:rFonts w:asciiTheme="minorHAnsi" w:eastAsia="Times New Roman" w:hAnsiTheme="minorHAnsi" w:cstheme="minorHAnsi"/>
                <w:sz w:val="20"/>
                <w:szCs w:val="20"/>
                <w:lang w:eastAsia="en-GB"/>
              </w:rPr>
              <w:t>75% (3/4)</w:t>
            </w:r>
            <w:r w:rsidRPr="00942C58">
              <w:rPr>
                <w:rFonts w:asciiTheme="minorHAnsi" w:eastAsia="Times New Roman" w:hAnsiTheme="minorHAnsi" w:cstheme="minorHAnsi"/>
                <w:color w:val="00B050"/>
                <w:sz w:val="20"/>
                <w:szCs w:val="20"/>
                <w:lang w:eastAsia="en-GB"/>
              </w:rPr>
              <w:t xml:space="preserve"> +15%</w:t>
            </w:r>
          </w:p>
        </w:tc>
        <w:tc>
          <w:tcPr>
            <w:tcW w:w="1404" w:type="dxa"/>
          </w:tcPr>
          <w:p w14:paraId="05648154" w14:textId="5F66AA83"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100% (3/3)</w:t>
            </w:r>
          </w:p>
        </w:tc>
        <w:tc>
          <w:tcPr>
            <w:tcW w:w="1405" w:type="dxa"/>
          </w:tcPr>
          <w:p w14:paraId="7BC22DF5" w14:textId="11627D3E"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71% (5/7)</w:t>
            </w:r>
          </w:p>
        </w:tc>
        <w:tc>
          <w:tcPr>
            <w:tcW w:w="1404" w:type="dxa"/>
            <w:shd w:val="clear" w:color="auto" w:fill="DBE5F1" w:themeFill="accent1" w:themeFillTint="33"/>
          </w:tcPr>
          <w:p w14:paraId="636A03EB" w14:textId="01375D51"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60% (3/5)</w:t>
            </w:r>
          </w:p>
        </w:tc>
        <w:tc>
          <w:tcPr>
            <w:tcW w:w="1405" w:type="dxa"/>
          </w:tcPr>
          <w:p w14:paraId="75252835" w14:textId="61799875"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100% (2/2)</w:t>
            </w:r>
          </w:p>
        </w:tc>
      </w:tr>
      <w:tr w:rsidR="003C2B36" w14:paraId="1E95DE2F" w14:textId="77777777" w:rsidTr="00216AE6">
        <w:tc>
          <w:tcPr>
            <w:tcW w:w="2061" w:type="dxa"/>
            <w:gridSpan w:val="2"/>
          </w:tcPr>
          <w:p w14:paraId="53D8F465" w14:textId="08216799" w:rsidR="00E043B8" w:rsidRPr="008F69E7" w:rsidRDefault="00E043B8" w:rsidP="00374F66">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Y1 PSC</w:t>
            </w:r>
          </w:p>
        </w:tc>
        <w:tc>
          <w:tcPr>
            <w:tcW w:w="1404" w:type="dxa"/>
          </w:tcPr>
          <w:p w14:paraId="2DF891B5" w14:textId="4A3BC055" w:rsidR="00E043B8" w:rsidRPr="00942C58" w:rsidRDefault="00B54243"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90%</w:t>
            </w:r>
            <w:r w:rsidR="00586E3C">
              <w:rPr>
                <w:rFonts w:asciiTheme="minorHAnsi" w:hAnsiTheme="minorHAnsi" w:cstheme="minorHAnsi"/>
                <w:sz w:val="20"/>
                <w:szCs w:val="20"/>
              </w:rPr>
              <w:t xml:space="preserve"> (9/10)</w:t>
            </w:r>
          </w:p>
        </w:tc>
        <w:tc>
          <w:tcPr>
            <w:tcW w:w="1404" w:type="dxa"/>
            <w:shd w:val="clear" w:color="auto" w:fill="DBE5F1" w:themeFill="accent1" w:themeFillTint="33"/>
          </w:tcPr>
          <w:p w14:paraId="49BD0626" w14:textId="77777777" w:rsidR="00E043B8" w:rsidRDefault="003D7638"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100%</w:t>
            </w:r>
            <w:r w:rsidR="00586E3C">
              <w:rPr>
                <w:rFonts w:asciiTheme="minorHAnsi" w:hAnsiTheme="minorHAnsi" w:cstheme="minorHAnsi"/>
                <w:sz w:val="20"/>
                <w:szCs w:val="20"/>
              </w:rPr>
              <w:t xml:space="preserve"> </w:t>
            </w:r>
            <w:r w:rsidR="00783BE9">
              <w:rPr>
                <w:rFonts w:asciiTheme="minorHAnsi" w:hAnsiTheme="minorHAnsi" w:cstheme="minorHAnsi"/>
                <w:sz w:val="20"/>
                <w:szCs w:val="20"/>
              </w:rPr>
              <w:t>(5/5)</w:t>
            </w:r>
          </w:p>
          <w:p w14:paraId="3D82D172" w14:textId="3AE65459" w:rsidR="004150E4" w:rsidRPr="00CC528D" w:rsidRDefault="00CC528D" w:rsidP="00374F66">
            <w:pPr>
              <w:spacing w:after="0" w:line="240" w:lineRule="auto"/>
              <w:jc w:val="center"/>
              <w:rPr>
                <w:rFonts w:asciiTheme="minorHAnsi" w:hAnsiTheme="minorHAnsi" w:cstheme="minorHAnsi"/>
                <w:color w:val="92D050"/>
                <w:sz w:val="20"/>
                <w:szCs w:val="20"/>
              </w:rPr>
            </w:pPr>
            <w:r>
              <w:rPr>
                <w:rFonts w:asciiTheme="minorHAnsi" w:hAnsiTheme="minorHAnsi" w:cstheme="minorHAnsi"/>
                <w:color w:val="92D050"/>
                <w:sz w:val="20"/>
                <w:szCs w:val="20"/>
              </w:rPr>
              <w:t>+34%</w:t>
            </w:r>
          </w:p>
        </w:tc>
        <w:tc>
          <w:tcPr>
            <w:tcW w:w="1405" w:type="dxa"/>
          </w:tcPr>
          <w:p w14:paraId="6CAE7199" w14:textId="3D4BD223" w:rsidR="00E043B8" w:rsidRPr="00942C58" w:rsidRDefault="00783BE9"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80% (4/5)</w:t>
            </w:r>
          </w:p>
        </w:tc>
        <w:tc>
          <w:tcPr>
            <w:tcW w:w="1404" w:type="dxa"/>
          </w:tcPr>
          <w:p w14:paraId="4524B091" w14:textId="09C8854C"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86% (6/7)</w:t>
            </w:r>
          </w:p>
        </w:tc>
        <w:tc>
          <w:tcPr>
            <w:tcW w:w="1405" w:type="dxa"/>
            <w:shd w:val="clear" w:color="auto" w:fill="DBE5F1" w:themeFill="accent1" w:themeFillTint="33"/>
          </w:tcPr>
          <w:p w14:paraId="2B967767" w14:textId="75B7169F" w:rsidR="00E043B8" w:rsidRPr="00942C58" w:rsidRDefault="00E043B8" w:rsidP="00374F66">
            <w:pPr>
              <w:spacing w:after="0" w:line="240" w:lineRule="auto"/>
              <w:jc w:val="center"/>
              <w:rPr>
                <w:rFonts w:asciiTheme="minorHAnsi" w:eastAsia="Times New Roman" w:hAnsiTheme="minorHAnsi" w:cstheme="minorHAnsi"/>
                <w:color w:val="00B050"/>
                <w:sz w:val="20"/>
                <w:szCs w:val="20"/>
                <w:lang w:eastAsia="en-GB"/>
              </w:rPr>
            </w:pPr>
            <w:r w:rsidRPr="00942C58">
              <w:rPr>
                <w:rFonts w:asciiTheme="minorHAnsi" w:eastAsia="Times New Roman" w:hAnsiTheme="minorHAnsi" w:cstheme="minorHAnsi"/>
                <w:sz w:val="20"/>
                <w:szCs w:val="20"/>
                <w:lang w:eastAsia="en-GB"/>
              </w:rPr>
              <w:t xml:space="preserve">80% (4/5) </w:t>
            </w:r>
            <w:r w:rsidRPr="00942C58">
              <w:rPr>
                <w:rFonts w:asciiTheme="minorHAnsi" w:eastAsia="Times New Roman" w:hAnsiTheme="minorHAnsi" w:cstheme="minorHAnsi"/>
                <w:color w:val="00B050"/>
                <w:sz w:val="20"/>
                <w:szCs w:val="20"/>
                <w:lang w:eastAsia="en-GB"/>
              </w:rPr>
              <w:t>+ 66%</w:t>
            </w:r>
          </w:p>
        </w:tc>
        <w:tc>
          <w:tcPr>
            <w:tcW w:w="1404" w:type="dxa"/>
          </w:tcPr>
          <w:p w14:paraId="466F8442" w14:textId="6F3AD6BF"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100% (2/2)</w:t>
            </w:r>
          </w:p>
        </w:tc>
        <w:tc>
          <w:tcPr>
            <w:tcW w:w="1405" w:type="dxa"/>
          </w:tcPr>
          <w:p w14:paraId="3F31A9A6" w14:textId="68F3448A"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36% (4/11)</w:t>
            </w:r>
          </w:p>
        </w:tc>
        <w:tc>
          <w:tcPr>
            <w:tcW w:w="1404" w:type="dxa"/>
            <w:shd w:val="clear" w:color="auto" w:fill="DBE5F1" w:themeFill="accent1" w:themeFillTint="33"/>
          </w:tcPr>
          <w:p w14:paraId="6F461EB1" w14:textId="4AF9B7E8"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14% (1/7)</w:t>
            </w:r>
          </w:p>
        </w:tc>
        <w:tc>
          <w:tcPr>
            <w:tcW w:w="1405" w:type="dxa"/>
          </w:tcPr>
          <w:p w14:paraId="701460E3" w14:textId="2C03DB96"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75% (3/4)</w:t>
            </w:r>
          </w:p>
        </w:tc>
      </w:tr>
      <w:tr w:rsidR="003C2B36" w14:paraId="0F640CA4" w14:textId="77777777" w:rsidTr="00216AE6">
        <w:tc>
          <w:tcPr>
            <w:tcW w:w="987" w:type="dxa"/>
            <w:vMerge w:val="restart"/>
          </w:tcPr>
          <w:p w14:paraId="35481318" w14:textId="77777777" w:rsidR="00E043B8" w:rsidRDefault="00E043B8" w:rsidP="0098797A">
            <w:pPr>
              <w:spacing w:after="0" w:line="240" w:lineRule="auto"/>
              <w:jc w:val="center"/>
              <w:rPr>
                <w:rFonts w:asciiTheme="minorHAnsi" w:eastAsia="Times New Roman" w:hAnsiTheme="minorHAnsi" w:cstheme="minorHAnsi"/>
                <w:lang w:eastAsia="en-GB"/>
              </w:rPr>
            </w:pPr>
          </w:p>
          <w:p w14:paraId="3B101EBE" w14:textId="1F8B7DEC" w:rsidR="00E043B8" w:rsidRPr="008F69E7" w:rsidRDefault="00E043B8" w:rsidP="0098797A">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KS1</w:t>
            </w:r>
          </w:p>
        </w:tc>
        <w:tc>
          <w:tcPr>
            <w:tcW w:w="1074" w:type="dxa"/>
          </w:tcPr>
          <w:p w14:paraId="38852F5A" w14:textId="39D6F8DC" w:rsidR="00E043B8" w:rsidRPr="008F69E7" w:rsidRDefault="00E043B8" w:rsidP="0098797A">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Reading</w:t>
            </w:r>
          </w:p>
        </w:tc>
        <w:tc>
          <w:tcPr>
            <w:tcW w:w="1404" w:type="dxa"/>
          </w:tcPr>
          <w:p w14:paraId="70576359" w14:textId="6B45CE6D" w:rsidR="00E043B8" w:rsidRPr="00942C58" w:rsidRDefault="00923FB7" w:rsidP="0098797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75</w:t>
            </w:r>
            <w:r w:rsidR="00CF0035">
              <w:rPr>
                <w:rFonts w:asciiTheme="minorHAnsi" w:hAnsiTheme="minorHAnsi" w:cstheme="minorHAnsi"/>
                <w:sz w:val="20"/>
                <w:szCs w:val="20"/>
              </w:rPr>
              <w:t>%</w:t>
            </w:r>
          </w:p>
        </w:tc>
        <w:tc>
          <w:tcPr>
            <w:tcW w:w="1404" w:type="dxa"/>
            <w:shd w:val="clear" w:color="auto" w:fill="DBE5F1" w:themeFill="accent1" w:themeFillTint="33"/>
          </w:tcPr>
          <w:p w14:paraId="62A3EB27" w14:textId="77777777" w:rsidR="00CC528D" w:rsidRDefault="009462B3" w:rsidP="0098797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67% (4/6)   </w:t>
            </w:r>
          </w:p>
          <w:p w14:paraId="53713629" w14:textId="37159088" w:rsidR="00E043B8" w:rsidRPr="00942C58" w:rsidRDefault="00CC528D" w:rsidP="0098797A">
            <w:pPr>
              <w:spacing w:after="0" w:line="240" w:lineRule="auto"/>
              <w:jc w:val="center"/>
              <w:rPr>
                <w:rFonts w:asciiTheme="minorHAnsi" w:hAnsiTheme="minorHAnsi" w:cstheme="minorHAnsi"/>
                <w:sz w:val="20"/>
                <w:szCs w:val="20"/>
              </w:rPr>
            </w:pPr>
            <w:r w:rsidRPr="00CC528D">
              <w:rPr>
                <w:rFonts w:asciiTheme="minorHAnsi" w:hAnsiTheme="minorHAnsi" w:cstheme="minorHAnsi"/>
                <w:color w:val="92D050"/>
                <w:sz w:val="20"/>
                <w:szCs w:val="20"/>
              </w:rPr>
              <w:t>+67%</w:t>
            </w:r>
            <w:r w:rsidR="009462B3" w:rsidRPr="00CC528D">
              <w:rPr>
                <w:rFonts w:asciiTheme="minorHAnsi" w:hAnsiTheme="minorHAnsi" w:cstheme="minorHAnsi"/>
                <w:color w:val="92D050"/>
                <w:sz w:val="20"/>
                <w:szCs w:val="20"/>
              </w:rPr>
              <w:t xml:space="preserve">        </w:t>
            </w:r>
          </w:p>
        </w:tc>
        <w:tc>
          <w:tcPr>
            <w:tcW w:w="1405" w:type="dxa"/>
          </w:tcPr>
          <w:p w14:paraId="5C6C4448" w14:textId="26804402" w:rsidR="00E043B8" w:rsidRPr="00942C58" w:rsidRDefault="009462B3" w:rsidP="0098797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100% (2/2)</w:t>
            </w:r>
          </w:p>
        </w:tc>
        <w:tc>
          <w:tcPr>
            <w:tcW w:w="1404" w:type="dxa"/>
          </w:tcPr>
          <w:p w14:paraId="68765800" w14:textId="2BE71DBA"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31% (4/13)</w:t>
            </w:r>
          </w:p>
        </w:tc>
        <w:tc>
          <w:tcPr>
            <w:tcW w:w="1405" w:type="dxa"/>
            <w:shd w:val="clear" w:color="auto" w:fill="DBE5F1" w:themeFill="accent1" w:themeFillTint="33"/>
          </w:tcPr>
          <w:p w14:paraId="1F1ADCB5" w14:textId="01B4A312" w:rsidR="00E043B8" w:rsidRPr="00942C58" w:rsidRDefault="00E043B8" w:rsidP="0098797A">
            <w:pPr>
              <w:spacing w:after="0" w:line="240" w:lineRule="auto"/>
              <w:jc w:val="center"/>
              <w:rPr>
                <w:rFonts w:asciiTheme="minorHAnsi" w:eastAsia="Times New Roman" w:hAnsiTheme="minorHAnsi" w:cstheme="minorHAnsi"/>
                <w:color w:val="FF0000"/>
                <w:sz w:val="20"/>
                <w:szCs w:val="20"/>
                <w:lang w:eastAsia="en-GB"/>
              </w:rPr>
            </w:pPr>
            <w:r w:rsidRPr="00942C58">
              <w:rPr>
                <w:rFonts w:asciiTheme="minorHAnsi" w:eastAsia="Times New Roman" w:hAnsiTheme="minorHAnsi" w:cstheme="minorHAnsi"/>
                <w:sz w:val="20"/>
                <w:szCs w:val="20"/>
                <w:lang w:eastAsia="en-GB"/>
              </w:rPr>
              <w:t xml:space="preserve">0% (0/8) </w:t>
            </w:r>
            <w:r w:rsidRPr="00942C58">
              <w:rPr>
                <w:rFonts w:asciiTheme="minorHAnsi" w:eastAsia="Times New Roman" w:hAnsiTheme="minorHAnsi" w:cstheme="minorHAnsi"/>
                <w:color w:val="FF0000"/>
                <w:sz w:val="20"/>
                <w:szCs w:val="20"/>
                <w:lang w:eastAsia="en-GB"/>
              </w:rPr>
              <w:t>-50%</w:t>
            </w:r>
          </w:p>
        </w:tc>
        <w:tc>
          <w:tcPr>
            <w:tcW w:w="1404" w:type="dxa"/>
          </w:tcPr>
          <w:p w14:paraId="6491C406" w14:textId="5262198B"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80% (4/5)</w:t>
            </w:r>
          </w:p>
        </w:tc>
        <w:tc>
          <w:tcPr>
            <w:tcW w:w="1405" w:type="dxa"/>
          </w:tcPr>
          <w:p w14:paraId="471A03D4" w14:textId="71E627A1"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38% (3/8)</w:t>
            </w:r>
          </w:p>
        </w:tc>
        <w:tc>
          <w:tcPr>
            <w:tcW w:w="1404" w:type="dxa"/>
            <w:shd w:val="clear" w:color="auto" w:fill="DBE5F1" w:themeFill="accent1" w:themeFillTint="33"/>
          </w:tcPr>
          <w:p w14:paraId="4C11BA33" w14:textId="728BD480"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(2/4)</w:t>
            </w:r>
          </w:p>
        </w:tc>
        <w:tc>
          <w:tcPr>
            <w:tcW w:w="1405" w:type="dxa"/>
          </w:tcPr>
          <w:p w14:paraId="5F211CBA" w14:textId="79643639"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25% (1/4)</w:t>
            </w:r>
          </w:p>
        </w:tc>
      </w:tr>
      <w:tr w:rsidR="003C2B36" w14:paraId="52A0D428" w14:textId="77777777" w:rsidTr="00216AE6">
        <w:tc>
          <w:tcPr>
            <w:tcW w:w="987" w:type="dxa"/>
            <w:vMerge/>
          </w:tcPr>
          <w:p w14:paraId="263B3CCF" w14:textId="77777777" w:rsidR="00E043B8" w:rsidRPr="008F69E7" w:rsidRDefault="00E043B8" w:rsidP="0098797A">
            <w:pPr>
              <w:spacing w:after="0" w:line="240" w:lineRule="auto"/>
              <w:jc w:val="center"/>
              <w:rPr>
                <w:rFonts w:asciiTheme="minorHAnsi" w:eastAsia="Times New Roman" w:hAnsiTheme="minorHAnsi" w:cstheme="minorHAnsi"/>
                <w:lang w:eastAsia="en-GB"/>
              </w:rPr>
            </w:pPr>
          </w:p>
        </w:tc>
        <w:tc>
          <w:tcPr>
            <w:tcW w:w="1074" w:type="dxa"/>
          </w:tcPr>
          <w:p w14:paraId="0C45AEE5" w14:textId="3D85CC82" w:rsidR="00E043B8" w:rsidRPr="008F69E7" w:rsidRDefault="00E043B8" w:rsidP="0098797A">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Writing </w:t>
            </w:r>
          </w:p>
        </w:tc>
        <w:tc>
          <w:tcPr>
            <w:tcW w:w="1404" w:type="dxa"/>
          </w:tcPr>
          <w:p w14:paraId="063DF3C1" w14:textId="48567164" w:rsidR="00E043B8" w:rsidRPr="00942C58" w:rsidRDefault="00923FB7" w:rsidP="0098797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75</w:t>
            </w:r>
            <w:r w:rsidR="00CF0035">
              <w:rPr>
                <w:rFonts w:asciiTheme="minorHAnsi" w:hAnsiTheme="minorHAnsi" w:cstheme="minorHAnsi"/>
                <w:sz w:val="20"/>
                <w:szCs w:val="20"/>
              </w:rPr>
              <w:t>%</w:t>
            </w:r>
          </w:p>
        </w:tc>
        <w:tc>
          <w:tcPr>
            <w:tcW w:w="1404" w:type="dxa"/>
            <w:shd w:val="clear" w:color="auto" w:fill="DBE5F1" w:themeFill="accent1" w:themeFillTint="33"/>
          </w:tcPr>
          <w:p w14:paraId="6254C566" w14:textId="77777777" w:rsidR="00E043B8" w:rsidRDefault="009462B3" w:rsidP="0098797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67% (4/6)</w:t>
            </w:r>
          </w:p>
          <w:p w14:paraId="5BC53AAA" w14:textId="4AA1621E" w:rsidR="008A7762" w:rsidRPr="008A7762" w:rsidRDefault="00CC528D" w:rsidP="0098797A">
            <w:pPr>
              <w:spacing w:after="0" w:line="240" w:lineRule="auto"/>
              <w:jc w:val="center"/>
              <w:rPr>
                <w:rFonts w:asciiTheme="minorHAnsi" w:hAnsiTheme="minorHAnsi" w:cstheme="minorHAnsi"/>
                <w:color w:val="92D050"/>
                <w:sz w:val="20"/>
                <w:szCs w:val="20"/>
              </w:rPr>
            </w:pPr>
            <w:r>
              <w:rPr>
                <w:rFonts w:asciiTheme="minorHAnsi" w:hAnsiTheme="minorHAnsi" w:cstheme="minorHAnsi"/>
                <w:color w:val="92D050"/>
                <w:sz w:val="20"/>
                <w:szCs w:val="20"/>
              </w:rPr>
              <w:t>+67%</w:t>
            </w:r>
          </w:p>
        </w:tc>
        <w:tc>
          <w:tcPr>
            <w:tcW w:w="1405" w:type="dxa"/>
          </w:tcPr>
          <w:p w14:paraId="22C3CDA6" w14:textId="1E50D9BF" w:rsidR="00E043B8" w:rsidRPr="00942C58" w:rsidRDefault="009462B3" w:rsidP="0098797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100% (2/2)</w:t>
            </w:r>
          </w:p>
        </w:tc>
        <w:tc>
          <w:tcPr>
            <w:tcW w:w="1404" w:type="dxa"/>
          </w:tcPr>
          <w:p w14:paraId="68534D52" w14:textId="332B64B9"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0% (0/13)</w:t>
            </w:r>
          </w:p>
        </w:tc>
        <w:tc>
          <w:tcPr>
            <w:tcW w:w="1405" w:type="dxa"/>
            <w:shd w:val="clear" w:color="auto" w:fill="DBE5F1" w:themeFill="accent1" w:themeFillTint="33"/>
          </w:tcPr>
          <w:p w14:paraId="5ECA4397" w14:textId="0252C10D" w:rsidR="00E043B8" w:rsidRPr="00942C58" w:rsidRDefault="00E043B8" w:rsidP="0098797A">
            <w:pPr>
              <w:spacing w:after="0" w:line="240" w:lineRule="auto"/>
              <w:jc w:val="center"/>
              <w:rPr>
                <w:rFonts w:asciiTheme="minorHAnsi" w:eastAsia="Times New Roman" w:hAnsiTheme="minorHAnsi" w:cstheme="minorHAnsi"/>
                <w:color w:val="FF0000"/>
                <w:sz w:val="20"/>
                <w:szCs w:val="20"/>
                <w:lang w:eastAsia="en-GB"/>
              </w:rPr>
            </w:pPr>
            <w:r w:rsidRPr="00942C58">
              <w:rPr>
                <w:rFonts w:asciiTheme="minorHAnsi" w:eastAsia="Times New Roman" w:hAnsiTheme="minorHAnsi" w:cstheme="minorHAnsi"/>
                <w:sz w:val="20"/>
                <w:szCs w:val="20"/>
                <w:lang w:eastAsia="en-GB"/>
              </w:rPr>
              <w:t>0% (0/8)</w:t>
            </w:r>
            <w:r w:rsidRPr="00942C58">
              <w:rPr>
                <w:rFonts w:asciiTheme="minorHAnsi" w:eastAsia="Times New Roman" w:hAnsiTheme="minorHAnsi" w:cstheme="minorHAnsi"/>
                <w:color w:val="FF0000"/>
                <w:sz w:val="20"/>
                <w:szCs w:val="20"/>
                <w:lang w:eastAsia="en-GB"/>
              </w:rPr>
              <w:t xml:space="preserve"> -75%</w:t>
            </w:r>
          </w:p>
        </w:tc>
        <w:tc>
          <w:tcPr>
            <w:tcW w:w="1404" w:type="dxa"/>
          </w:tcPr>
          <w:p w14:paraId="108FDAEA" w14:textId="555BDD9A"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0% (0/5)</w:t>
            </w:r>
          </w:p>
        </w:tc>
        <w:tc>
          <w:tcPr>
            <w:tcW w:w="1405" w:type="dxa"/>
          </w:tcPr>
          <w:p w14:paraId="79CDFB6D" w14:textId="3A1B9ACA"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(4/8)</w:t>
            </w:r>
          </w:p>
        </w:tc>
        <w:tc>
          <w:tcPr>
            <w:tcW w:w="1404" w:type="dxa"/>
            <w:shd w:val="clear" w:color="auto" w:fill="DBE5F1" w:themeFill="accent1" w:themeFillTint="33"/>
          </w:tcPr>
          <w:p w14:paraId="6E337C2E" w14:textId="14810F23"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75% (3/4)</w:t>
            </w:r>
          </w:p>
        </w:tc>
        <w:tc>
          <w:tcPr>
            <w:tcW w:w="1405" w:type="dxa"/>
          </w:tcPr>
          <w:p w14:paraId="482FED04" w14:textId="362E70E1" w:rsidR="00E043B8" w:rsidRPr="00942C58" w:rsidRDefault="00E043B8" w:rsidP="0098797A">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25% (1/4)</w:t>
            </w:r>
          </w:p>
        </w:tc>
      </w:tr>
      <w:tr w:rsidR="003C2B36" w14:paraId="2E048396" w14:textId="77777777" w:rsidTr="00216AE6">
        <w:tc>
          <w:tcPr>
            <w:tcW w:w="987" w:type="dxa"/>
            <w:vMerge/>
          </w:tcPr>
          <w:p w14:paraId="07B20107" w14:textId="77777777" w:rsidR="00E043B8" w:rsidRPr="008F69E7" w:rsidRDefault="00E043B8" w:rsidP="00374F66">
            <w:pPr>
              <w:spacing w:after="0" w:line="240" w:lineRule="auto"/>
              <w:jc w:val="center"/>
              <w:rPr>
                <w:rFonts w:asciiTheme="minorHAnsi" w:eastAsia="Times New Roman" w:hAnsiTheme="minorHAnsi" w:cstheme="minorHAnsi"/>
                <w:lang w:eastAsia="en-GB"/>
              </w:rPr>
            </w:pPr>
          </w:p>
        </w:tc>
        <w:tc>
          <w:tcPr>
            <w:tcW w:w="1074" w:type="dxa"/>
          </w:tcPr>
          <w:p w14:paraId="7EF7DFAA" w14:textId="07F13F37" w:rsidR="00E043B8" w:rsidRPr="008F69E7" w:rsidRDefault="00E043B8" w:rsidP="00374F66">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Maths</w:t>
            </w:r>
          </w:p>
        </w:tc>
        <w:tc>
          <w:tcPr>
            <w:tcW w:w="1404" w:type="dxa"/>
          </w:tcPr>
          <w:p w14:paraId="43DD5A9D" w14:textId="00571048" w:rsidR="00E043B8" w:rsidRPr="00942C58" w:rsidRDefault="00ED19AF"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w:t>
            </w:r>
            <w:r w:rsidR="00923FB7">
              <w:rPr>
                <w:rFonts w:asciiTheme="minorHAnsi" w:hAnsiTheme="minorHAnsi" w:cstheme="minorHAnsi"/>
                <w:sz w:val="20"/>
                <w:szCs w:val="20"/>
              </w:rPr>
              <w:t>5</w:t>
            </w:r>
            <w:r w:rsidR="00CF0035">
              <w:rPr>
                <w:rFonts w:asciiTheme="minorHAnsi" w:hAnsiTheme="minorHAnsi" w:cstheme="minorHAnsi"/>
                <w:sz w:val="20"/>
                <w:szCs w:val="20"/>
              </w:rPr>
              <w:t>%</w:t>
            </w:r>
          </w:p>
        </w:tc>
        <w:tc>
          <w:tcPr>
            <w:tcW w:w="1404" w:type="dxa"/>
            <w:shd w:val="clear" w:color="auto" w:fill="DBE5F1" w:themeFill="accent1" w:themeFillTint="33"/>
          </w:tcPr>
          <w:p w14:paraId="0581582F" w14:textId="77777777" w:rsidR="00E043B8" w:rsidRDefault="009462B3"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67% (4/6)</w:t>
            </w:r>
          </w:p>
          <w:p w14:paraId="4DAF060F" w14:textId="6989C08F" w:rsidR="008A7762" w:rsidRPr="008A7762" w:rsidRDefault="008A7762" w:rsidP="00374F66">
            <w:pPr>
              <w:spacing w:after="0" w:line="240" w:lineRule="auto"/>
              <w:jc w:val="center"/>
              <w:rPr>
                <w:rFonts w:asciiTheme="minorHAnsi" w:hAnsiTheme="minorHAnsi" w:cstheme="minorHAnsi"/>
                <w:color w:val="92D050"/>
                <w:sz w:val="20"/>
                <w:szCs w:val="20"/>
              </w:rPr>
            </w:pPr>
            <w:r>
              <w:rPr>
                <w:rFonts w:asciiTheme="minorHAnsi" w:hAnsiTheme="minorHAnsi" w:cstheme="minorHAnsi"/>
                <w:color w:val="92D050"/>
                <w:sz w:val="20"/>
                <w:szCs w:val="20"/>
              </w:rPr>
              <w:t>19.5%</w:t>
            </w:r>
          </w:p>
        </w:tc>
        <w:tc>
          <w:tcPr>
            <w:tcW w:w="1405" w:type="dxa"/>
          </w:tcPr>
          <w:p w14:paraId="14BC9168" w14:textId="193051B7" w:rsidR="00E043B8" w:rsidRPr="00942C58" w:rsidRDefault="009462B3"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100% (2/2)</w:t>
            </w:r>
          </w:p>
        </w:tc>
        <w:tc>
          <w:tcPr>
            <w:tcW w:w="1404" w:type="dxa"/>
          </w:tcPr>
          <w:p w14:paraId="064C747F" w14:textId="3157EA19"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38% (5/13)</w:t>
            </w:r>
          </w:p>
        </w:tc>
        <w:tc>
          <w:tcPr>
            <w:tcW w:w="1405" w:type="dxa"/>
            <w:shd w:val="clear" w:color="auto" w:fill="DBE5F1" w:themeFill="accent1" w:themeFillTint="33"/>
          </w:tcPr>
          <w:p w14:paraId="3E1DE9CE" w14:textId="7FC58441" w:rsidR="00E043B8" w:rsidRPr="00942C58" w:rsidRDefault="00E043B8" w:rsidP="00374F66">
            <w:pPr>
              <w:spacing w:after="0" w:line="240" w:lineRule="auto"/>
              <w:jc w:val="center"/>
              <w:rPr>
                <w:rFonts w:asciiTheme="minorHAnsi" w:eastAsia="Times New Roman" w:hAnsiTheme="minorHAnsi" w:cstheme="minorHAnsi"/>
                <w:color w:val="FF0000"/>
                <w:sz w:val="20"/>
                <w:szCs w:val="20"/>
                <w:lang w:eastAsia="en-GB"/>
              </w:rPr>
            </w:pPr>
            <w:r w:rsidRPr="00942C58">
              <w:rPr>
                <w:rFonts w:asciiTheme="minorHAnsi" w:eastAsia="Times New Roman" w:hAnsiTheme="minorHAnsi" w:cstheme="minorHAnsi"/>
                <w:sz w:val="20"/>
                <w:szCs w:val="20"/>
                <w:lang w:eastAsia="en-GB"/>
              </w:rPr>
              <w:t xml:space="preserve">12.5% (1/8) </w:t>
            </w:r>
            <w:r w:rsidRPr="00942C58">
              <w:rPr>
                <w:rFonts w:asciiTheme="minorHAnsi" w:eastAsia="Times New Roman" w:hAnsiTheme="minorHAnsi" w:cstheme="minorHAnsi"/>
                <w:color w:val="FF0000"/>
                <w:sz w:val="20"/>
                <w:szCs w:val="20"/>
                <w:lang w:eastAsia="en-GB"/>
              </w:rPr>
              <w:t>-37.5%</w:t>
            </w:r>
          </w:p>
        </w:tc>
        <w:tc>
          <w:tcPr>
            <w:tcW w:w="1404" w:type="dxa"/>
          </w:tcPr>
          <w:p w14:paraId="1C9F4A1F" w14:textId="6C85E9AF"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80% (4/5)</w:t>
            </w:r>
          </w:p>
        </w:tc>
        <w:tc>
          <w:tcPr>
            <w:tcW w:w="1405" w:type="dxa"/>
          </w:tcPr>
          <w:p w14:paraId="25EB4947" w14:textId="7CE1777E"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38% (3/8)</w:t>
            </w:r>
          </w:p>
        </w:tc>
        <w:tc>
          <w:tcPr>
            <w:tcW w:w="1404" w:type="dxa"/>
            <w:shd w:val="clear" w:color="auto" w:fill="DBE5F1" w:themeFill="accent1" w:themeFillTint="33"/>
          </w:tcPr>
          <w:p w14:paraId="4E66DD3E" w14:textId="33A983E9"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(2/4)</w:t>
            </w:r>
          </w:p>
        </w:tc>
        <w:tc>
          <w:tcPr>
            <w:tcW w:w="1405" w:type="dxa"/>
          </w:tcPr>
          <w:p w14:paraId="5B42730E" w14:textId="741CC715"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25% (1/4)</w:t>
            </w:r>
          </w:p>
        </w:tc>
      </w:tr>
      <w:tr w:rsidR="003C2B36" w14:paraId="1CE29D10" w14:textId="77777777" w:rsidTr="00216AE6">
        <w:tc>
          <w:tcPr>
            <w:tcW w:w="987" w:type="dxa"/>
            <w:vMerge w:val="restart"/>
          </w:tcPr>
          <w:p w14:paraId="25ECC118" w14:textId="77777777" w:rsidR="00E043B8" w:rsidRDefault="00E043B8" w:rsidP="00374F66">
            <w:pPr>
              <w:spacing w:after="0" w:line="240" w:lineRule="auto"/>
              <w:jc w:val="center"/>
              <w:rPr>
                <w:rFonts w:asciiTheme="minorHAnsi" w:eastAsia="Times New Roman" w:hAnsiTheme="minorHAnsi" w:cstheme="minorHAnsi"/>
                <w:lang w:eastAsia="en-GB"/>
              </w:rPr>
            </w:pPr>
          </w:p>
          <w:p w14:paraId="6F62C9E6" w14:textId="77777777" w:rsidR="00E043B8" w:rsidRDefault="00E043B8" w:rsidP="00374F66">
            <w:pPr>
              <w:spacing w:after="0" w:line="240" w:lineRule="auto"/>
              <w:jc w:val="center"/>
              <w:rPr>
                <w:rFonts w:asciiTheme="minorHAnsi" w:eastAsia="Times New Roman" w:hAnsiTheme="minorHAnsi" w:cstheme="minorHAnsi"/>
                <w:lang w:eastAsia="en-GB"/>
              </w:rPr>
            </w:pPr>
          </w:p>
          <w:p w14:paraId="35465A11" w14:textId="570F7CE5" w:rsidR="00E043B8" w:rsidRPr="008F69E7" w:rsidRDefault="00E043B8" w:rsidP="00374F66">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KS2</w:t>
            </w:r>
          </w:p>
        </w:tc>
        <w:tc>
          <w:tcPr>
            <w:tcW w:w="1074" w:type="dxa"/>
          </w:tcPr>
          <w:p w14:paraId="7E38D5D3" w14:textId="4EADF741" w:rsidR="00E043B8" w:rsidRPr="008F69E7" w:rsidRDefault="00E043B8" w:rsidP="00374F66">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CRWM</w:t>
            </w:r>
          </w:p>
        </w:tc>
        <w:tc>
          <w:tcPr>
            <w:tcW w:w="1404" w:type="dxa"/>
          </w:tcPr>
          <w:p w14:paraId="36179790" w14:textId="4EBDCF41" w:rsidR="00E043B8" w:rsidRPr="00942C58" w:rsidRDefault="00A35EE8"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53% (</w:t>
            </w:r>
            <w:r w:rsidR="006E5A17">
              <w:rPr>
                <w:rFonts w:asciiTheme="minorHAnsi" w:hAnsiTheme="minorHAnsi" w:cstheme="minorHAnsi"/>
                <w:sz w:val="20"/>
                <w:szCs w:val="20"/>
              </w:rPr>
              <w:t>9/17)</w:t>
            </w:r>
          </w:p>
        </w:tc>
        <w:tc>
          <w:tcPr>
            <w:tcW w:w="1404" w:type="dxa"/>
            <w:shd w:val="clear" w:color="auto" w:fill="DBE5F1" w:themeFill="accent1" w:themeFillTint="33"/>
          </w:tcPr>
          <w:p w14:paraId="212A6049" w14:textId="77777777" w:rsidR="00E043B8" w:rsidRDefault="00CB0506"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50% (6/12)</w:t>
            </w:r>
          </w:p>
          <w:p w14:paraId="3779FA92" w14:textId="0F1280FE" w:rsidR="004150E4" w:rsidRPr="008A7762" w:rsidRDefault="008A7762" w:rsidP="00374F66">
            <w:pPr>
              <w:spacing w:after="0" w:line="240" w:lineRule="auto"/>
              <w:jc w:val="center"/>
              <w:rPr>
                <w:rFonts w:asciiTheme="minorHAnsi" w:hAnsiTheme="minorHAnsi" w:cstheme="minorHAnsi"/>
                <w:color w:val="92D050"/>
                <w:sz w:val="20"/>
                <w:szCs w:val="20"/>
              </w:rPr>
            </w:pPr>
            <w:r>
              <w:rPr>
                <w:rFonts w:asciiTheme="minorHAnsi" w:hAnsiTheme="minorHAnsi" w:cstheme="minorHAnsi"/>
                <w:color w:val="92D050"/>
                <w:sz w:val="20"/>
                <w:szCs w:val="20"/>
              </w:rPr>
              <w:t>+7%</w:t>
            </w:r>
          </w:p>
        </w:tc>
        <w:tc>
          <w:tcPr>
            <w:tcW w:w="1405" w:type="dxa"/>
          </w:tcPr>
          <w:p w14:paraId="1A58E583" w14:textId="130996D9" w:rsidR="00E043B8" w:rsidRPr="00942C58" w:rsidRDefault="00A37E21" w:rsidP="00374F6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60% (3/5)</w:t>
            </w:r>
          </w:p>
        </w:tc>
        <w:tc>
          <w:tcPr>
            <w:tcW w:w="1404" w:type="dxa"/>
          </w:tcPr>
          <w:p w14:paraId="656FF2AA" w14:textId="348CD876"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(5/10)</w:t>
            </w:r>
          </w:p>
        </w:tc>
        <w:tc>
          <w:tcPr>
            <w:tcW w:w="1405" w:type="dxa"/>
            <w:shd w:val="clear" w:color="auto" w:fill="DBE5F1" w:themeFill="accent1" w:themeFillTint="33"/>
          </w:tcPr>
          <w:p w14:paraId="12BD5D12" w14:textId="4ABC9F7A" w:rsidR="00E043B8" w:rsidRPr="00942C58" w:rsidRDefault="00E043B8" w:rsidP="00374F66">
            <w:pPr>
              <w:spacing w:after="0" w:line="240" w:lineRule="auto"/>
              <w:jc w:val="center"/>
              <w:rPr>
                <w:rFonts w:asciiTheme="minorHAnsi" w:eastAsia="Times New Roman" w:hAnsiTheme="minorHAnsi" w:cstheme="minorHAnsi"/>
                <w:color w:val="00B050"/>
                <w:sz w:val="20"/>
                <w:szCs w:val="20"/>
                <w:lang w:eastAsia="en-GB"/>
              </w:rPr>
            </w:pPr>
            <w:r w:rsidRPr="00942C58">
              <w:rPr>
                <w:rFonts w:asciiTheme="minorHAnsi" w:eastAsia="Times New Roman" w:hAnsiTheme="minorHAnsi" w:cstheme="minorHAnsi"/>
                <w:sz w:val="20"/>
                <w:szCs w:val="20"/>
                <w:lang w:eastAsia="en-GB"/>
              </w:rPr>
              <w:t xml:space="preserve">43% (3/7) </w:t>
            </w:r>
            <w:r w:rsidRPr="00942C58">
              <w:rPr>
                <w:rFonts w:asciiTheme="minorHAnsi" w:eastAsia="Times New Roman" w:hAnsiTheme="minorHAnsi" w:cstheme="minorHAnsi"/>
                <w:color w:val="00B050"/>
                <w:sz w:val="20"/>
                <w:szCs w:val="20"/>
                <w:lang w:eastAsia="en-GB"/>
              </w:rPr>
              <w:t>+43%</w:t>
            </w:r>
          </w:p>
        </w:tc>
        <w:tc>
          <w:tcPr>
            <w:tcW w:w="1404" w:type="dxa"/>
          </w:tcPr>
          <w:p w14:paraId="05A831F1" w14:textId="738EEA2A"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66% (2/3)</w:t>
            </w:r>
          </w:p>
        </w:tc>
        <w:tc>
          <w:tcPr>
            <w:tcW w:w="1405" w:type="dxa"/>
          </w:tcPr>
          <w:p w14:paraId="20909915" w14:textId="638AB649"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20% (2/10)</w:t>
            </w:r>
          </w:p>
        </w:tc>
        <w:tc>
          <w:tcPr>
            <w:tcW w:w="1404" w:type="dxa"/>
            <w:shd w:val="clear" w:color="auto" w:fill="DBE5F1" w:themeFill="accent1" w:themeFillTint="33"/>
          </w:tcPr>
          <w:p w14:paraId="664D8CC0" w14:textId="5EF0B04C"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0% (0/6)</w:t>
            </w:r>
          </w:p>
        </w:tc>
        <w:tc>
          <w:tcPr>
            <w:tcW w:w="1405" w:type="dxa"/>
          </w:tcPr>
          <w:p w14:paraId="481D7E96" w14:textId="3772D536" w:rsidR="00E043B8" w:rsidRPr="00942C58" w:rsidRDefault="00E043B8" w:rsidP="00374F66">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(2/4)</w:t>
            </w:r>
          </w:p>
        </w:tc>
      </w:tr>
      <w:tr w:rsidR="003C2B36" w14:paraId="69BA516F" w14:textId="77777777" w:rsidTr="00216AE6">
        <w:tc>
          <w:tcPr>
            <w:tcW w:w="987" w:type="dxa"/>
            <w:vMerge/>
          </w:tcPr>
          <w:p w14:paraId="16358395" w14:textId="77777777" w:rsidR="00E043B8" w:rsidRPr="008F69E7" w:rsidRDefault="00E043B8" w:rsidP="00196382">
            <w:pPr>
              <w:spacing w:after="0" w:line="240" w:lineRule="auto"/>
              <w:jc w:val="center"/>
              <w:rPr>
                <w:rFonts w:asciiTheme="minorHAnsi" w:eastAsia="Times New Roman" w:hAnsiTheme="minorHAnsi" w:cstheme="minorHAnsi"/>
                <w:lang w:eastAsia="en-GB"/>
              </w:rPr>
            </w:pPr>
          </w:p>
        </w:tc>
        <w:tc>
          <w:tcPr>
            <w:tcW w:w="1074" w:type="dxa"/>
          </w:tcPr>
          <w:p w14:paraId="3CB025A9" w14:textId="632A28AB" w:rsidR="00E043B8" w:rsidRPr="008F69E7" w:rsidRDefault="00E043B8" w:rsidP="00196382">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Reading</w:t>
            </w:r>
          </w:p>
        </w:tc>
        <w:tc>
          <w:tcPr>
            <w:tcW w:w="1404" w:type="dxa"/>
          </w:tcPr>
          <w:p w14:paraId="025D6BD6" w14:textId="1172154F" w:rsidR="00E043B8" w:rsidRPr="00942C58" w:rsidRDefault="00F55B3D"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65</w:t>
            </w:r>
            <w:r w:rsidR="00CF0035">
              <w:rPr>
                <w:rFonts w:asciiTheme="minorHAnsi" w:hAnsiTheme="minorHAnsi" w:cstheme="minorHAnsi"/>
                <w:sz w:val="20"/>
                <w:szCs w:val="20"/>
              </w:rPr>
              <w:t>%</w:t>
            </w:r>
            <w:r w:rsidR="006E5A17">
              <w:rPr>
                <w:rFonts w:asciiTheme="minorHAnsi" w:hAnsiTheme="minorHAnsi" w:cstheme="minorHAnsi"/>
                <w:sz w:val="20"/>
                <w:szCs w:val="20"/>
              </w:rPr>
              <w:t xml:space="preserve"> (</w:t>
            </w:r>
            <w:r w:rsidR="00C14544">
              <w:rPr>
                <w:rFonts w:asciiTheme="minorHAnsi" w:hAnsiTheme="minorHAnsi" w:cstheme="minorHAnsi"/>
                <w:sz w:val="20"/>
                <w:szCs w:val="20"/>
              </w:rPr>
              <w:t>12/17)</w:t>
            </w:r>
          </w:p>
        </w:tc>
        <w:tc>
          <w:tcPr>
            <w:tcW w:w="1404" w:type="dxa"/>
            <w:shd w:val="clear" w:color="auto" w:fill="DBE5F1" w:themeFill="accent1" w:themeFillTint="33"/>
          </w:tcPr>
          <w:p w14:paraId="68E41683" w14:textId="77777777" w:rsidR="00E043B8" w:rsidRDefault="00E51BF1"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59%</w:t>
            </w:r>
            <w:r w:rsidR="004B1873">
              <w:rPr>
                <w:rFonts w:asciiTheme="minorHAnsi" w:hAnsiTheme="minorHAnsi" w:cstheme="minorHAnsi"/>
                <w:sz w:val="20"/>
                <w:szCs w:val="20"/>
              </w:rPr>
              <w:t xml:space="preserve"> (7/12)</w:t>
            </w:r>
          </w:p>
          <w:p w14:paraId="6D769F8D" w14:textId="08E05084" w:rsidR="004150E4" w:rsidRPr="004150E4" w:rsidRDefault="00147034" w:rsidP="00196382">
            <w:pPr>
              <w:spacing w:after="0" w:line="240" w:lineRule="auto"/>
              <w:jc w:val="center"/>
              <w:rPr>
                <w:rFonts w:asciiTheme="minorHAnsi" w:hAnsiTheme="minorHAnsi" w:cstheme="minorHAnsi"/>
                <w:color w:val="FF0000"/>
                <w:sz w:val="20"/>
                <w:szCs w:val="20"/>
              </w:rPr>
            </w:pPr>
            <w:r>
              <w:rPr>
                <w:rFonts w:asciiTheme="minorHAnsi" w:hAnsiTheme="minorHAnsi" w:cstheme="minorHAnsi"/>
                <w:color w:val="FF0000"/>
                <w:sz w:val="20"/>
                <w:szCs w:val="20"/>
              </w:rPr>
              <w:t>-27% SEND</w:t>
            </w:r>
          </w:p>
        </w:tc>
        <w:tc>
          <w:tcPr>
            <w:tcW w:w="1405" w:type="dxa"/>
          </w:tcPr>
          <w:p w14:paraId="75555298" w14:textId="5991B744" w:rsidR="00E043B8" w:rsidRPr="00942C58" w:rsidRDefault="00E51BF1"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80%</w:t>
            </w:r>
            <w:r w:rsidR="006C1EEB">
              <w:rPr>
                <w:rFonts w:asciiTheme="minorHAnsi" w:hAnsiTheme="minorHAnsi" w:cstheme="minorHAnsi"/>
                <w:sz w:val="20"/>
                <w:szCs w:val="20"/>
              </w:rPr>
              <w:t xml:space="preserve"> (4/5)</w:t>
            </w:r>
          </w:p>
        </w:tc>
        <w:tc>
          <w:tcPr>
            <w:tcW w:w="1404" w:type="dxa"/>
          </w:tcPr>
          <w:p w14:paraId="4CA19CBC" w14:textId="4670ED88"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70% (7/10)</w:t>
            </w:r>
          </w:p>
        </w:tc>
        <w:tc>
          <w:tcPr>
            <w:tcW w:w="1405" w:type="dxa"/>
            <w:shd w:val="clear" w:color="auto" w:fill="DBE5F1" w:themeFill="accent1" w:themeFillTint="33"/>
          </w:tcPr>
          <w:p w14:paraId="6F06B80D" w14:textId="501E18CC" w:rsidR="00E043B8" w:rsidRPr="00942C58" w:rsidRDefault="00E043B8" w:rsidP="00196382">
            <w:pPr>
              <w:spacing w:after="0" w:line="240" w:lineRule="auto"/>
              <w:jc w:val="center"/>
              <w:rPr>
                <w:rFonts w:asciiTheme="minorHAnsi" w:eastAsia="Times New Roman" w:hAnsiTheme="minorHAnsi" w:cstheme="minorHAnsi"/>
                <w:color w:val="00B050"/>
                <w:sz w:val="20"/>
                <w:szCs w:val="20"/>
                <w:lang w:eastAsia="en-GB"/>
              </w:rPr>
            </w:pPr>
            <w:r w:rsidRPr="00942C58">
              <w:rPr>
                <w:rFonts w:asciiTheme="minorHAnsi" w:eastAsia="Times New Roman" w:hAnsiTheme="minorHAnsi" w:cstheme="minorHAnsi"/>
                <w:sz w:val="20"/>
                <w:szCs w:val="20"/>
                <w:lang w:eastAsia="en-GB"/>
              </w:rPr>
              <w:t xml:space="preserve">86% (6/7) </w:t>
            </w:r>
            <w:r w:rsidRPr="00942C58">
              <w:rPr>
                <w:rFonts w:asciiTheme="minorHAnsi" w:eastAsia="Times New Roman" w:hAnsiTheme="minorHAnsi" w:cstheme="minorHAnsi"/>
                <w:color w:val="00B050"/>
                <w:sz w:val="20"/>
                <w:szCs w:val="20"/>
                <w:lang w:eastAsia="en-GB"/>
              </w:rPr>
              <w:t>+53%</w:t>
            </w:r>
          </w:p>
        </w:tc>
        <w:tc>
          <w:tcPr>
            <w:tcW w:w="1404" w:type="dxa"/>
          </w:tcPr>
          <w:p w14:paraId="6FCFD02B" w14:textId="7D422C1F"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66</w:t>
            </w:r>
            <w:proofErr w:type="gramStart"/>
            <w:r w:rsidRPr="00942C58">
              <w:rPr>
                <w:rFonts w:asciiTheme="minorHAnsi" w:eastAsia="Times New Roman" w:hAnsiTheme="minorHAnsi" w:cstheme="minorHAnsi"/>
                <w:sz w:val="20"/>
                <w:szCs w:val="20"/>
                <w:lang w:eastAsia="en-GB"/>
              </w:rPr>
              <w:t>%(</w:t>
            </w:r>
            <w:proofErr w:type="gramEnd"/>
            <w:r w:rsidRPr="00942C58">
              <w:rPr>
                <w:rFonts w:asciiTheme="minorHAnsi" w:eastAsia="Times New Roman" w:hAnsiTheme="minorHAnsi" w:cstheme="minorHAnsi"/>
                <w:sz w:val="20"/>
                <w:szCs w:val="20"/>
                <w:lang w:eastAsia="en-GB"/>
              </w:rPr>
              <w:t>2/3)</w:t>
            </w:r>
          </w:p>
        </w:tc>
        <w:tc>
          <w:tcPr>
            <w:tcW w:w="1405" w:type="dxa"/>
          </w:tcPr>
          <w:p w14:paraId="1271EECB" w14:textId="42A888F5"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40% (4/10)</w:t>
            </w:r>
          </w:p>
        </w:tc>
        <w:tc>
          <w:tcPr>
            <w:tcW w:w="1404" w:type="dxa"/>
            <w:shd w:val="clear" w:color="auto" w:fill="DBE5F1" w:themeFill="accent1" w:themeFillTint="33"/>
          </w:tcPr>
          <w:p w14:paraId="37E2AE40" w14:textId="798E3DCD"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33% (2/6)</w:t>
            </w:r>
          </w:p>
        </w:tc>
        <w:tc>
          <w:tcPr>
            <w:tcW w:w="1405" w:type="dxa"/>
          </w:tcPr>
          <w:p w14:paraId="0E439230" w14:textId="60E5E2CC"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(2/4)</w:t>
            </w:r>
          </w:p>
        </w:tc>
      </w:tr>
      <w:tr w:rsidR="003C2B36" w14:paraId="7CBBDF27" w14:textId="77777777" w:rsidTr="00216AE6">
        <w:tc>
          <w:tcPr>
            <w:tcW w:w="987" w:type="dxa"/>
            <w:vMerge/>
          </w:tcPr>
          <w:p w14:paraId="26707974" w14:textId="77777777" w:rsidR="00E043B8" w:rsidRPr="008F69E7" w:rsidRDefault="00E043B8" w:rsidP="00196382">
            <w:pPr>
              <w:spacing w:after="0" w:line="240" w:lineRule="auto"/>
              <w:jc w:val="center"/>
              <w:rPr>
                <w:rFonts w:asciiTheme="minorHAnsi" w:eastAsia="Times New Roman" w:hAnsiTheme="minorHAnsi" w:cstheme="minorHAnsi"/>
                <w:lang w:eastAsia="en-GB"/>
              </w:rPr>
            </w:pPr>
          </w:p>
        </w:tc>
        <w:tc>
          <w:tcPr>
            <w:tcW w:w="1074" w:type="dxa"/>
          </w:tcPr>
          <w:p w14:paraId="2BD30E7B" w14:textId="63670BC6" w:rsidR="00E043B8" w:rsidRPr="008F69E7" w:rsidRDefault="00E043B8" w:rsidP="00196382">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Writing </w:t>
            </w:r>
          </w:p>
        </w:tc>
        <w:tc>
          <w:tcPr>
            <w:tcW w:w="1404" w:type="dxa"/>
          </w:tcPr>
          <w:p w14:paraId="0CC75B35" w14:textId="30D7C660" w:rsidR="00E043B8" w:rsidRPr="00942C58" w:rsidRDefault="00CF0035"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53%</w:t>
            </w:r>
            <w:r w:rsidR="00C14544">
              <w:rPr>
                <w:rFonts w:asciiTheme="minorHAnsi" w:hAnsiTheme="minorHAnsi" w:cstheme="minorHAnsi"/>
                <w:sz w:val="20"/>
                <w:szCs w:val="20"/>
              </w:rPr>
              <w:t xml:space="preserve"> (9/17)</w:t>
            </w:r>
          </w:p>
        </w:tc>
        <w:tc>
          <w:tcPr>
            <w:tcW w:w="1404" w:type="dxa"/>
            <w:shd w:val="clear" w:color="auto" w:fill="DBE5F1" w:themeFill="accent1" w:themeFillTint="33"/>
          </w:tcPr>
          <w:p w14:paraId="3804735E" w14:textId="77777777" w:rsidR="00E043B8" w:rsidRDefault="00E51BF1"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50</w:t>
            </w:r>
            <w:proofErr w:type="gramStart"/>
            <w:r>
              <w:rPr>
                <w:rFonts w:asciiTheme="minorHAnsi" w:hAnsiTheme="minorHAnsi" w:cstheme="minorHAnsi"/>
                <w:sz w:val="20"/>
                <w:szCs w:val="20"/>
              </w:rPr>
              <w:t>%</w:t>
            </w:r>
            <w:r w:rsidR="004B1873">
              <w:rPr>
                <w:rFonts w:asciiTheme="minorHAnsi" w:hAnsiTheme="minorHAnsi" w:cstheme="minorHAnsi"/>
                <w:sz w:val="20"/>
                <w:szCs w:val="20"/>
              </w:rPr>
              <w:t>(</w:t>
            </w:r>
            <w:proofErr w:type="gramEnd"/>
            <w:r w:rsidR="004B1873">
              <w:rPr>
                <w:rFonts w:asciiTheme="minorHAnsi" w:hAnsiTheme="minorHAnsi" w:cstheme="minorHAnsi"/>
                <w:sz w:val="20"/>
                <w:szCs w:val="20"/>
              </w:rPr>
              <w:t>6/12)</w:t>
            </w:r>
          </w:p>
          <w:p w14:paraId="341B8B5A" w14:textId="25A4924A" w:rsidR="00147034" w:rsidRPr="00147034" w:rsidRDefault="00147034" w:rsidP="00196382">
            <w:pPr>
              <w:spacing w:after="0" w:line="240" w:lineRule="auto"/>
              <w:jc w:val="center"/>
              <w:rPr>
                <w:rFonts w:asciiTheme="minorHAnsi" w:hAnsiTheme="minorHAnsi" w:cstheme="minorHAnsi"/>
                <w:color w:val="92D050"/>
                <w:sz w:val="20"/>
                <w:szCs w:val="20"/>
              </w:rPr>
            </w:pPr>
            <w:r>
              <w:rPr>
                <w:rFonts w:asciiTheme="minorHAnsi" w:hAnsiTheme="minorHAnsi" w:cstheme="minorHAnsi"/>
                <w:color w:val="92D050"/>
                <w:sz w:val="20"/>
                <w:szCs w:val="20"/>
              </w:rPr>
              <w:t>+</w:t>
            </w:r>
            <w:r w:rsidR="008A7762">
              <w:rPr>
                <w:rFonts w:asciiTheme="minorHAnsi" w:hAnsiTheme="minorHAnsi" w:cstheme="minorHAnsi"/>
                <w:color w:val="92D050"/>
                <w:sz w:val="20"/>
                <w:szCs w:val="20"/>
              </w:rPr>
              <w:t>33%</w:t>
            </w:r>
          </w:p>
        </w:tc>
        <w:tc>
          <w:tcPr>
            <w:tcW w:w="1405" w:type="dxa"/>
          </w:tcPr>
          <w:p w14:paraId="3D70ED04" w14:textId="1EA4594F" w:rsidR="00E043B8" w:rsidRPr="00942C58" w:rsidRDefault="00E51BF1"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60%</w:t>
            </w:r>
            <w:r w:rsidR="006C1EEB">
              <w:rPr>
                <w:rFonts w:asciiTheme="minorHAnsi" w:hAnsiTheme="minorHAnsi" w:cstheme="minorHAnsi"/>
                <w:sz w:val="20"/>
                <w:szCs w:val="20"/>
              </w:rPr>
              <w:t xml:space="preserve"> (3/5)</w:t>
            </w:r>
          </w:p>
        </w:tc>
        <w:tc>
          <w:tcPr>
            <w:tcW w:w="1404" w:type="dxa"/>
          </w:tcPr>
          <w:p w14:paraId="5ADF4186" w14:textId="6607345E"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60% (6/10)</w:t>
            </w:r>
          </w:p>
        </w:tc>
        <w:tc>
          <w:tcPr>
            <w:tcW w:w="1405" w:type="dxa"/>
            <w:shd w:val="clear" w:color="auto" w:fill="DBE5F1" w:themeFill="accent1" w:themeFillTint="33"/>
          </w:tcPr>
          <w:p w14:paraId="41E19E67" w14:textId="5055DEDD" w:rsidR="00E043B8" w:rsidRPr="00942C58" w:rsidRDefault="00E043B8" w:rsidP="00196382">
            <w:pPr>
              <w:spacing w:after="0" w:line="240" w:lineRule="auto"/>
              <w:jc w:val="center"/>
              <w:rPr>
                <w:rFonts w:asciiTheme="minorHAnsi" w:eastAsia="Times New Roman" w:hAnsiTheme="minorHAnsi" w:cstheme="minorHAnsi"/>
                <w:color w:val="F79646" w:themeColor="accent6"/>
                <w:sz w:val="20"/>
                <w:szCs w:val="20"/>
                <w:lang w:eastAsia="en-GB"/>
              </w:rPr>
            </w:pPr>
            <w:r w:rsidRPr="00942C58">
              <w:rPr>
                <w:rFonts w:asciiTheme="minorHAnsi" w:eastAsia="Times New Roman" w:hAnsiTheme="minorHAnsi" w:cstheme="minorHAnsi"/>
                <w:sz w:val="20"/>
                <w:szCs w:val="20"/>
                <w:lang w:eastAsia="en-GB"/>
              </w:rPr>
              <w:t xml:space="preserve">17% (4/7) </w:t>
            </w:r>
            <w:r w:rsidRPr="00942C58">
              <w:rPr>
                <w:rFonts w:asciiTheme="minorHAnsi" w:eastAsia="Times New Roman" w:hAnsiTheme="minorHAnsi" w:cstheme="minorHAnsi"/>
                <w:color w:val="F79646" w:themeColor="accent6"/>
                <w:sz w:val="20"/>
                <w:szCs w:val="20"/>
                <w:lang w:eastAsia="en-GB"/>
              </w:rPr>
              <w:t>0%</w:t>
            </w:r>
          </w:p>
        </w:tc>
        <w:tc>
          <w:tcPr>
            <w:tcW w:w="1404" w:type="dxa"/>
          </w:tcPr>
          <w:p w14:paraId="07869E67" w14:textId="156AD015"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66% (2/3)</w:t>
            </w:r>
          </w:p>
        </w:tc>
        <w:tc>
          <w:tcPr>
            <w:tcW w:w="1405" w:type="dxa"/>
          </w:tcPr>
          <w:p w14:paraId="527785BF" w14:textId="569AF8EB"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30% (3/10)</w:t>
            </w:r>
          </w:p>
        </w:tc>
        <w:tc>
          <w:tcPr>
            <w:tcW w:w="1404" w:type="dxa"/>
            <w:shd w:val="clear" w:color="auto" w:fill="DBE5F1" w:themeFill="accent1" w:themeFillTint="33"/>
          </w:tcPr>
          <w:p w14:paraId="4E52D04B" w14:textId="6E3A99BA"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17% (1/6)</w:t>
            </w:r>
          </w:p>
        </w:tc>
        <w:tc>
          <w:tcPr>
            <w:tcW w:w="1405" w:type="dxa"/>
          </w:tcPr>
          <w:p w14:paraId="5A0DBA44" w14:textId="59286ACE"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(2/4)</w:t>
            </w:r>
          </w:p>
        </w:tc>
      </w:tr>
      <w:tr w:rsidR="003C2B36" w14:paraId="7B468CC0" w14:textId="77777777" w:rsidTr="00216AE6">
        <w:tc>
          <w:tcPr>
            <w:tcW w:w="987" w:type="dxa"/>
            <w:vMerge/>
          </w:tcPr>
          <w:p w14:paraId="7CDDD0F4" w14:textId="77777777" w:rsidR="00E043B8" w:rsidRPr="008F69E7" w:rsidRDefault="00E043B8" w:rsidP="00196382">
            <w:pPr>
              <w:spacing w:after="0" w:line="240" w:lineRule="auto"/>
              <w:jc w:val="center"/>
              <w:rPr>
                <w:rFonts w:asciiTheme="minorHAnsi" w:eastAsia="Times New Roman" w:hAnsiTheme="minorHAnsi" w:cstheme="minorHAnsi"/>
                <w:lang w:eastAsia="en-GB"/>
              </w:rPr>
            </w:pPr>
          </w:p>
        </w:tc>
        <w:tc>
          <w:tcPr>
            <w:tcW w:w="1074" w:type="dxa"/>
          </w:tcPr>
          <w:p w14:paraId="4E6CE2F0" w14:textId="033B9B1A" w:rsidR="00E043B8" w:rsidRPr="008F69E7" w:rsidRDefault="00E043B8" w:rsidP="00196382">
            <w:pPr>
              <w:spacing w:after="0" w:line="240" w:lineRule="auto"/>
              <w:jc w:val="center"/>
              <w:rPr>
                <w:rFonts w:asciiTheme="minorHAnsi" w:eastAsia="Times New Roman" w:hAnsiTheme="minorHAnsi" w:cstheme="minorHAnsi"/>
                <w:lang w:eastAsia="en-GB"/>
              </w:rPr>
            </w:pPr>
            <w:r>
              <w:rPr>
                <w:rFonts w:asciiTheme="minorHAnsi" w:eastAsia="Times New Roman" w:hAnsiTheme="minorHAnsi" w:cstheme="minorHAnsi"/>
                <w:lang w:eastAsia="en-GB"/>
              </w:rPr>
              <w:t>Maths</w:t>
            </w:r>
          </w:p>
        </w:tc>
        <w:tc>
          <w:tcPr>
            <w:tcW w:w="1404" w:type="dxa"/>
          </w:tcPr>
          <w:p w14:paraId="5DF93B81" w14:textId="7B897594" w:rsidR="00E043B8" w:rsidRPr="00942C58" w:rsidRDefault="00CF0035"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71</w:t>
            </w:r>
            <w:proofErr w:type="gramStart"/>
            <w:r>
              <w:rPr>
                <w:rFonts w:asciiTheme="minorHAnsi" w:hAnsiTheme="minorHAnsi" w:cstheme="minorHAnsi"/>
                <w:sz w:val="20"/>
                <w:szCs w:val="20"/>
              </w:rPr>
              <w:t>%</w:t>
            </w:r>
            <w:r w:rsidR="00C14544">
              <w:rPr>
                <w:rFonts w:asciiTheme="minorHAnsi" w:hAnsiTheme="minorHAnsi" w:cstheme="minorHAnsi"/>
                <w:sz w:val="20"/>
                <w:szCs w:val="20"/>
              </w:rPr>
              <w:t>(</w:t>
            </w:r>
            <w:proofErr w:type="gramEnd"/>
            <w:r w:rsidR="00C14544">
              <w:rPr>
                <w:rFonts w:asciiTheme="minorHAnsi" w:hAnsiTheme="minorHAnsi" w:cstheme="minorHAnsi"/>
                <w:sz w:val="20"/>
                <w:szCs w:val="20"/>
              </w:rPr>
              <w:t>13/17)</w:t>
            </w:r>
          </w:p>
        </w:tc>
        <w:tc>
          <w:tcPr>
            <w:tcW w:w="1404" w:type="dxa"/>
            <w:shd w:val="clear" w:color="auto" w:fill="DBE5F1" w:themeFill="accent1" w:themeFillTint="33"/>
          </w:tcPr>
          <w:p w14:paraId="0BB6C87F" w14:textId="77777777" w:rsidR="00E043B8" w:rsidRDefault="00E51BF1"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68%</w:t>
            </w:r>
            <w:r w:rsidR="006C1EEB">
              <w:rPr>
                <w:rFonts w:asciiTheme="minorHAnsi" w:hAnsiTheme="minorHAnsi" w:cstheme="minorHAnsi"/>
                <w:sz w:val="20"/>
                <w:szCs w:val="20"/>
              </w:rPr>
              <w:t xml:space="preserve"> (8/12)</w:t>
            </w:r>
          </w:p>
          <w:p w14:paraId="40E970DC" w14:textId="3A7A93D6" w:rsidR="00147034" w:rsidRPr="00147034" w:rsidRDefault="00147034" w:rsidP="00196382">
            <w:pPr>
              <w:spacing w:after="0" w:line="240" w:lineRule="auto"/>
              <w:jc w:val="center"/>
              <w:rPr>
                <w:rFonts w:asciiTheme="minorHAnsi" w:hAnsiTheme="minorHAnsi" w:cstheme="minorHAnsi"/>
                <w:color w:val="FF0000"/>
                <w:sz w:val="20"/>
                <w:szCs w:val="20"/>
              </w:rPr>
            </w:pPr>
            <w:r>
              <w:rPr>
                <w:rFonts w:asciiTheme="minorHAnsi" w:hAnsiTheme="minorHAnsi" w:cstheme="minorHAnsi"/>
                <w:color w:val="FF0000"/>
                <w:sz w:val="20"/>
                <w:szCs w:val="20"/>
              </w:rPr>
              <w:t>-18% SEND</w:t>
            </w:r>
          </w:p>
        </w:tc>
        <w:tc>
          <w:tcPr>
            <w:tcW w:w="1405" w:type="dxa"/>
          </w:tcPr>
          <w:p w14:paraId="0AB5287F" w14:textId="4A78DC8F" w:rsidR="00E043B8" w:rsidRPr="00942C58" w:rsidRDefault="00FA1E13" w:rsidP="00196382">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80%</w:t>
            </w:r>
            <w:r w:rsidR="006C1EEB">
              <w:rPr>
                <w:rFonts w:asciiTheme="minorHAnsi" w:hAnsiTheme="minorHAnsi" w:cstheme="minorHAnsi"/>
                <w:sz w:val="20"/>
                <w:szCs w:val="20"/>
              </w:rPr>
              <w:t xml:space="preserve"> (4/5)</w:t>
            </w:r>
          </w:p>
        </w:tc>
        <w:tc>
          <w:tcPr>
            <w:tcW w:w="1404" w:type="dxa"/>
          </w:tcPr>
          <w:p w14:paraId="424AF01F" w14:textId="1216AB45"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80% (8/10)</w:t>
            </w:r>
          </w:p>
        </w:tc>
        <w:tc>
          <w:tcPr>
            <w:tcW w:w="1405" w:type="dxa"/>
            <w:shd w:val="clear" w:color="auto" w:fill="DBE5F1" w:themeFill="accent1" w:themeFillTint="33"/>
          </w:tcPr>
          <w:p w14:paraId="4FEAB46C" w14:textId="3E95CFDF" w:rsidR="00E043B8" w:rsidRPr="00942C58" w:rsidRDefault="00E043B8" w:rsidP="00196382">
            <w:pPr>
              <w:spacing w:after="0" w:line="240" w:lineRule="auto"/>
              <w:jc w:val="center"/>
              <w:rPr>
                <w:rFonts w:asciiTheme="minorHAnsi" w:eastAsia="Times New Roman" w:hAnsiTheme="minorHAnsi" w:cstheme="minorHAnsi"/>
                <w:color w:val="00B050"/>
                <w:sz w:val="20"/>
                <w:szCs w:val="20"/>
                <w:lang w:eastAsia="en-GB"/>
              </w:rPr>
            </w:pPr>
            <w:r w:rsidRPr="00942C58">
              <w:rPr>
                <w:rFonts w:asciiTheme="minorHAnsi" w:eastAsia="Times New Roman" w:hAnsiTheme="minorHAnsi" w:cstheme="minorHAnsi"/>
                <w:sz w:val="20"/>
                <w:szCs w:val="20"/>
                <w:lang w:eastAsia="en-GB"/>
              </w:rPr>
              <w:t xml:space="preserve">86% (6/7) </w:t>
            </w:r>
            <w:r w:rsidRPr="00942C58">
              <w:rPr>
                <w:rFonts w:asciiTheme="minorHAnsi" w:eastAsia="Times New Roman" w:hAnsiTheme="minorHAnsi" w:cstheme="minorHAnsi"/>
                <w:color w:val="00B050"/>
                <w:sz w:val="20"/>
                <w:szCs w:val="20"/>
                <w:lang w:eastAsia="en-GB"/>
              </w:rPr>
              <w:t>+53%</w:t>
            </w:r>
          </w:p>
        </w:tc>
        <w:tc>
          <w:tcPr>
            <w:tcW w:w="1404" w:type="dxa"/>
          </w:tcPr>
          <w:p w14:paraId="7A1860EF" w14:textId="3DBD764B"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66% (2/3)</w:t>
            </w:r>
          </w:p>
        </w:tc>
        <w:tc>
          <w:tcPr>
            <w:tcW w:w="1405" w:type="dxa"/>
          </w:tcPr>
          <w:p w14:paraId="144B9887" w14:textId="124C2804"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40% (4/10</w:t>
            </w:r>
          </w:p>
        </w:tc>
        <w:tc>
          <w:tcPr>
            <w:tcW w:w="1404" w:type="dxa"/>
            <w:shd w:val="clear" w:color="auto" w:fill="DBE5F1" w:themeFill="accent1" w:themeFillTint="33"/>
          </w:tcPr>
          <w:p w14:paraId="33273581" w14:textId="7E9652F3"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33% (2/6)</w:t>
            </w:r>
          </w:p>
        </w:tc>
        <w:tc>
          <w:tcPr>
            <w:tcW w:w="1405" w:type="dxa"/>
          </w:tcPr>
          <w:p w14:paraId="023C7421" w14:textId="67F9269E" w:rsidR="00E043B8" w:rsidRPr="00942C58" w:rsidRDefault="00E043B8" w:rsidP="00196382">
            <w:pPr>
              <w:spacing w:after="0" w:line="240" w:lineRule="auto"/>
              <w:jc w:val="center"/>
              <w:rPr>
                <w:rFonts w:asciiTheme="minorHAnsi" w:eastAsia="Times New Roman" w:hAnsiTheme="minorHAnsi" w:cstheme="minorHAnsi"/>
                <w:sz w:val="20"/>
                <w:szCs w:val="20"/>
                <w:lang w:eastAsia="en-GB"/>
              </w:rPr>
            </w:pPr>
            <w:r w:rsidRPr="00942C58">
              <w:rPr>
                <w:rFonts w:asciiTheme="minorHAnsi" w:eastAsia="Times New Roman" w:hAnsiTheme="minorHAnsi" w:cstheme="minorHAnsi"/>
                <w:sz w:val="20"/>
                <w:szCs w:val="20"/>
                <w:lang w:eastAsia="en-GB"/>
              </w:rPr>
              <w:t>50% (2/4)</w:t>
            </w:r>
          </w:p>
        </w:tc>
      </w:tr>
    </w:tbl>
    <w:p w14:paraId="02B494E4" w14:textId="77777777" w:rsidR="00FB7E23" w:rsidRDefault="00FB7E23" w:rsidP="00463BB3">
      <w:pPr>
        <w:spacing w:after="0" w:line="240" w:lineRule="auto"/>
        <w:rPr>
          <w:rFonts w:asciiTheme="minorHAnsi" w:hAnsiTheme="minorHAnsi" w:cstheme="minorHAnsi"/>
        </w:rPr>
      </w:pPr>
    </w:p>
    <w:p w14:paraId="2A7D5548" w14:textId="00121A77" w:rsidR="00E66558" w:rsidRPr="007D777A" w:rsidRDefault="009D71E8" w:rsidP="00463BB3">
      <w:pPr>
        <w:pStyle w:val="Heading2"/>
        <w:spacing w:before="0" w:after="0"/>
        <w:rPr>
          <w:rFonts w:asciiTheme="minorHAnsi" w:hAnsiTheme="minorHAnsi" w:cstheme="minorHAnsi"/>
        </w:rPr>
      </w:pPr>
      <w:r w:rsidRPr="007D777A">
        <w:rPr>
          <w:rFonts w:asciiTheme="minorHAnsi" w:hAnsiTheme="minorHAnsi" w:cstheme="minorHAnsi"/>
        </w:rPr>
        <w:t>Externally provided programmes</w:t>
      </w:r>
    </w:p>
    <w:p w14:paraId="2A7D5549" w14:textId="77777777" w:rsidR="00E66558" w:rsidRPr="007D777A" w:rsidRDefault="009D71E8" w:rsidP="00463BB3">
      <w:pPr>
        <w:spacing w:after="0" w:line="240" w:lineRule="auto"/>
        <w:rPr>
          <w:rFonts w:asciiTheme="minorHAnsi" w:hAnsiTheme="minorHAnsi" w:cstheme="minorHAnsi"/>
          <w:i/>
          <w:iCs/>
        </w:rPr>
      </w:pPr>
      <w:r w:rsidRPr="007D777A">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462"/>
        <w:gridCol w:w="7239"/>
      </w:tblGrid>
      <w:tr w:rsidR="00E66558" w:rsidRPr="007D777A"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D777A" w:rsidRDefault="009D71E8" w:rsidP="00463BB3">
            <w:pPr>
              <w:pStyle w:val="TableHeader"/>
              <w:spacing w:before="0" w:after="0"/>
              <w:jc w:val="left"/>
              <w:rPr>
                <w:rFonts w:asciiTheme="minorHAnsi" w:hAnsiTheme="minorHAnsi" w:cstheme="minorHAnsi"/>
              </w:rPr>
            </w:pPr>
            <w:r w:rsidRPr="007D777A">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D777A" w:rsidRDefault="009D71E8" w:rsidP="00463BB3">
            <w:pPr>
              <w:pStyle w:val="TableHeader"/>
              <w:spacing w:before="0" w:after="0"/>
              <w:jc w:val="left"/>
              <w:rPr>
                <w:rFonts w:asciiTheme="minorHAnsi" w:hAnsiTheme="minorHAnsi" w:cstheme="minorHAnsi"/>
              </w:rPr>
            </w:pPr>
            <w:r w:rsidRPr="007D777A">
              <w:rPr>
                <w:rFonts w:asciiTheme="minorHAnsi" w:hAnsiTheme="minorHAnsi" w:cstheme="minorHAnsi"/>
              </w:rPr>
              <w:t>Provider</w:t>
            </w:r>
          </w:p>
        </w:tc>
      </w:tr>
      <w:tr w:rsidR="00E66558" w:rsidRPr="007D777A"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FE10400" w:rsidR="00E66558" w:rsidRPr="007D777A" w:rsidRDefault="004E3394" w:rsidP="00463BB3">
            <w:pPr>
              <w:pStyle w:val="TableRow"/>
              <w:spacing w:before="0" w:after="0"/>
              <w:rPr>
                <w:rFonts w:asciiTheme="minorHAnsi" w:hAnsiTheme="minorHAnsi" w:cstheme="minorHAnsi"/>
              </w:rPr>
            </w:pPr>
            <w:r>
              <w:t xml:space="preserve">Times Table Rockstars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B981A01" w:rsidR="00E66558" w:rsidRPr="007D777A" w:rsidRDefault="004E3394" w:rsidP="00463BB3">
            <w:pPr>
              <w:pStyle w:val="TableRowCentered"/>
              <w:spacing w:before="0" w:after="0"/>
              <w:jc w:val="left"/>
              <w:rPr>
                <w:rFonts w:asciiTheme="minorHAnsi" w:hAnsiTheme="minorHAnsi" w:cstheme="minorHAnsi"/>
              </w:rPr>
            </w:pPr>
            <w:r>
              <w:t>Maths Circle</w:t>
            </w:r>
          </w:p>
        </w:tc>
      </w:tr>
      <w:tr w:rsidR="009F1F55" w:rsidRPr="007D777A" w14:paraId="06CFA6A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D99D4" w14:textId="45EE00F0" w:rsidR="009F1F55" w:rsidRPr="007D777A" w:rsidRDefault="000A1FF3" w:rsidP="00463BB3">
            <w:pPr>
              <w:pStyle w:val="TableRow"/>
              <w:spacing w:before="0" w:after="0"/>
              <w:rPr>
                <w:rFonts w:asciiTheme="minorHAnsi" w:hAnsiTheme="minorHAnsi" w:cstheme="minorHAnsi"/>
              </w:rPr>
            </w:pPr>
            <w:r>
              <w:t>Numbots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34876" w14:textId="14760D18" w:rsidR="009F1F55" w:rsidRPr="007D777A" w:rsidRDefault="00F96B71" w:rsidP="00463BB3">
            <w:pPr>
              <w:pStyle w:val="TableRowCentered"/>
              <w:spacing w:before="0" w:after="0"/>
              <w:jc w:val="left"/>
              <w:rPr>
                <w:rFonts w:asciiTheme="minorHAnsi" w:hAnsiTheme="minorHAnsi" w:cstheme="minorHAnsi"/>
              </w:rPr>
            </w:pPr>
            <w:r>
              <w:t>Maths Circle</w:t>
            </w:r>
          </w:p>
        </w:tc>
      </w:tr>
      <w:tr w:rsidR="009F1F55" w:rsidRPr="007D777A" w14:paraId="5BE6731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1BF7" w14:textId="04164DCB" w:rsidR="009F1F55" w:rsidRPr="007D777A" w:rsidRDefault="00F96B71" w:rsidP="00463BB3">
            <w:pPr>
              <w:pStyle w:val="TableRow"/>
              <w:spacing w:before="0" w:after="0"/>
              <w:rPr>
                <w:rFonts w:asciiTheme="minorHAnsi" w:hAnsiTheme="minorHAnsi" w:cstheme="minorHAnsi"/>
              </w:rPr>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AA06" w14:textId="0CFCC67D" w:rsidR="009F1F55" w:rsidRPr="007D777A" w:rsidRDefault="00F96B71" w:rsidP="00463BB3">
            <w:pPr>
              <w:pStyle w:val="TableRowCentered"/>
              <w:spacing w:before="0" w:after="0"/>
              <w:jc w:val="left"/>
              <w:rPr>
                <w:rFonts w:asciiTheme="minorHAnsi" w:hAnsiTheme="minorHAnsi" w:cstheme="minorHAnsi"/>
              </w:rPr>
            </w:pPr>
            <w:r>
              <w:t>Ruth Miskin</w:t>
            </w:r>
          </w:p>
        </w:tc>
      </w:tr>
      <w:tr w:rsidR="009F1F55" w:rsidRPr="007D777A" w14:paraId="1625FD4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E555A" w14:textId="5046B66A" w:rsidR="009F1F55" w:rsidRPr="007D777A" w:rsidRDefault="00F96B71" w:rsidP="00463BB3">
            <w:pPr>
              <w:pStyle w:val="TableRow"/>
              <w:spacing w:before="0" w:after="0"/>
              <w:rPr>
                <w:rFonts w:asciiTheme="minorHAnsi" w:hAnsiTheme="minorHAnsi" w:cstheme="minorHAnsi"/>
              </w:rPr>
            </w:pPr>
            <w: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D0D59" w14:textId="07D352FD" w:rsidR="009F1F55" w:rsidRPr="007D777A" w:rsidRDefault="0051480C" w:rsidP="00463BB3">
            <w:pPr>
              <w:pStyle w:val="TableRowCentered"/>
              <w:spacing w:before="0" w:after="0"/>
              <w:jc w:val="left"/>
              <w:rPr>
                <w:rFonts w:asciiTheme="minorHAnsi" w:hAnsiTheme="minorHAnsi" w:cstheme="minorHAnsi"/>
              </w:rPr>
            </w:pPr>
            <w:r>
              <w:t>Reading Solutions</w:t>
            </w:r>
          </w:p>
        </w:tc>
      </w:tr>
    </w:tbl>
    <w:p w14:paraId="2A7D5560" w14:textId="7FCDCEB5" w:rsidR="00E66558" w:rsidRPr="007D777A" w:rsidRDefault="00590651" w:rsidP="00463BB3">
      <w:pPr>
        <w:pStyle w:val="Heading1"/>
        <w:spacing w:after="0"/>
        <w:rPr>
          <w:rFonts w:asciiTheme="minorHAnsi" w:hAnsiTheme="minorHAnsi" w:cstheme="minorHAnsi"/>
        </w:rPr>
      </w:pPr>
      <w:r>
        <w:rPr>
          <w:rFonts w:asciiTheme="minorHAnsi" w:hAnsiTheme="minorHAnsi" w:cstheme="minorHAnsi"/>
        </w:rPr>
        <w:t>0</w:t>
      </w:r>
      <w:r w:rsidR="009D71E8" w:rsidRPr="007D777A">
        <w:rPr>
          <w:rFonts w:asciiTheme="minorHAnsi" w:hAnsiTheme="minorHAnsi" w:cstheme="minorHAnsi"/>
        </w:rPr>
        <w:t>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7D777A"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Pr="007D777A" w:rsidRDefault="009D71E8" w:rsidP="00463BB3">
            <w:pPr>
              <w:spacing w:after="0" w:line="240" w:lineRule="auto"/>
              <w:rPr>
                <w:rFonts w:asciiTheme="minorHAnsi" w:hAnsiTheme="minorHAnsi" w:cstheme="minorHAnsi"/>
                <w:i/>
                <w:iCs/>
              </w:rPr>
            </w:pPr>
            <w:r w:rsidRPr="007D777A">
              <w:rPr>
                <w:rFonts w:asciiTheme="minorHAnsi" w:hAnsiTheme="minorHAnsi" w:cstheme="minorHAns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Pr="007D777A" w:rsidRDefault="00E66558" w:rsidP="00463BB3">
            <w:pPr>
              <w:spacing w:after="0" w:line="240" w:lineRule="auto"/>
              <w:rPr>
                <w:rFonts w:asciiTheme="minorHAnsi" w:hAnsiTheme="minorHAnsi" w:cstheme="minorHAnsi"/>
                <w:i/>
                <w:iCs/>
              </w:rPr>
            </w:pPr>
          </w:p>
        </w:tc>
      </w:tr>
      <w:bookmarkEnd w:id="14"/>
      <w:bookmarkEnd w:id="15"/>
      <w:bookmarkEnd w:id="16"/>
    </w:tbl>
    <w:p w14:paraId="2A7D5564" w14:textId="77777777" w:rsidR="00E66558" w:rsidRDefault="00E66558" w:rsidP="00463BB3">
      <w:pPr>
        <w:spacing w:after="0" w:line="240" w:lineRule="auto"/>
      </w:pPr>
    </w:p>
    <w:sectPr w:rsidR="00E66558" w:rsidSect="00EC3F22">
      <w:pgSz w:w="16838" w:h="11906" w:orient="landscape"/>
      <w:pgMar w:top="1134" w:right="1134" w:bottom="1276" w:left="993"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6780" w14:textId="77777777" w:rsidR="00275732" w:rsidRDefault="00275732">
      <w:pPr>
        <w:spacing w:after="0" w:line="240" w:lineRule="auto"/>
      </w:pPr>
      <w:r>
        <w:separator/>
      </w:r>
    </w:p>
  </w:endnote>
  <w:endnote w:type="continuationSeparator" w:id="0">
    <w:p w14:paraId="2C1B3EC9" w14:textId="77777777" w:rsidR="00275732" w:rsidRDefault="00275732">
      <w:pPr>
        <w:spacing w:after="0" w:line="240" w:lineRule="auto"/>
      </w:pPr>
      <w:r>
        <w:continuationSeparator/>
      </w:r>
    </w:p>
  </w:endnote>
  <w:endnote w:type="continuationNotice" w:id="1">
    <w:p w14:paraId="5B44E9C6" w14:textId="77777777" w:rsidR="00275732" w:rsidRDefault="00275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w:altName w:val="Calibri"/>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6E37A884" w:rsidR="004968AA" w:rsidRDefault="009D71E8">
    <w:pPr>
      <w:pStyle w:val="Footer"/>
      <w:ind w:firstLine="4513"/>
    </w:pPr>
    <w:r>
      <w:fldChar w:fldCharType="begin"/>
    </w:r>
    <w:r>
      <w:instrText xml:space="preserve"> PAGE </w:instrText>
    </w:r>
    <w:r>
      <w:fldChar w:fldCharType="separate"/>
    </w:r>
    <w:r w:rsidR="304D3DF2" w:rsidRPr="304D3DF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70C3C" w14:textId="77777777" w:rsidR="00275732" w:rsidRDefault="00275732">
      <w:pPr>
        <w:spacing w:after="0" w:line="240" w:lineRule="auto"/>
      </w:pPr>
      <w:r>
        <w:separator/>
      </w:r>
    </w:p>
  </w:footnote>
  <w:footnote w:type="continuationSeparator" w:id="0">
    <w:p w14:paraId="2DE8FBDB" w14:textId="77777777" w:rsidR="00275732" w:rsidRDefault="00275732">
      <w:pPr>
        <w:spacing w:after="0" w:line="240" w:lineRule="auto"/>
      </w:pPr>
      <w:r>
        <w:continuationSeparator/>
      </w:r>
    </w:p>
  </w:footnote>
  <w:footnote w:type="continuationNotice" w:id="1">
    <w:p w14:paraId="14C167B0" w14:textId="77777777" w:rsidR="00275732" w:rsidRDefault="002757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1132"/>
    <w:multiLevelType w:val="hybridMultilevel"/>
    <w:tmpl w:val="15B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F308C4"/>
    <w:multiLevelType w:val="hybridMultilevel"/>
    <w:tmpl w:val="9596073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E5D378C"/>
    <w:multiLevelType w:val="hybridMultilevel"/>
    <w:tmpl w:val="A37EBA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2B855BF"/>
    <w:multiLevelType w:val="multilevel"/>
    <w:tmpl w:val="8CA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FE4CF2"/>
    <w:multiLevelType w:val="multilevel"/>
    <w:tmpl w:val="2D98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68C4657"/>
    <w:multiLevelType w:val="hybridMultilevel"/>
    <w:tmpl w:val="7870BC2C"/>
    <w:lvl w:ilvl="0" w:tplc="CBD2E7F0">
      <w:start w:val="39"/>
      <w:numFmt w:val="bullet"/>
      <w:lvlText w:val=""/>
      <w:lvlJc w:val="left"/>
      <w:pPr>
        <w:ind w:left="2230" w:hanging="360"/>
      </w:pPr>
      <w:rPr>
        <w:rFonts w:ascii="Symbol" w:eastAsia="Calibri" w:hAnsi="Symbol" w:cs="Calibri" w:hint="default"/>
      </w:rPr>
    </w:lvl>
    <w:lvl w:ilvl="1" w:tplc="08090003" w:tentative="1">
      <w:start w:val="1"/>
      <w:numFmt w:val="bullet"/>
      <w:lvlText w:val="o"/>
      <w:lvlJc w:val="left"/>
      <w:pPr>
        <w:ind w:left="2950" w:hanging="360"/>
      </w:pPr>
      <w:rPr>
        <w:rFonts w:ascii="Courier New" w:hAnsi="Courier New" w:cs="Courier New" w:hint="default"/>
      </w:rPr>
    </w:lvl>
    <w:lvl w:ilvl="2" w:tplc="08090005" w:tentative="1">
      <w:start w:val="1"/>
      <w:numFmt w:val="bullet"/>
      <w:lvlText w:val=""/>
      <w:lvlJc w:val="left"/>
      <w:pPr>
        <w:ind w:left="3670" w:hanging="360"/>
      </w:pPr>
      <w:rPr>
        <w:rFonts w:ascii="Wingdings" w:hAnsi="Wingdings" w:hint="default"/>
      </w:rPr>
    </w:lvl>
    <w:lvl w:ilvl="3" w:tplc="08090001" w:tentative="1">
      <w:start w:val="1"/>
      <w:numFmt w:val="bullet"/>
      <w:lvlText w:val=""/>
      <w:lvlJc w:val="left"/>
      <w:pPr>
        <w:ind w:left="4390" w:hanging="360"/>
      </w:pPr>
      <w:rPr>
        <w:rFonts w:ascii="Symbol" w:hAnsi="Symbol" w:hint="default"/>
      </w:rPr>
    </w:lvl>
    <w:lvl w:ilvl="4" w:tplc="08090003" w:tentative="1">
      <w:start w:val="1"/>
      <w:numFmt w:val="bullet"/>
      <w:lvlText w:val="o"/>
      <w:lvlJc w:val="left"/>
      <w:pPr>
        <w:ind w:left="5110" w:hanging="360"/>
      </w:pPr>
      <w:rPr>
        <w:rFonts w:ascii="Courier New" w:hAnsi="Courier New" w:cs="Courier New" w:hint="default"/>
      </w:rPr>
    </w:lvl>
    <w:lvl w:ilvl="5" w:tplc="08090005" w:tentative="1">
      <w:start w:val="1"/>
      <w:numFmt w:val="bullet"/>
      <w:lvlText w:val=""/>
      <w:lvlJc w:val="left"/>
      <w:pPr>
        <w:ind w:left="5830" w:hanging="360"/>
      </w:pPr>
      <w:rPr>
        <w:rFonts w:ascii="Wingdings" w:hAnsi="Wingdings" w:hint="default"/>
      </w:rPr>
    </w:lvl>
    <w:lvl w:ilvl="6" w:tplc="08090001" w:tentative="1">
      <w:start w:val="1"/>
      <w:numFmt w:val="bullet"/>
      <w:lvlText w:val=""/>
      <w:lvlJc w:val="left"/>
      <w:pPr>
        <w:ind w:left="6550" w:hanging="360"/>
      </w:pPr>
      <w:rPr>
        <w:rFonts w:ascii="Symbol" w:hAnsi="Symbol" w:hint="default"/>
      </w:rPr>
    </w:lvl>
    <w:lvl w:ilvl="7" w:tplc="08090003" w:tentative="1">
      <w:start w:val="1"/>
      <w:numFmt w:val="bullet"/>
      <w:lvlText w:val="o"/>
      <w:lvlJc w:val="left"/>
      <w:pPr>
        <w:ind w:left="7270" w:hanging="360"/>
      </w:pPr>
      <w:rPr>
        <w:rFonts w:ascii="Courier New" w:hAnsi="Courier New" w:cs="Courier New" w:hint="default"/>
      </w:rPr>
    </w:lvl>
    <w:lvl w:ilvl="8" w:tplc="08090005" w:tentative="1">
      <w:start w:val="1"/>
      <w:numFmt w:val="bullet"/>
      <w:lvlText w:val=""/>
      <w:lvlJc w:val="left"/>
      <w:pPr>
        <w:ind w:left="799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5FF02CF"/>
    <w:multiLevelType w:val="hybridMultilevel"/>
    <w:tmpl w:val="CDF6F108"/>
    <w:lvl w:ilvl="0" w:tplc="F5D81408">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791840">
    <w:abstractNumId w:val="5"/>
  </w:num>
  <w:num w:numId="2" w16cid:durableId="995956360">
    <w:abstractNumId w:val="3"/>
  </w:num>
  <w:num w:numId="3" w16cid:durableId="320356945">
    <w:abstractNumId w:val="6"/>
  </w:num>
  <w:num w:numId="4" w16cid:durableId="1713190236">
    <w:abstractNumId w:val="7"/>
  </w:num>
  <w:num w:numId="5" w16cid:durableId="627858619">
    <w:abstractNumId w:val="1"/>
  </w:num>
  <w:num w:numId="6" w16cid:durableId="371156063">
    <w:abstractNumId w:val="9"/>
  </w:num>
  <w:num w:numId="7" w16cid:durableId="1189173366">
    <w:abstractNumId w:val="14"/>
  </w:num>
  <w:num w:numId="8" w16cid:durableId="274101515">
    <w:abstractNumId w:val="18"/>
  </w:num>
  <w:num w:numId="9" w16cid:durableId="637733327">
    <w:abstractNumId w:val="16"/>
  </w:num>
  <w:num w:numId="10" w16cid:durableId="1988196680">
    <w:abstractNumId w:val="15"/>
  </w:num>
  <w:num w:numId="11" w16cid:durableId="1111166226">
    <w:abstractNumId w:val="4"/>
  </w:num>
  <w:num w:numId="12" w16cid:durableId="797576877">
    <w:abstractNumId w:val="17"/>
  </w:num>
  <w:num w:numId="13" w16cid:durableId="131141159">
    <w:abstractNumId w:val="12"/>
  </w:num>
  <w:num w:numId="14" w16cid:durableId="760833428">
    <w:abstractNumId w:val="0"/>
  </w:num>
  <w:num w:numId="15" w16cid:durableId="333723319">
    <w:abstractNumId w:val="2"/>
  </w:num>
  <w:num w:numId="16" w16cid:durableId="741565932">
    <w:abstractNumId w:val="8"/>
  </w:num>
  <w:num w:numId="17" w16cid:durableId="2050447374">
    <w:abstractNumId w:val="13"/>
  </w:num>
  <w:num w:numId="18" w16cid:durableId="62603712">
    <w:abstractNumId w:val="10"/>
  </w:num>
  <w:num w:numId="19" w16cid:durableId="2076733144">
    <w:abstractNumId w:val="11"/>
  </w:num>
  <w:num w:numId="20" w16cid:durableId="2741384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134"/>
    <w:rsid w:val="00003F22"/>
    <w:rsid w:val="000043DF"/>
    <w:rsid w:val="00004EA4"/>
    <w:rsid w:val="00006005"/>
    <w:rsid w:val="00010DD0"/>
    <w:rsid w:val="000134ED"/>
    <w:rsid w:val="0001487E"/>
    <w:rsid w:val="0001560E"/>
    <w:rsid w:val="00016464"/>
    <w:rsid w:val="00016DD3"/>
    <w:rsid w:val="00016F01"/>
    <w:rsid w:val="00025CA8"/>
    <w:rsid w:val="000270EE"/>
    <w:rsid w:val="00027930"/>
    <w:rsid w:val="0003061E"/>
    <w:rsid w:val="00032676"/>
    <w:rsid w:val="0003275C"/>
    <w:rsid w:val="000327CA"/>
    <w:rsid w:val="00033CE7"/>
    <w:rsid w:val="000353B9"/>
    <w:rsid w:val="0003561B"/>
    <w:rsid w:val="00041339"/>
    <w:rsid w:val="0004296B"/>
    <w:rsid w:val="00042B15"/>
    <w:rsid w:val="0004534E"/>
    <w:rsid w:val="000514C9"/>
    <w:rsid w:val="0005537D"/>
    <w:rsid w:val="00061985"/>
    <w:rsid w:val="00062680"/>
    <w:rsid w:val="000651E8"/>
    <w:rsid w:val="00065BA3"/>
    <w:rsid w:val="00066980"/>
    <w:rsid w:val="00066B73"/>
    <w:rsid w:val="0006723D"/>
    <w:rsid w:val="00070885"/>
    <w:rsid w:val="00072D3D"/>
    <w:rsid w:val="00074441"/>
    <w:rsid w:val="00074DBA"/>
    <w:rsid w:val="0008272B"/>
    <w:rsid w:val="00083423"/>
    <w:rsid w:val="000867DD"/>
    <w:rsid w:val="0009097A"/>
    <w:rsid w:val="000927CF"/>
    <w:rsid w:val="0009313F"/>
    <w:rsid w:val="00095141"/>
    <w:rsid w:val="00097E23"/>
    <w:rsid w:val="000A1FF3"/>
    <w:rsid w:val="000A302D"/>
    <w:rsid w:val="000A33E5"/>
    <w:rsid w:val="000A3598"/>
    <w:rsid w:val="000A3B66"/>
    <w:rsid w:val="000A42EC"/>
    <w:rsid w:val="000A52C2"/>
    <w:rsid w:val="000A6AB7"/>
    <w:rsid w:val="000A6F83"/>
    <w:rsid w:val="000B069D"/>
    <w:rsid w:val="000B206D"/>
    <w:rsid w:val="000B29C9"/>
    <w:rsid w:val="000B46C9"/>
    <w:rsid w:val="000B5753"/>
    <w:rsid w:val="000B6BA5"/>
    <w:rsid w:val="000B717B"/>
    <w:rsid w:val="000B732F"/>
    <w:rsid w:val="000C0AA3"/>
    <w:rsid w:val="000C286E"/>
    <w:rsid w:val="000C2BCA"/>
    <w:rsid w:val="000C403C"/>
    <w:rsid w:val="000C51C3"/>
    <w:rsid w:val="000C53AA"/>
    <w:rsid w:val="000C6D6E"/>
    <w:rsid w:val="000D67BF"/>
    <w:rsid w:val="000E0E70"/>
    <w:rsid w:val="000E2777"/>
    <w:rsid w:val="000E4B09"/>
    <w:rsid w:val="000E52A1"/>
    <w:rsid w:val="000E6FAD"/>
    <w:rsid w:val="000E7C62"/>
    <w:rsid w:val="000F1037"/>
    <w:rsid w:val="000F18B8"/>
    <w:rsid w:val="000F3B1B"/>
    <w:rsid w:val="000F4D3C"/>
    <w:rsid w:val="000F62A9"/>
    <w:rsid w:val="000F75DE"/>
    <w:rsid w:val="00101D02"/>
    <w:rsid w:val="00105B9A"/>
    <w:rsid w:val="0010629A"/>
    <w:rsid w:val="00110B17"/>
    <w:rsid w:val="001123C5"/>
    <w:rsid w:val="001126B7"/>
    <w:rsid w:val="001146A9"/>
    <w:rsid w:val="00115632"/>
    <w:rsid w:val="0011696A"/>
    <w:rsid w:val="00116B9E"/>
    <w:rsid w:val="00120AB1"/>
    <w:rsid w:val="00122E72"/>
    <w:rsid w:val="00124B76"/>
    <w:rsid w:val="0012574A"/>
    <w:rsid w:val="00130FC5"/>
    <w:rsid w:val="00132570"/>
    <w:rsid w:val="0013304B"/>
    <w:rsid w:val="001364BA"/>
    <w:rsid w:val="001408BF"/>
    <w:rsid w:val="00143520"/>
    <w:rsid w:val="001440A3"/>
    <w:rsid w:val="00147034"/>
    <w:rsid w:val="00150C60"/>
    <w:rsid w:val="00153941"/>
    <w:rsid w:val="00154131"/>
    <w:rsid w:val="00156219"/>
    <w:rsid w:val="00157CCE"/>
    <w:rsid w:val="00157DD0"/>
    <w:rsid w:val="00165919"/>
    <w:rsid w:val="00167306"/>
    <w:rsid w:val="0016786F"/>
    <w:rsid w:val="00171E5A"/>
    <w:rsid w:val="001727C4"/>
    <w:rsid w:val="00172A89"/>
    <w:rsid w:val="00173DE0"/>
    <w:rsid w:val="00176056"/>
    <w:rsid w:val="00176D10"/>
    <w:rsid w:val="00177EAB"/>
    <w:rsid w:val="0018160A"/>
    <w:rsid w:val="00182A83"/>
    <w:rsid w:val="00182D57"/>
    <w:rsid w:val="00183C10"/>
    <w:rsid w:val="00185CC1"/>
    <w:rsid w:val="00187DEC"/>
    <w:rsid w:val="001906DD"/>
    <w:rsid w:val="00193889"/>
    <w:rsid w:val="00193C9F"/>
    <w:rsid w:val="00196382"/>
    <w:rsid w:val="001A381F"/>
    <w:rsid w:val="001B1D59"/>
    <w:rsid w:val="001B1F34"/>
    <w:rsid w:val="001B2A48"/>
    <w:rsid w:val="001B2EA6"/>
    <w:rsid w:val="001B480D"/>
    <w:rsid w:val="001B4C38"/>
    <w:rsid w:val="001B6C9B"/>
    <w:rsid w:val="001C02C2"/>
    <w:rsid w:val="001C0FAB"/>
    <w:rsid w:val="001C150B"/>
    <w:rsid w:val="001C3E72"/>
    <w:rsid w:val="001D07AE"/>
    <w:rsid w:val="001D4C9F"/>
    <w:rsid w:val="001D5CBF"/>
    <w:rsid w:val="001D6165"/>
    <w:rsid w:val="001D7797"/>
    <w:rsid w:val="001E17E2"/>
    <w:rsid w:val="001E1A8E"/>
    <w:rsid w:val="001E1CF2"/>
    <w:rsid w:val="001E2B50"/>
    <w:rsid w:val="001E30E0"/>
    <w:rsid w:val="001E3BEB"/>
    <w:rsid w:val="001E4A61"/>
    <w:rsid w:val="001E581B"/>
    <w:rsid w:val="001E5CC3"/>
    <w:rsid w:val="001E7C20"/>
    <w:rsid w:val="001F366C"/>
    <w:rsid w:val="001F685B"/>
    <w:rsid w:val="001F6F29"/>
    <w:rsid w:val="001F76C3"/>
    <w:rsid w:val="002011C3"/>
    <w:rsid w:val="00201507"/>
    <w:rsid w:val="00201E81"/>
    <w:rsid w:val="0020593B"/>
    <w:rsid w:val="00211048"/>
    <w:rsid w:val="0021332A"/>
    <w:rsid w:val="002159B9"/>
    <w:rsid w:val="002166DF"/>
    <w:rsid w:val="00216AE6"/>
    <w:rsid w:val="00221FF8"/>
    <w:rsid w:val="0022532D"/>
    <w:rsid w:val="00225623"/>
    <w:rsid w:val="00225CB9"/>
    <w:rsid w:val="00226460"/>
    <w:rsid w:val="00230D41"/>
    <w:rsid w:val="002320E8"/>
    <w:rsid w:val="002330EF"/>
    <w:rsid w:val="002350B0"/>
    <w:rsid w:val="0023648A"/>
    <w:rsid w:val="0023729E"/>
    <w:rsid w:val="00237DE3"/>
    <w:rsid w:val="00237E59"/>
    <w:rsid w:val="00240360"/>
    <w:rsid w:val="00241C24"/>
    <w:rsid w:val="00251584"/>
    <w:rsid w:val="00254047"/>
    <w:rsid w:val="00255ACD"/>
    <w:rsid w:val="00257ECB"/>
    <w:rsid w:val="00260A8A"/>
    <w:rsid w:val="00260B2D"/>
    <w:rsid w:val="00262562"/>
    <w:rsid w:val="00262F26"/>
    <w:rsid w:val="00263C09"/>
    <w:rsid w:val="00264C59"/>
    <w:rsid w:val="00267C5E"/>
    <w:rsid w:val="0027013B"/>
    <w:rsid w:val="00271F32"/>
    <w:rsid w:val="002731FF"/>
    <w:rsid w:val="002736D9"/>
    <w:rsid w:val="00274BAF"/>
    <w:rsid w:val="00275732"/>
    <w:rsid w:val="00276313"/>
    <w:rsid w:val="00276A69"/>
    <w:rsid w:val="00277301"/>
    <w:rsid w:val="00282480"/>
    <w:rsid w:val="002845ED"/>
    <w:rsid w:val="00285C90"/>
    <w:rsid w:val="00285D3F"/>
    <w:rsid w:val="0028614F"/>
    <w:rsid w:val="00287379"/>
    <w:rsid w:val="002912FC"/>
    <w:rsid w:val="0029179B"/>
    <w:rsid w:val="002923D7"/>
    <w:rsid w:val="002932E6"/>
    <w:rsid w:val="0029331D"/>
    <w:rsid w:val="00296D4C"/>
    <w:rsid w:val="002A2623"/>
    <w:rsid w:val="002B1157"/>
    <w:rsid w:val="002B3C2B"/>
    <w:rsid w:val="002B4107"/>
    <w:rsid w:val="002B4648"/>
    <w:rsid w:val="002B5CF6"/>
    <w:rsid w:val="002B5E36"/>
    <w:rsid w:val="002B645F"/>
    <w:rsid w:val="002B742A"/>
    <w:rsid w:val="002C006E"/>
    <w:rsid w:val="002C2F6C"/>
    <w:rsid w:val="002C6489"/>
    <w:rsid w:val="002C77EF"/>
    <w:rsid w:val="002D5AF3"/>
    <w:rsid w:val="002D79EC"/>
    <w:rsid w:val="002D7D23"/>
    <w:rsid w:val="002E1A73"/>
    <w:rsid w:val="002E2C4E"/>
    <w:rsid w:val="002E2DA0"/>
    <w:rsid w:val="002E3812"/>
    <w:rsid w:val="002E3B67"/>
    <w:rsid w:val="002F72FF"/>
    <w:rsid w:val="00300785"/>
    <w:rsid w:val="00303B14"/>
    <w:rsid w:val="003052CD"/>
    <w:rsid w:val="00305A55"/>
    <w:rsid w:val="00307714"/>
    <w:rsid w:val="00310269"/>
    <w:rsid w:val="00310DD3"/>
    <w:rsid w:val="00313FB8"/>
    <w:rsid w:val="00315CD9"/>
    <w:rsid w:val="00316AA3"/>
    <w:rsid w:val="0031728A"/>
    <w:rsid w:val="003178C5"/>
    <w:rsid w:val="003208A8"/>
    <w:rsid w:val="00322A11"/>
    <w:rsid w:val="0032637B"/>
    <w:rsid w:val="00327050"/>
    <w:rsid w:val="00327F25"/>
    <w:rsid w:val="00331CA0"/>
    <w:rsid w:val="00332DC5"/>
    <w:rsid w:val="0033309E"/>
    <w:rsid w:val="0033687B"/>
    <w:rsid w:val="00342ED3"/>
    <w:rsid w:val="00344630"/>
    <w:rsid w:val="00350EBE"/>
    <w:rsid w:val="003522D2"/>
    <w:rsid w:val="0035310C"/>
    <w:rsid w:val="0035400F"/>
    <w:rsid w:val="00354F76"/>
    <w:rsid w:val="00355237"/>
    <w:rsid w:val="003557C5"/>
    <w:rsid w:val="00355FB4"/>
    <w:rsid w:val="003604FF"/>
    <w:rsid w:val="0036056D"/>
    <w:rsid w:val="00362667"/>
    <w:rsid w:val="00362BA3"/>
    <w:rsid w:val="00362D41"/>
    <w:rsid w:val="00364395"/>
    <w:rsid w:val="003749F6"/>
    <w:rsid w:val="00374F66"/>
    <w:rsid w:val="00375B5E"/>
    <w:rsid w:val="003761E4"/>
    <w:rsid w:val="00376697"/>
    <w:rsid w:val="00377A23"/>
    <w:rsid w:val="00380C28"/>
    <w:rsid w:val="00383AB9"/>
    <w:rsid w:val="00385868"/>
    <w:rsid w:val="00386584"/>
    <w:rsid w:val="00395ECE"/>
    <w:rsid w:val="0039622C"/>
    <w:rsid w:val="003970E3"/>
    <w:rsid w:val="003A1E6E"/>
    <w:rsid w:val="003A5BA9"/>
    <w:rsid w:val="003A676D"/>
    <w:rsid w:val="003B2E2A"/>
    <w:rsid w:val="003B309F"/>
    <w:rsid w:val="003B327D"/>
    <w:rsid w:val="003B55A2"/>
    <w:rsid w:val="003B5AB6"/>
    <w:rsid w:val="003B6E2E"/>
    <w:rsid w:val="003B745E"/>
    <w:rsid w:val="003C06B3"/>
    <w:rsid w:val="003C139C"/>
    <w:rsid w:val="003C2B36"/>
    <w:rsid w:val="003C3EF6"/>
    <w:rsid w:val="003C4822"/>
    <w:rsid w:val="003C7039"/>
    <w:rsid w:val="003D3483"/>
    <w:rsid w:val="003D354E"/>
    <w:rsid w:val="003D384C"/>
    <w:rsid w:val="003D3D2D"/>
    <w:rsid w:val="003D437D"/>
    <w:rsid w:val="003D53B4"/>
    <w:rsid w:val="003D7638"/>
    <w:rsid w:val="003E015A"/>
    <w:rsid w:val="003E6F92"/>
    <w:rsid w:val="003F1B5E"/>
    <w:rsid w:val="003F3D4F"/>
    <w:rsid w:val="003F40A0"/>
    <w:rsid w:val="003F741D"/>
    <w:rsid w:val="003F7BF6"/>
    <w:rsid w:val="00400E5C"/>
    <w:rsid w:val="00401D1A"/>
    <w:rsid w:val="00401FE3"/>
    <w:rsid w:val="004026B5"/>
    <w:rsid w:val="00402D6C"/>
    <w:rsid w:val="004044AA"/>
    <w:rsid w:val="00405323"/>
    <w:rsid w:val="00406305"/>
    <w:rsid w:val="004064CE"/>
    <w:rsid w:val="00406A08"/>
    <w:rsid w:val="00406BF7"/>
    <w:rsid w:val="00407E27"/>
    <w:rsid w:val="00413F62"/>
    <w:rsid w:val="004150E4"/>
    <w:rsid w:val="00416780"/>
    <w:rsid w:val="00417A8D"/>
    <w:rsid w:val="00420859"/>
    <w:rsid w:val="00421061"/>
    <w:rsid w:val="004335F2"/>
    <w:rsid w:val="004358D4"/>
    <w:rsid w:val="00436E86"/>
    <w:rsid w:val="00437B92"/>
    <w:rsid w:val="00441C37"/>
    <w:rsid w:val="00441D65"/>
    <w:rsid w:val="0044465C"/>
    <w:rsid w:val="00444AF1"/>
    <w:rsid w:val="00444D92"/>
    <w:rsid w:val="00454754"/>
    <w:rsid w:val="00454E90"/>
    <w:rsid w:val="00455B76"/>
    <w:rsid w:val="004604DF"/>
    <w:rsid w:val="00460C55"/>
    <w:rsid w:val="00461E5B"/>
    <w:rsid w:val="00462FA3"/>
    <w:rsid w:val="00463BB3"/>
    <w:rsid w:val="004654D1"/>
    <w:rsid w:val="004656D7"/>
    <w:rsid w:val="004674D9"/>
    <w:rsid w:val="004700D4"/>
    <w:rsid w:val="00471749"/>
    <w:rsid w:val="00471A9A"/>
    <w:rsid w:val="00472D25"/>
    <w:rsid w:val="00477022"/>
    <w:rsid w:val="004818A8"/>
    <w:rsid w:val="004821DC"/>
    <w:rsid w:val="004839B4"/>
    <w:rsid w:val="004849B9"/>
    <w:rsid w:val="004852EA"/>
    <w:rsid w:val="0048585B"/>
    <w:rsid w:val="00485B20"/>
    <w:rsid w:val="00491B06"/>
    <w:rsid w:val="0049208F"/>
    <w:rsid w:val="00492148"/>
    <w:rsid w:val="00493932"/>
    <w:rsid w:val="004946CB"/>
    <w:rsid w:val="004968AA"/>
    <w:rsid w:val="004A107F"/>
    <w:rsid w:val="004A2F75"/>
    <w:rsid w:val="004A65DA"/>
    <w:rsid w:val="004A6AE3"/>
    <w:rsid w:val="004B1873"/>
    <w:rsid w:val="004B4128"/>
    <w:rsid w:val="004C0652"/>
    <w:rsid w:val="004C0A6F"/>
    <w:rsid w:val="004C25C4"/>
    <w:rsid w:val="004C3602"/>
    <w:rsid w:val="004C78EE"/>
    <w:rsid w:val="004D030D"/>
    <w:rsid w:val="004D143F"/>
    <w:rsid w:val="004D1BDC"/>
    <w:rsid w:val="004D25A8"/>
    <w:rsid w:val="004D49AD"/>
    <w:rsid w:val="004D7804"/>
    <w:rsid w:val="004E1079"/>
    <w:rsid w:val="004E3394"/>
    <w:rsid w:val="004E7DE3"/>
    <w:rsid w:val="004F1624"/>
    <w:rsid w:val="004F53FB"/>
    <w:rsid w:val="004F7817"/>
    <w:rsid w:val="00500653"/>
    <w:rsid w:val="00501D3C"/>
    <w:rsid w:val="0050303E"/>
    <w:rsid w:val="00506576"/>
    <w:rsid w:val="0051141C"/>
    <w:rsid w:val="005116CE"/>
    <w:rsid w:val="005143CD"/>
    <w:rsid w:val="0051480C"/>
    <w:rsid w:val="00516644"/>
    <w:rsid w:val="005176A6"/>
    <w:rsid w:val="00521A91"/>
    <w:rsid w:val="0052580F"/>
    <w:rsid w:val="0052622C"/>
    <w:rsid w:val="00527594"/>
    <w:rsid w:val="00531360"/>
    <w:rsid w:val="00533E26"/>
    <w:rsid w:val="00535DC9"/>
    <w:rsid w:val="0053606E"/>
    <w:rsid w:val="00537D01"/>
    <w:rsid w:val="00540979"/>
    <w:rsid w:val="0054117B"/>
    <w:rsid w:val="005462D5"/>
    <w:rsid w:val="00547FC4"/>
    <w:rsid w:val="00552E7C"/>
    <w:rsid w:val="0055330C"/>
    <w:rsid w:val="00553772"/>
    <w:rsid w:val="005568C6"/>
    <w:rsid w:val="00557529"/>
    <w:rsid w:val="00561358"/>
    <w:rsid w:val="00561A8D"/>
    <w:rsid w:val="00565715"/>
    <w:rsid w:val="00570588"/>
    <w:rsid w:val="00570B6E"/>
    <w:rsid w:val="00573C3F"/>
    <w:rsid w:val="005743E7"/>
    <w:rsid w:val="00575FE5"/>
    <w:rsid w:val="0058175C"/>
    <w:rsid w:val="00585178"/>
    <w:rsid w:val="00585A7D"/>
    <w:rsid w:val="00586615"/>
    <w:rsid w:val="00586E3C"/>
    <w:rsid w:val="00590651"/>
    <w:rsid w:val="00591D6C"/>
    <w:rsid w:val="00594796"/>
    <w:rsid w:val="005957A1"/>
    <w:rsid w:val="00596109"/>
    <w:rsid w:val="005962B4"/>
    <w:rsid w:val="005A03AD"/>
    <w:rsid w:val="005A2A7B"/>
    <w:rsid w:val="005A2B9E"/>
    <w:rsid w:val="005A4469"/>
    <w:rsid w:val="005A4DA0"/>
    <w:rsid w:val="005A71D0"/>
    <w:rsid w:val="005A7B72"/>
    <w:rsid w:val="005B0FB9"/>
    <w:rsid w:val="005B1576"/>
    <w:rsid w:val="005B1734"/>
    <w:rsid w:val="005B2919"/>
    <w:rsid w:val="005B48D1"/>
    <w:rsid w:val="005B7353"/>
    <w:rsid w:val="005C0740"/>
    <w:rsid w:val="005C24F9"/>
    <w:rsid w:val="005C29D2"/>
    <w:rsid w:val="005C2AD6"/>
    <w:rsid w:val="005C4B6E"/>
    <w:rsid w:val="005C647A"/>
    <w:rsid w:val="005D0D17"/>
    <w:rsid w:val="005D1D24"/>
    <w:rsid w:val="005D40EB"/>
    <w:rsid w:val="005D4AB8"/>
    <w:rsid w:val="005E0EF5"/>
    <w:rsid w:val="005F0C2D"/>
    <w:rsid w:val="005F2C95"/>
    <w:rsid w:val="005F3374"/>
    <w:rsid w:val="005F36DC"/>
    <w:rsid w:val="005F4913"/>
    <w:rsid w:val="005F5365"/>
    <w:rsid w:val="00603A3A"/>
    <w:rsid w:val="00603BE1"/>
    <w:rsid w:val="006063B3"/>
    <w:rsid w:val="00610FEB"/>
    <w:rsid w:val="006132B9"/>
    <w:rsid w:val="00613BBF"/>
    <w:rsid w:val="0061583F"/>
    <w:rsid w:val="00617865"/>
    <w:rsid w:val="0062293A"/>
    <w:rsid w:val="006237FF"/>
    <w:rsid w:val="006239AC"/>
    <w:rsid w:val="00624BAC"/>
    <w:rsid w:val="00625C66"/>
    <w:rsid w:val="006274AD"/>
    <w:rsid w:val="00630342"/>
    <w:rsid w:val="0063229C"/>
    <w:rsid w:val="00643113"/>
    <w:rsid w:val="00645507"/>
    <w:rsid w:val="00645A47"/>
    <w:rsid w:val="00651B5C"/>
    <w:rsid w:val="006534C5"/>
    <w:rsid w:val="00653D2B"/>
    <w:rsid w:val="00655C66"/>
    <w:rsid w:val="00662FC9"/>
    <w:rsid w:val="00663E32"/>
    <w:rsid w:val="00665C87"/>
    <w:rsid w:val="00671268"/>
    <w:rsid w:val="00674E7F"/>
    <w:rsid w:val="006767F8"/>
    <w:rsid w:val="006849B9"/>
    <w:rsid w:val="006962B8"/>
    <w:rsid w:val="006A5AEB"/>
    <w:rsid w:val="006A620F"/>
    <w:rsid w:val="006B00FF"/>
    <w:rsid w:val="006B0542"/>
    <w:rsid w:val="006B088E"/>
    <w:rsid w:val="006B1A79"/>
    <w:rsid w:val="006B3379"/>
    <w:rsid w:val="006B3838"/>
    <w:rsid w:val="006B45ED"/>
    <w:rsid w:val="006B4B6D"/>
    <w:rsid w:val="006C1EEB"/>
    <w:rsid w:val="006C30FB"/>
    <w:rsid w:val="006C39D9"/>
    <w:rsid w:val="006C6772"/>
    <w:rsid w:val="006C696B"/>
    <w:rsid w:val="006C6A70"/>
    <w:rsid w:val="006D0032"/>
    <w:rsid w:val="006D0269"/>
    <w:rsid w:val="006D0E91"/>
    <w:rsid w:val="006D1CB2"/>
    <w:rsid w:val="006D2D3C"/>
    <w:rsid w:val="006E20F4"/>
    <w:rsid w:val="006E41CD"/>
    <w:rsid w:val="006E48AE"/>
    <w:rsid w:val="006E5A17"/>
    <w:rsid w:val="006E7AAC"/>
    <w:rsid w:val="006E7FB1"/>
    <w:rsid w:val="006F52C2"/>
    <w:rsid w:val="006F613D"/>
    <w:rsid w:val="006F7BCE"/>
    <w:rsid w:val="00702229"/>
    <w:rsid w:val="00702E8D"/>
    <w:rsid w:val="0070439E"/>
    <w:rsid w:val="007046CF"/>
    <w:rsid w:val="007064F8"/>
    <w:rsid w:val="00710E53"/>
    <w:rsid w:val="007132B1"/>
    <w:rsid w:val="00715AD9"/>
    <w:rsid w:val="00723BDA"/>
    <w:rsid w:val="00724B67"/>
    <w:rsid w:val="007262E1"/>
    <w:rsid w:val="00726717"/>
    <w:rsid w:val="007333A1"/>
    <w:rsid w:val="00733411"/>
    <w:rsid w:val="0073669D"/>
    <w:rsid w:val="00740594"/>
    <w:rsid w:val="00741B9E"/>
    <w:rsid w:val="00741EAD"/>
    <w:rsid w:val="007432D0"/>
    <w:rsid w:val="00745B9A"/>
    <w:rsid w:val="00746A27"/>
    <w:rsid w:val="00751B9E"/>
    <w:rsid w:val="00753174"/>
    <w:rsid w:val="007541A4"/>
    <w:rsid w:val="00755BDA"/>
    <w:rsid w:val="00760A19"/>
    <w:rsid w:val="00760C34"/>
    <w:rsid w:val="007639B0"/>
    <w:rsid w:val="00763E12"/>
    <w:rsid w:val="00766094"/>
    <w:rsid w:val="00767B78"/>
    <w:rsid w:val="0077024C"/>
    <w:rsid w:val="0077105D"/>
    <w:rsid w:val="00771776"/>
    <w:rsid w:val="007730F8"/>
    <w:rsid w:val="00776E86"/>
    <w:rsid w:val="007775B8"/>
    <w:rsid w:val="00782B52"/>
    <w:rsid w:val="00783BE9"/>
    <w:rsid w:val="0078778A"/>
    <w:rsid w:val="007903B6"/>
    <w:rsid w:val="00790690"/>
    <w:rsid w:val="0079121C"/>
    <w:rsid w:val="007936D0"/>
    <w:rsid w:val="00793FF6"/>
    <w:rsid w:val="007A1361"/>
    <w:rsid w:val="007A2A19"/>
    <w:rsid w:val="007A348D"/>
    <w:rsid w:val="007A5272"/>
    <w:rsid w:val="007A55D7"/>
    <w:rsid w:val="007B04C9"/>
    <w:rsid w:val="007B4A53"/>
    <w:rsid w:val="007B5C75"/>
    <w:rsid w:val="007C2F04"/>
    <w:rsid w:val="007C4EF7"/>
    <w:rsid w:val="007C7ACD"/>
    <w:rsid w:val="007D777A"/>
    <w:rsid w:val="007D795F"/>
    <w:rsid w:val="007E3414"/>
    <w:rsid w:val="007E345B"/>
    <w:rsid w:val="007E3509"/>
    <w:rsid w:val="007E595D"/>
    <w:rsid w:val="007E6F08"/>
    <w:rsid w:val="007F0846"/>
    <w:rsid w:val="007F3131"/>
    <w:rsid w:val="007F3BC6"/>
    <w:rsid w:val="00800ADF"/>
    <w:rsid w:val="00800E4E"/>
    <w:rsid w:val="008017E3"/>
    <w:rsid w:val="00801E1D"/>
    <w:rsid w:val="00803196"/>
    <w:rsid w:val="00804651"/>
    <w:rsid w:val="00806508"/>
    <w:rsid w:val="00807AEB"/>
    <w:rsid w:val="008111A3"/>
    <w:rsid w:val="0081131C"/>
    <w:rsid w:val="0081229F"/>
    <w:rsid w:val="00812C81"/>
    <w:rsid w:val="00814F39"/>
    <w:rsid w:val="008152C8"/>
    <w:rsid w:val="00816BB2"/>
    <w:rsid w:val="008258FA"/>
    <w:rsid w:val="00831134"/>
    <w:rsid w:val="00831F43"/>
    <w:rsid w:val="00832190"/>
    <w:rsid w:val="0083256F"/>
    <w:rsid w:val="0083588F"/>
    <w:rsid w:val="00836D7F"/>
    <w:rsid w:val="00837F81"/>
    <w:rsid w:val="00842402"/>
    <w:rsid w:val="00844041"/>
    <w:rsid w:val="0085382D"/>
    <w:rsid w:val="00860708"/>
    <w:rsid w:val="0086355F"/>
    <w:rsid w:val="00863ABE"/>
    <w:rsid w:val="0086752E"/>
    <w:rsid w:val="00870252"/>
    <w:rsid w:val="00870BDC"/>
    <w:rsid w:val="00873E9D"/>
    <w:rsid w:val="00874447"/>
    <w:rsid w:val="00877F31"/>
    <w:rsid w:val="0088290B"/>
    <w:rsid w:val="008876CF"/>
    <w:rsid w:val="00892DAB"/>
    <w:rsid w:val="00895DCE"/>
    <w:rsid w:val="008A1445"/>
    <w:rsid w:val="008A5EF1"/>
    <w:rsid w:val="008A7762"/>
    <w:rsid w:val="008B17DF"/>
    <w:rsid w:val="008B1D6F"/>
    <w:rsid w:val="008B3AAB"/>
    <w:rsid w:val="008B5209"/>
    <w:rsid w:val="008C2246"/>
    <w:rsid w:val="008C31F2"/>
    <w:rsid w:val="008C6A9B"/>
    <w:rsid w:val="008D072D"/>
    <w:rsid w:val="008D0954"/>
    <w:rsid w:val="008D14C8"/>
    <w:rsid w:val="008D2F07"/>
    <w:rsid w:val="008D4159"/>
    <w:rsid w:val="008D4D7C"/>
    <w:rsid w:val="008D5A5E"/>
    <w:rsid w:val="008E1817"/>
    <w:rsid w:val="008E2543"/>
    <w:rsid w:val="008E3622"/>
    <w:rsid w:val="008E4791"/>
    <w:rsid w:val="008E4C2F"/>
    <w:rsid w:val="008E5458"/>
    <w:rsid w:val="008E6607"/>
    <w:rsid w:val="008F13D3"/>
    <w:rsid w:val="008F306D"/>
    <w:rsid w:val="008F3C77"/>
    <w:rsid w:val="008F69E7"/>
    <w:rsid w:val="0090151F"/>
    <w:rsid w:val="00903A50"/>
    <w:rsid w:val="00903ADC"/>
    <w:rsid w:val="00904FE7"/>
    <w:rsid w:val="009175CE"/>
    <w:rsid w:val="009231AA"/>
    <w:rsid w:val="00923F32"/>
    <w:rsid w:val="00923FB7"/>
    <w:rsid w:val="00924457"/>
    <w:rsid w:val="00925BFC"/>
    <w:rsid w:val="00926D86"/>
    <w:rsid w:val="00926D9A"/>
    <w:rsid w:val="009311C0"/>
    <w:rsid w:val="00932114"/>
    <w:rsid w:val="0093580C"/>
    <w:rsid w:val="009424F5"/>
    <w:rsid w:val="00942C58"/>
    <w:rsid w:val="00942E04"/>
    <w:rsid w:val="0094463D"/>
    <w:rsid w:val="009458C0"/>
    <w:rsid w:val="009462B3"/>
    <w:rsid w:val="00946CD5"/>
    <w:rsid w:val="0094713A"/>
    <w:rsid w:val="0095067E"/>
    <w:rsid w:val="00951E14"/>
    <w:rsid w:val="00952CDD"/>
    <w:rsid w:val="0096762F"/>
    <w:rsid w:val="00971365"/>
    <w:rsid w:val="00972171"/>
    <w:rsid w:val="0097255E"/>
    <w:rsid w:val="00972B3E"/>
    <w:rsid w:val="00973CDE"/>
    <w:rsid w:val="00975116"/>
    <w:rsid w:val="00981EF3"/>
    <w:rsid w:val="009855E5"/>
    <w:rsid w:val="00985BE1"/>
    <w:rsid w:val="0098797A"/>
    <w:rsid w:val="00987C38"/>
    <w:rsid w:val="009920F4"/>
    <w:rsid w:val="00992584"/>
    <w:rsid w:val="00994CD4"/>
    <w:rsid w:val="00997D35"/>
    <w:rsid w:val="009A0CD8"/>
    <w:rsid w:val="009A2DCF"/>
    <w:rsid w:val="009A6809"/>
    <w:rsid w:val="009A70B4"/>
    <w:rsid w:val="009B19D3"/>
    <w:rsid w:val="009B1DD1"/>
    <w:rsid w:val="009B24D6"/>
    <w:rsid w:val="009B669D"/>
    <w:rsid w:val="009B72E3"/>
    <w:rsid w:val="009B7E4E"/>
    <w:rsid w:val="009C007B"/>
    <w:rsid w:val="009C0DB4"/>
    <w:rsid w:val="009C1387"/>
    <w:rsid w:val="009C4414"/>
    <w:rsid w:val="009C62A7"/>
    <w:rsid w:val="009D0106"/>
    <w:rsid w:val="009D5AE9"/>
    <w:rsid w:val="009D6DB8"/>
    <w:rsid w:val="009D71E8"/>
    <w:rsid w:val="009D7A78"/>
    <w:rsid w:val="009D7DCC"/>
    <w:rsid w:val="009E626A"/>
    <w:rsid w:val="009F0F47"/>
    <w:rsid w:val="009F1058"/>
    <w:rsid w:val="009F1F55"/>
    <w:rsid w:val="009F3C99"/>
    <w:rsid w:val="009F4430"/>
    <w:rsid w:val="009F659C"/>
    <w:rsid w:val="00A00215"/>
    <w:rsid w:val="00A01F09"/>
    <w:rsid w:val="00A0488A"/>
    <w:rsid w:val="00A12508"/>
    <w:rsid w:val="00A13428"/>
    <w:rsid w:val="00A135CE"/>
    <w:rsid w:val="00A16176"/>
    <w:rsid w:val="00A222BB"/>
    <w:rsid w:val="00A22E4F"/>
    <w:rsid w:val="00A233D2"/>
    <w:rsid w:val="00A24FC2"/>
    <w:rsid w:val="00A257C7"/>
    <w:rsid w:val="00A257EC"/>
    <w:rsid w:val="00A26360"/>
    <w:rsid w:val="00A26390"/>
    <w:rsid w:val="00A26C68"/>
    <w:rsid w:val="00A27B41"/>
    <w:rsid w:val="00A3059B"/>
    <w:rsid w:val="00A347AB"/>
    <w:rsid w:val="00A35157"/>
    <w:rsid w:val="00A35CE3"/>
    <w:rsid w:val="00A35DBD"/>
    <w:rsid w:val="00A35EE8"/>
    <w:rsid w:val="00A37E21"/>
    <w:rsid w:val="00A43DBB"/>
    <w:rsid w:val="00A46114"/>
    <w:rsid w:val="00A46261"/>
    <w:rsid w:val="00A4646F"/>
    <w:rsid w:val="00A53ED8"/>
    <w:rsid w:val="00A5502F"/>
    <w:rsid w:val="00A55C25"/>
    <w:rsid w:val="00A567F9"/>
    <w:rsid w:val="00A70789"/>
    <w:rsid w:val="00A70F03"/>
    <w:rsid w:val="00A73F23"/>
    <w:rsid w:val="00A7412F"/>
    <w:rsid w:val="00A74322"/>
    <w:rsid w:val="00A776F2"/>
    <w:rsid w:val="00A83619"/>
    <w:rsid w:val="00A86779"/>
    <w:rsid w:val="00A87F45"/>
    <w:rsid w:val="00A9599C"/>
    <w:rsid w:val="00A95D38"/>
    <w:rsid w:val="00A95F0E"/>
    <w:rsid w:val="00A974DD"/>
    <w:rsid w:val="00AA26E3"/>
    <w:rsid w:val="00AA3FBB"/>
    <w:rsid w:val="00AA7E0E"/>
    <w:rsid w:val="00AB1674"/>
    <w:rsid w:val="00AB4AFC"/>
    <w:rsid w:val="00AB6969"/>
    <w:rsid w:val="00AB6A61"/>
    <w:rsid w:val="00AC19C2"/>
    <w:rsid w:val="00AD0DC8"/>
    <w:rsid w:val="00AD15CA"/>
    <w:rsid w:val="00AD39BE"/>
    <w:rsid w:val="00AD40E3"/>
    <w:rsid w:val="00AD71BC"/>
    <w:rsid w:val="00AD74FB"/>
    <w:rsid w:val="00AE1AAA"/>
    <w:rsid w:val="00AE1F1B"/>
    <w:rsid w:val="00AE1F22"/>
    <w:rsid w:val="00AE3232"/>
    <w:rsid w:val="00AE6ACC"/>
    <w:rsid w:val="00AE6C80"/>
    <w:rsid w:val="00AE7DF8"/>
    <w:rsid w:val="00AF0E41"/>
    <w:rsid w:val="00AF1343"/>
    <w:rsid w:val="00AF21D1"/>
    <w:rsid w:val="00AF34A5"/>
    <w:rsid w:val="00AF3861"/>
    <w:rsid w:val="00AF7D0F"/>
    <w:rsid w:val="00B01028"/>
    <w:rsid w:val="00B01462"/>
    <w:rsid w:val="00B03817"/>
    <w:rsid w:val="00B053EF"/>
    <w:rsid w:val="00B102B9"/>
    <w:rsid w:val="00B11BB8"/>
    <w:rsid w:val="00B12B2D"/>
    <w:rsid w:val="00B144A4"/>
    <w:rsid w:val="00B14907"/>
    <w:rsid w:val="00B15223"/>
    <w:rsid w:val="00B217DD"/>
    <w:rsid w:val="00B23988"/>
    <w:rsid w:val="00B307AE"/>
    <w:rsid w:val="00B324F4"/>
    <w:rsid w:val="00B32C39"/>
    <w:rsid w:val="00B3370D"/>
    <w:rsid w:val="00B33D25"/>
    <w:rsid w:val="00B35CCB"/>
    <w:rsid w:val="00B4139E"/>
    <w:rsid w:val="00B437ED"/>
    <w:rsid w:val="00B43C00"/>
    <w:rsid w:val="00B5195F"/>
    <w:rsid w:val="00B52579"/>
    <w:rsid w:val="00B53CC6"/>
    <w:rsid w:val="00B54243"/>
    <w:rsid w:val="00B553EC"/>
    <w:rsid w:val="00B55DB0"/>
    <w:rsid w:val="00B56DDC"/>
    <w:rsid w:val="00B57BA7"/>
    <w:rsid w:val="00B57F31"/>
    <w:rsid w:val="00B608CA"/>
    <w:rsid w:val="00B61F6C"/>
    <w:rsid w:val="00B62FC6"/>
    <w:rsid w:val="00B64AC4"/>
    <w:rsid w:val="00B665E3"/>
    <w:rsid w:val="00B66AE8"/>
    <w:rsid w:val="00B671B1"/>
    <w:rsid w:val="00B70B76"/>
    <w:rsid w:val="00B71E47"/>
    <w:rsid w:val="00B72938"/>
    <w:rsid w:val="00B73AA9"/>
    <w:rsid w:val="00B77096"/>
    <w:rsid w:val="00B879F5"/>
    <w:rsid w:val="00B948F5"/>
    <w:rsid w:val="00B94B0B"/>
    <w:rsid w:val="00BA4571"/>
    <w:rsid w:val="00BB4BDE"/>
    <w:rsid w:val="00BB4FF4"/>
    <w:rsid w:val="00BB796E"/>
    <w:rsid w:val="00BC39F9"/>
    <w:rsid w:val="00BC437C"/>
    <w:rsid w:val="00BC4E15"/>
    <w:rsid w:val="00BC563E"/>
    <w:rsid w:val="00BC5CD4"/>
    <w:rsid w:val="00BD1622"/>
    <w:rsid w:val="00BD5E8D"/>
    <w:rsid w:val="00BD6544"/>
    <w:rsid w:val="00BD735F"/>
    <w:rsid w:val="00BD7FCF"/>
    <w:rsid w:val="00BE0A91"/>
    <w:rsid w:val="00BE6A3E"/>
    <w:rsid w:val="00BE758A"/>
    <w:rsid w:val="00BE7624"/>
    <w:rsid w:val="00BF0BB4"/>
    <w:rsid w:val="00BF135D"/>
    <w:rsid w:val="00BF175C"/>
    <w:rsid w:val="00BF17EC"/>
    <w:rsid w:val="00BF1EAA"/>
    <w:rsid w:val="00BF3672"/>
    <w:rsid w:val="00BF3B35"/>
    <w:rsid w:val="00C0314B"/>
    <w:rsid w:val="00C042EE"/>
    <w:rsid w:val="00C043ED"/>
    <w:rsid w:val="00C0799C"/>
    <w:rsid w:val="00C07E37"/>
    <w:rsid w:val="00C120A7"/>
    <w:rsid w:val="00C124B6"/>
    <w:rsid w:val="00C13A29"/>
    <w:rsid w:val="00C14544"/>
    <w:rsid w:val="00C1515D"/>
    <w:rsid w:val="00C1640B"/>
    <w:rsid w:val="00C235F9"/>
    <w:rsid w:val="00C3039D"/>
    <w:rsid w:val="00C30623"/>
    <w:rsid w:val="00C3490C"/>
    <w:rsid w:val="00C350CE"/>
    <w:rsid w:val="00C35426"/>
    <w:rsid w:val="00C40748"/>
    <w:rsid w:val="00C517D6"/>
    <w:rsid w:val="00C53B85"/>
    <w:rsid w:val="00C54578"/>
    <w:rsid w:val="00C6064F"/>
    <w:rsid w:val="00C607E5"/>
    <w:rsid w:val="00C655FB"/>
    <w:rsid w:val="00C658A6"/>
    <w:rsid w:val="00C65CE9"/>
    <w:rsid w:val="00C713AC"/>
    <w:rsid w:val="00C71B5B"/>
    <w:rsid w:val="00C73193"/>
    <w:rsid w:val="00C751E1"/>
    <w:rsid w:val="00C76289"/>
    <w:rsid w:val="00C76A1E"/>
    <w:rsid w:val="00C80139"/>
    <w:rsid w:val="00C8179A"/>
    <w:rsid w:val="00C81ACA"/>
    <w:rsid w:val="00C81DF4"/>
    <w:rsid w:val="00C82B7E"/>
    <w:rsid w:val="00C84AA9"/>
    <w:rsid w:val="00C90BD1"/>
    <w:rsid w:val="00C92F79"/>
    <w:rsid w:val="00C93782"/>
    <w:rsid w:val="00C93B71"/>
    <w:rsid w:val="00C9527F"/>
    <w:rsid w:val="00C953B7"/>
    <w:rsid w:val="00CA0B26"/>
    <w:rsid w:val="00CA0FC8"/>
    <w:rsid w:val="00CB0506"/>
    <w:rsid w:val="00CB0B30"/>
    <w:rsid w:val="00CB34BC"/>
    <w:rsid w:val="00CB77A4"/>
    <w:rsid w:val="00CC133D"/>
    <w:rsid w:val="00CC332C"/>
    <w:rsid w:val="00CC528D"/>
    <w:rsid w:val="00CC6E10"/>
    <w:rsid w:val="00CD29EA"/>
    <w:rsid w:val="00CD3EF4"/>
    <w:rsid w:val="00CE2791"/>
    <w:rsid w:val="00CE28F3"/>
    <w:rsid w:val="00CE28F9"/>
    <w:rsid w:val="00CE6D11"/>
    <w:rsid w:val="00CE7FC5"/>
    <w:rsid w:val="00CF0035"/>
    <w:rsid w:val="00CF453D"/>
    <w:rsid w:val="00CF5BFC"/>
    <w:rsid w:val="00D02D56"/>
    <w:rsid w:val="00D04427"/>
    <w:rsid w:val="00D044A6"/>
    <w:rsid w:val="00D04A81"/>
    <w:rsid w:val="00D04C3A"/>
    <w:rsid w:val="00D06612"/>
    <w:rsid w:val="00D070D2"/>
    <w:rsid w:val="00D07E90"/>
    <w:rsid w:val="00D12FA1"/>
    <w:rsid w:val="00D14626"/>
    <w:rsid w:val="00D14A08"/>
    <w:rsid w:val="00D16D1E"/>
    <w:rsid w:val="00D1713F"/>
    <w:rsid w:val="00D17FBB"/>
    <w:rsid w:val="00D21A53"/>
    <w:rsid w:val="00D22043"/>
    <w:rsid w:val="00D23292"/>
    <w:rsid w:val="00D25CBA"/>
    <w:rsid w:val="00D30A2C"/>
    <w:rsid w:val="00D322B4"/>
    <w:rsid w:val="00D33FE5"/>
    <w:rsid w:val="00D34CD8"/>
    <w:rsid w:val="00D372F9"/>
    <w:rsid w:val="00D374A8"/>
    <w:rsid w:val="00D37632"/>
    <w:rsid w:val="00D3774E"/>
    <w:rsid w:val="00D377C4"/>
    <w:rsid w:val="00D4133A"/>
    <w:rsid w:val="00D424D4"/>
    <w:rsid w:val="00D444A4"/>
    <w:rsid w:val="00D45415"/>
    <w:rsid w:val="00D50264"/>
    <w:rsid w:val="00D503E2"/>
    <w:rsid w:val="00D516D5"/>
    <w:rsid w:val="00D51A3D"/>
    <w:rsid w:val="00D51EFF"/>
    <w:rsid w:val="00D53909"/>
    <w:rsid w:val="00D53929"/>
    <w:rsid w:val="00D554AC"/>
    <w:rsid w:val="00D61BC8"/>
    <w:rsid w:val="00D62412"/>
    <w:rsid w:val="00D63EFA"/>
    <w:rsid w:val="00D66D32"/>
    <w:rsid w:val="00D71372"/>
    <w:rsid w:val="00D71F28"/>
    <w:rsid w:val="00D73F46"/>
    <w:rsid w:val="00D8044A"/>
    <w:rsid w:val="00D8062B"/>
    <w:rsid w:val="00D822E8"/>
    <w:rsid w:val="00D83FA5"/>
    <w:rsid w:val="00D8643C"/>
    <w:rsid w:val="00D965DC"/>
    <w:rsid w:val="00D970CB"/>
    <w:rsid w:val="00DA24BF"/>
    <w:rsid w:val="00DA2609"/>
    <w:rsid w:val="00DA31A8"/>
    <w:rsid w:val="00DA44E8"/>
    <w:rsid w:val="00DA4899"/>
    <w:rsid w:val="00DA6DF3"/>
    <w:rsid w:val="00DB1161"/>
    <w:rsid w:val="00DB1BF7"/>
    <w:rsid w:val="00DB4287"/>
    <w:rsid w:val="00DC2375"/>
    <w:rsid w:val="00DC47C0"/>
    <w:rsid w:val="00DC5607"/>
    <w:rsid w:val="00DC5F59"/>
    <w:rsid w:val="00DD0B1C"/>
    <w:rsid w:val="00DD0DCE"/>
    <w:rsid w:val="00DD1D95"/>
    <w:rsid w:val="00DD2036"/>
    <w:rsid w:val="00DD27BE"/>
    <w:rsid w:val="00DD2874"/>
    <w:rsid w:val="00DD2E0F"/>
    <w:rsid w:val="00DD3E12"/>
    <w:rsid w:val="00DD7028"/>
    <w:rsid w:val="00DD7E0E"/>
    <w:rsid w:val="00DE1831"/>
    <w:rsid w:val="00DE2293"/>
    <w:rsid w:val="00DE2CD6"/>
    <w:rsid w:val="00DE3868"/>
    <w:rsid w:val="00DE6C54"/>
    <w:rsid w:val="00DF0553"/>
    <w:rsid w:val="00DF1A86"/>
    <w:rsid w:val="00DF47DC"/>
    <w:rsid w:val="00E001CE"/>
    <w:rsid w:val="00E0087D"/>
    <w:rsid w:val="00E0167D"/>
    <w:rsid w:val="00E01BA8"/>
    <w:rsid w:val="00E04144"/>
    <w:rsid w:val="00E043B8"/>
    <w:rsid w:val="00E04C88"/>
    <w:rsid w:val="00E04D1C"/>
    <w:rsid w:val="00E0517A"/>
    <w:rsid w:val="00E1078C"/>
    <w:rsid w:val="00E12449"/>
    <w:rsid w:val="00E13B23"/>
    <w:rsid w:val="00E14CF2"/>
    <w:rsid w:val="00E1788B"/>
    <w:rsid w:val="00E21105"/>
    <w:rsid w:val="00E24098"/>
    <w:rsid w:val="00E251DC"/>
    <w:rsid w:val="00E30E73"/>
    <w:rsid w:val="00E311DD"/>
    <w:rsid w:val="00E403BC"/>
    <w:rsid w:val="00E436E0"/>
    <w:rsid w:val="00E4395D"/>
    <w:rsid w:val="00E44113"/>
    <w:rsid w:val="00E46A5B"/>
    <w:rsid w:val="00E50A54"/>
    <w:rsid w:val="00E51BF1"/>
    <w:rsid w:val="00E5589D"/>
    <w:rsid w:val="00E560E8"/>
    <w:rsid w:val="00E62323"/>
    <w:rsid w:val="00E62E32"/>
    <w:rsid w:val="00E64A29"/>
    <w:rsid w:val="00E66558"/>
    <w:rsid w:val="00E67D6E"/>
    <w:rsid w:val="00E70ADE"/>
    <w:rsid w:val="00E73387"/>
    <w:rsid w:val="00E73B39"/>
    <w:rsid w:val="00E73C96"/>
    <w:rsid w:val="00E7408C"/>
    <w:rsid w:val="00E7566B"/>
    <w:rsid w:val="00E771C9"/>
    <w:rsid w:val="00E80CF5"/>
    <w:rsid w:val="00E8159E"/>
    <w:rsid w:val="00E851CB"/>
    <w:rsid w:val="00E87AFC"/>
    <w:rsid w:val="00E9018D"/>
    <w:rsid w:val="00E90BE0"/>
    <w:rsid w:val="00E92644"/>
    <w:rsid w:val="00E97BE5"/>
    <w:rsid w:val="00EA021B"/>
    <w:rsid w:val="00EA1ABF"/>
    <w:rsid w:val="00EA4084"/>
    <w:rsid w:val="00EA7D16"/>
    <w:rsid w:val="00EB10A2"/>
    <w:rsid w:val="00EB145D"/>
    <w:rsid w:val="00EB376D"/>
    <w:rsid w:val="00EB38DC"/>
    <w:rsid w:val="00EB3FE5"/>
    <w:rsid w:val="00EB46A5"/>
    <w:rsid w:val="00EB611B"/>
    <w:rsid w:val="00EB7E18"/>
    <w:rsid w:val="00EC3F22"/>
    <w:rsid w:val="00EC57E8"/>
    <w:rsid w:val="00EC7BC1"/>
    <w:rsid w:val="00ED0921"/>
    <w:rsid w:val="00ED0976"/>
    <w:rsid w:val="00ED1808"/>
    <w:rsid w:val="00ED19AF"/>
    <w:rsid w:val="00ED30B7"/>
    <w:rsid w:val="00ED453C"/>
    <w:rsid w:val="00ED6038"/>
    <w:rsid w:val="00ED61C0"/>
    <w:rsid w:val="00EE1963"/>
    <w:rsid w:val="00EE29B5"/>
    <w:rsid w:val="00EE67C8"/>
    <w:rsid w:val="00EE74AD"/>
    <w:rsid w:val="00EF33CB"/>
    <w:rsid w:val="00EF4201"/>
    <w:rsid w:val="00EF43FA"/>
    <w:rsid w:val="00EF45FB"/>
    <w:rsid w:val="00EF5396"/>
    <w:rsid w:val="00EF61F4"/>
    <w:rsid w:val="00F07FDA"/>
    <w:rsid w:val="00F10C92"/>
    <w:rsid w:val="00F13DC8"/>
    <w:rsid w:val="00F141ED"/>
    <w:rsid w:val="00F15143"/>
    <w:rsid w:val="00F214ED"/>
    <w:rsid w:val="00F22B9D"/>
    <w:rsid w:val="00F23FA5"/>
    <w:rsid w:val="00F300EE"/>
    <w:rsid w:val="00F31081"/>
    <w:rsid w:val="00F31794"/>
    <w:rsid w:val="00F32ABE"/>
    <w:rsid w:val="00F339AC"/>
    <w:rsid w:val="00F348F5"/>
    <w:rsid w:val="00F34DAE"/>
    <w:rsid w:val="00F359B4"/>
    <w:rsid w:val="00F42784"/>
    <w:rsid w:val="00F42EC4"/>
    <w:rsid w:val="00F469F8"/>
    <w:rsid w:val="00F5158F"/>
    <w:rsid w:val="00F53140"/>
    <w:rsid w:val="00F5402F"/>
    <w:rsid w:val="00F55B3D"/>
    <w:rsid w:val="00F56A55"/>
    <w:rsid w:val="00F56B7F"/>
    <w:rsid w:val="00F57602"/>
    <w:rsid w:val="00F631BE"/>
    <w:rsid w:val="00F63708"/>
    <w:rsid w:val="00F63EE1"/>
    <w:rsid w:val="00F65C70"/>
    <w:rsid w:val="00F65E36"/>
    <w:rsid w:val="00F672D8"/>
    <w:rsid w:val="00F70CA9"/>
    <w:rsid w:val="00F755F7"/>
    <w:rsid w:val="00F81085"/>
    <w:rsid w:val="00F9074B"/>
    <w:rsid w:val="00F91904"/>
    <w:rsid w:val="00F929EB"/>
    <w:rsid w:val="00F937F3"/>
    <w:rsid w:val="00F93D4E"/>
    <w:rsid w:val="00F942B3"/>
    <w:rsid w:val="00F95771"/>
    <w:rsid w:val="00F964BC"/>
    <w:rsid w:val="00F96B71"/>
    <w:rsid w:val="00FA0A8E"/>
    <w:rsid w:val="00FA1E13"/>
    <w:rsid w:val="00FA3171"/>
    <w:rsid w:val="00FA7397"/>
    <w:rsid w:val="00FB3066"/>
    <w:rsid w:val="00FB3999"/>
    <w:rsid w:val="00FB63FF"/>
    <w:rsid w:val="00FB7623"/>
    <w:rsid w:val="00FB7E23"/>
    <w:rsid w:val="00FC1525"/>
    <w:rsid w:val="00FC312F"/>
    <w:rsid w:val="00FD1339"/>
    <w:rsid w:val="00FD15E8"/>
    <w:rsid w:val="00FD199A"/>
    <w:rsid w:val="00FD3513"/>
    <w:rsid w:val="00FD4585"/>
    <w:rsid w:val="00FD4A96"/>
    <w:rsid w:val="00FD6BB7"/>
    <w:rsid w:val="00FE3838"/>
    <w:rsid w:val="00FE658A"/>
    <w:rsid w:val="00FF386A"/>
    <w:rsid w:val="00FF3E95"/>
    <w:rsid w:val="00FF45BE"/>
    <w:rsid w:val="00FF4B84"/>
    <w:rsid w:val="00FF4CA5"/>
    <w:rsid w:val="00FF6BD1"/>
    <w:rsid w:val="304D3DF2"/>
    <w:rsid w:val="4A430D16"/>
    <w:rsid w:val="6B5BB2E8"/>
    <w:rsid w:val="77D760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3E326F3-3D62-46DA-8B4C-B052FE37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3C7039"/>
    <w:pPr>
      <w:autoSpaceDN/>
    </w:pPr>
    <w:rPr>
      <w:rFonts w:ascii="Comic Sans MS" w:eastAsiaTheme="minorHAnsi" w:hAnsi="Comic Sans MS"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3B5AB6"/>
    <w:pPr>
      <w:suppressAutoHyphens w:val="0"/>
      <w:autoSpaceDN/>
      <w:spacing w:before="100" w:beforeAutospacing="1" w:after="100" w:afterAutospacing="1" w:line="240" w:lineRule="auto"/>
    </w:pPr>
    <w:rPr>
      <w:rFonts w:ascii="Times New Roman" w:hAnsi="Times New Roman"/>
      <w:color w:val="auto"/>
    </w:rPr>
  </w:style>
  <w:style w:type="character" w:customStyle="1" w:styleId="wixguard">
    <w:name w:val="wixguard"/>
    <w:basedOn w:val="DefaultParagraphFont"/>
    <w:rsid w:val="003B5AB6"/>
  </w:style>
  <w:style w:type="paragraph" w:styleId="NoSpacing">
    <w:name w:val="No Spacing"/>
    <w:uiPriority w:val="1"/>
    <w:qFormat/>
    <w:rsid w:val="00C6064F"/>
    <w:pPr>
      <w:suppressAutoHyphens/>
    </w:pPr>
    <w:rPr>
      <w:color w:val="0D0D0D"/>
      <w:sz w:val="24"/>
      <w:szCs w:val="24"/>
    </w:rPr>
  </w:style>
  <w:style w:type="character" w:customStyle="1" w:styleId="UnresolvedMention2">
    <w:name w:val="Unresolved Mention2"/>
    <w:basedOn w:val="DefaultParagraphFont"/>
    <w:uiPriority w:val="99"/>
    <w:semiHidden/>
    <w:unhideWhenUsed/>
    <w:rsid w:val="0009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326">
      <w:bodyDiv w:val="1"/>
      <w:marLeft w:val="0"/>
      <w:marRight w:val="0"/>
      <w:marTop w:val="0"/>
      <w:marBottom w:val="0"/>
      <w:divBdr>
        <w:top w:val="none" w:sz="0" w:space="0" w:color="auto"/>
        <w:left w:val="none" w:sz="0" w:space="0" w:color="auto"/>
        <w:bottom w:val="none" w:sz="0" w:space="0" w:color="auto"/>
        <w:right w:val="none" w:sz="0" w:space="0" w:color="auto"/>
      </w:divBdr>
      <w:divsChild>
        <w:div w:id="185170790">
          <w:marLeft w:val="0"/>
          <w:marRight w:val="0"/>
          <w:marTop w:val="0"/>
          <w:marBottom w:val="0"/>
          <w:divBdr>
            <w:top w:val="none" w:sz="0" w:space="0" w:color="auto"/>
            <w:left w:val="none" w:sz="0" w:space="0" w:color="auto"/>
            <w:bottom w:val="none" w:sz="0" w:space="0" w:color="auto"/>
            <w:right w:val="none" w:sz="0" w:space="0" w:color="auto"/>
          </w:divBdr>
        </w:div>
        <w:div w:id="846674597">
          <w:marLeft w:val="0"/>
          <w:marRight w:val="0"/>
          <w:marTop w:val="0"/>
          <w:marBottom w:val="0"/>
          <w:divBdr>
            <w:top w:val="none" w:sz="0" w:space="0" w:color="auto"/>
            <w:left w:val="none" w:sz="0" w:space="0" w:color="auto"/>
            <w:bottom w:val="none" w:sz="0" w:space="0" w:color="auto"/>
            <w:right w:val="none" w:sz="0" w:space="0" w:color="auto"/>
          </w:divBdr>
        </w:div>
        <w:div w:id="1400979921">
          <w:marLeft w:val="0"/>
          <w:marRight w:val="0"/>
          <w:marTop w:val="0"/>
          <w:marBottom w:val="0"/>
          <w:divBdr>
            <w:top w:val="none" w:sz="0" w:space="0" w:color="auto"/>
            <w:left w:val="none" w:sz="0" w:space="0" w:color="auto"/>
            <w:bottom w:val="none" w:sz="0" w:space="0" w:color="auto"/>
            <w:right w:val="none" w:sz="0" w:space="0" w:color="auto"/>
          </w:divBdr>
        </w:div>
      </w:divsChild>
    </w:div>
    <w:div w:id="166949040">
      <w:bodyDiv w:val="1"/>
      <w:marLeft w:val="0"/>
      <w:marRight w:val="0"/>
      <w:marTop w:val="0"/>
      <w:marBottom w:val="0"/>
      <w:divBdr>
        <w:top w:val="none" w:sz="0" w:space="0" w:color="auto"/>
        <w:left w:val="none" w:sz="0" w:space="0" w:color="auto"/>
        <w:bottom w:val="none" w:sz="0" w:space="0" w:color="auto"/>
        <w:right w:val="none" w:sz="0" w:space="0" w:color="auto"/>
      </w:divBdr>
      <w:divsChild>
        <w:div w:id="1058748300">
          <w:marLeft w:val="0"/>
          <w:marRight w:val="0"/>
          <w:marTop w:val="15"/>
          <w:marBottom w:val="0"/>
          <w:divBdr>
            <w:top w:val="single" w:sz="48" w:space="0" w:color="auto"/>
            <w:left w:val="single" w:sz="48" w:space="0" w:color="auto"/>
            <w:bottom w:val="single" w:sz="48" w:space="0" w:color="auto"/>
            <w:right w:val="single" w:sz="48" w:space="0" w:color="auto"/>
          </w:divBdr>
          <w:divsChild>
            <w:div w:id="373427983">
              <w:marLeft w:val="0"/>
              <w:marRight w:val="0"/>
              <w:marTop w:val="0"/>
              <w:marBottom w:val="0"/>
              <w:divBdr>
                <w:top w:val="none" w:sz="0" w:space="0" w:color="auto"/>
                <w:left w:val="none" w:sz="0" w:space="0" w:color="auto"/>
                <w:bottom w:val="none" w:sz="0" w:space="0" w:color="auto"/>
                <w:right w:val="none" w:sz="0" w:space="0" w:color="auto"/>
              </w:divBdr>
              <w:divsChild>
                <w:div w:id="61149303">
                  <w:marLeft w:val="0"/>
                  <w:marRight w:val="0"/>
                  <w:marTop w:val="0"/>
                  <w:marBottom w:val="0"/>
                  <w:divBdr>
                    <w:top w:val="none" w:sz="0" w:space="0" w:color="auto"/>
                    <w:left w:val="none" w:sz="0" w:space="0" w:color="auto"/>
                    <w:bottom w:val="none" w:sz="0" w:space="0" w:color="auto"/>
                    <w:right w:val="none" w:sz="0" w:space="0" w:color="auto"/>
                  </w:divBdr>
                </w:div>
                <w:div w:id="86778276">
                  <w:marLeft w:val="0"/>
                  <w:marRight w:val="0"/>
                  <w:marTop w:val="0"/>
                  <w:marBottom w:val="0"/>
                  <w:divBdr>
                    <w:top w:val="none" w:sz="0" w:space="0" w:color="auto"/>
                    <w:left w:val="none" w:sz="0" w:space="0" w:color="auto"/>
                    <w:bottom w:val="none" w:sz="0" w:space="0" w:color="auto"/>
                    <w:right w:val="none" w:sz="0" w:space="0" w:color="auto"/>
                  </w:divBdr>
                </w:div>
                <w:div w:id="134302299">
                  <w:marLeft w:val="0"/>
                  <w:marRight w:val="0"/>
                  <w:marTop w:val="0"/>
                  <w:marBottom w:val="0"/>
                  <w:divBdr>
                    <w:top w:val="none" w:sz="0" w:space="0" w:color="auto"/>
                    <w:left w:val="none" w:sz="0" w:space="0" w:color="auto"/>
                    <w:bottom w:val="none" w:sz="0" w:space="0" w:color="auto"/>
                    <w:right w:val="none" w:sz="0" w:space="0" w:color="auto"/>
                  </w:divBdr>
                </w:div>
                <w:div w:id="154997386">
                  <w:marLeft w:val="0"/>
                  <w:marRight w:val="0"/>
                  <w:marTop w:val="0"/>
                  <w:marBottom w:val="0"/>
                  <w:divBdr>
                    <w:top w:val="none" w:sz="0" w:space="0" w:color="auto"/>
                    <w:left w:val="none" w:sz="0" w:space="0" w:color="auto"/>
                    <w:bottom w:val="none" w:sz="0" w:space="0" w:color="auto"/>
                    <w:right w:val="none" w:sz="0" w:space="0" w:color="auto"/>
                  </w:divBdr>
                </w:div>
                <w:div w:id="200048517">
                  <w:marLeft w:val="0"/>
                  <w:marRight w:val="0"/>
                  <w:marTop w:val="0"/>
                  <w:marBottom w:val="0"/>
                  <w:divBdr>
                    <w:top w:val="none" w:sz="0" w:space="0" w:color="auto"/>
                    <w:left w:val="none" w:sz="0" w:space="0" w:color="auto"/>
                    <w:bottom w:val="none" w:sz="0" w:space="0" w:color="auto"/>
                    <w:right w:val="none" w:sz="0" w:space="0" w:color="auto"/>
                  </w:divBdr>
                </w:div>
                <w:div w:id="224994085">
                  <w:marLeft w:val="0"/>
                  <w:marRight w:val="0"/>
                  <w:marTop w:val="0"/>
                  <w:marBottom w:val="0"/>
                  <w:divBdr>
                    <w:top w:val="none" w:sz="0" w:space="0" w:color="auto"/>
                    <w:left w:val="none" w:sz="0" w:space="0" w:color="auto"/>
                    <w:bottom w:val="none" w:sz="0" w:space="0" w:color="auto"/>
                    <w:right w:val="none" w:sz="0" w:space="0" w:color="auto"/>
                  </w:divBdr>
                </w:div>
                <w:div w:id="278487113">
                  <w:marLeft w:val="0"/>
                  <w:marRight w:val="0"/>
                  <w:marTop w:val="0"/>
                  <w:marBottom w:val="0"/>
                  <w:divBdr>
                    <w:top w:val="none" w:sz="0" w:space="0" w:color="auto"/>
                    <w:left w:val="none" w:sz="0" w:space="0" w:color="auto"/>
                    <w:bottom w:val="none" w:sz="0" w:space="0" w:color="auto"/>
                    <w:right w:val="none" w:sz="0" w:space="0" w:color="auto"/>
                  </w:divBdr>
                </w:div>
                <w:div w:id="284242833">
                  <w:marLeft w:val="0"/>
                  <w:marRight w:val="0"/>
                  <w:marTop w:val="0"/>
                  <w:marBottom w:val="0"/>
                  <w:divBdr>
                    <w:top w:val="none" w:sz="0" w:space="0" w:color="auto"/>
                    <w:left w:val="none" w:sz="0" w:space="0" w:color="auto"/>
                    <w:bottom w:val="none" w:sz="0" w:space="0" w:color="auto"/>
                    <w:right w:val="none" w:sz="0" w:space="0" w:color="auto"/>
                  </w:divBdr>
                </w:div>
                <w:div w:id="312952502">
                  <w:marLeft w:val="0"/>
                  <w:marRight w:val="0"/>
                  <w:marTop w:val="0"/>
                  <w:marBottom w:val="0"/>
                  <w:divBdr>
                    <w:top w:val="none" w:sz="0" w:space="0" w:color="auto"/>
                    <w:left w:val="none" w:sz="0" w:space="0" w:color="auto"/>
                    <w:bottom w:val="none" w:sz="0" w:space="0" w:color="auto"/>
                    <w:right w:val="none" w:sz="0" w:space="0" w:color="auto"/>
                  </w:divBdr>
                </w:div>
                <w:div w:id="338509031">
                  <w:marLeft w:val="0"/>
                  <w:marRight w:val="0"/>
                  <w:marTop w:val="0"/>
                  <w:marBottom w:val="0"/>
                  <w:divBdr>
                    <w:top w:val="none" w:sz="0" w:space="0" w:color="auto"/>
                    <w:left w:val="none" w:sz="0" w:space="0" w:color="auto"/>
                    <w:bottom w:val="none" w:sz="0" w:space="0" w:color="auto"/>
                    <w:right w:val="none" w:sz="0" w:space="0" w:color="auto"/>
                  </w:divBdr>
                </w:div>
                <w:div w:id="344596077">
                  <w:marLeft w:val="0"/>
                  <w:marRight w:val="0"/>
                  <w:marTop w:val="0"/>
                  <w:marBottom w:val="0"/>
                  <w:divBdr>
                    <w:top w:val="none" w:sz="0" w:space="0" w:color="auto"/>
                    <w:left w:val="none" w:sz="0" w:space="0" w:color="auto"/>
                    <w:bottom w:val="none" w:sz="0" w:space="0" w:color="auto"/>
                    <w:right w:val="none" w:sz="0" w:space="0" w:color="auto"/>
                  </w:divBdr>
                </w:div>
                <w:div w:id="447315662">
                  <w:marLeft w:val="0"/>
                  <w:marRight w:val="0"/>
                  <w:marTop w:val="0"/>
                  <w:marBottom w:val="0"/>
                  <w:divBdr>
                    <w:top w:val="none" w:sz="0" w:space="0" w:color="auto"/>
                    <w:left w:val="none" w:sz="0" w:space="0" w:color="auto"/>
                    <w:bottom w:val="none" w:sz="0" w:space="0" w:color="auto"/>
                    <w:right w:val="none" w:sz="0" w:space="0" w:color="auto"/>
                  </w:divBdr>
                </w:div>
                <w:div w:id="450051864">
                  <w:marLeft w:val="0"/>
                  <w:marRight w:val="0"/>
                  <w:marTop w:val="0"/>
                  <w:marBottom w:val="0"/>
                  <w:divBdr>
                    <w:top w:val="none" w:sz="0" w:space="0" w:color="auto"/>
                    <w:left w:val="none" w:sz="0" w:space="0" w:color="auto"/>
                    <w:bottom w:val="none" w:sz="0" w:space="0" w:color="auto"/>
                    <w:right w:val="none" w:sz="0" w:space="0" w:color="auto"/>
                  </w:divBdr>
                </w:div>
                <w:div w:id="526989352">
                  <w:marLeft w:val="0"/>
                  <w:marRight w:val="0"/>
                  <w:marTop w:val="0"/>
                  <w:marBottom w:val="0"/>
                  <w:divBdr>
                    <w:top w:val="none" w:sz="0" w:space="0" w:color="auto"/>
                    <w:left w:val="none" w:sz="0" w:space="0" w:color="auto"/>
                    <w:bottom w:val="none" w:sz="0" w:space="0" w:color="auto"/>
                    <w:right w:val="none" w:sz="0" w:space="0" w:color="auto"/>
                  </w:divBdr>
                </w:div>
                <w:div w:id="529610786">
                  <w:marLeft w:val="0"/>
                  <w:marRight w:val="0"/>
                  <w:marTop w:val="0"/>
                  <w:marBottom w:val="0"/>
                  <w:divBdr>
                    <w:top w:val="none" w:sz="0" w:space="0" w:color="auto"/>
                    <w:left w:val="none" w:sz="0" w:space="0" w:color="auto"/>
                    <w:bottom w:val="none" w:sz="0" w:space="0" w:color="auto"/>
                    <w:right w:val="none" w:sz="0" w:space="0" w:color="auto"/>
                  </w:divBdr>
                </w:div>
                <w:div w:id="638609593">
                  <w:marLeft w:val="0"/>
                  <w:marRight w:val="0"/>
                  <w:marTop w:val="0"/>
                  <w:marBottom w:val="0"/>
                  <w:divBdr>
                    <w:top w:val="none" w:sz="0" w:space="0" w:color="auto"/>
                    <w:left w:val="none" w:sz="0" w:space="0" w:color="auto"/>
                    <w:bottom w:val="none" w:sz="0" w:space="0" w:color="auto"/>
                    <w:right w:val="none" w:sz="0" w:space="0" w:color="auto"/>
                  </w:divBdr>
                </w:div>
                <w:div w:id="698357969">
                  <w:marLeft w:val="0"/>
                  <w:marRight w:val="0"/>
                  <w:marTop w:val="0"/>
                  <w:marBottom w:val="0"/>
                  <w:divBdr>
                    <w:top w:val="none" w:sz="0" w:space="0" w:color="auto"/>
                    <w:left w:val="none" w:sz="0" w:space="0" w:color="auto"/>
                    <w:bottom w:val="none" w:sz="0" w:space="0" w:color="auto"/>
                    <w:right w:val="none" w:sz="0" w:space="0" w:color="auto"/>
                  </w:divBdr>
                </w:div>
                <w:div w:id="766851516">
                  <w:marLeft w:val="0"/>
                  <w:marRight w:val="0"/>
                  <w:marTop w:val="0"/>
                  <w:marBottom w:val="0"/>
                  <w:divBdr>
                    <w:top w:val="none" w:sz="0" w:space="0" w:color="auto"/>
                    <w:left w:val="none" w:sz="0" w:space="0" w:color="auto"/>
                    <w:bottom w:val="none" w:sz="0" w:space="0" w:color="auto"/>
                    <w:right w:val="none" w:sz="0" w:space="0" w:color="auto"/>
                  </w:divBdr>
                </w:div>
                <w:div w:id="818569340">
                  <w:marLeft w:val="0"/>
                  <w:marRight w:val="0"/>
                  <w:marTop w:val="0"/>
                  <w:marBottom w:val="0"/>
                  <w:divBdr>
                    <w:top w:val="none" w:sz="0" w:space="0" w:color="auto"/>
                    <w:left w:val="none" w:sz="0" w:space="0" w:color="auto"/>
                    <w:bottom w:val="none" w:sz="0" w:space="0" w:color="auto"/>
                    <w:right w:val="none" w:sz="0" w:space="0" w:color="auto"/>
                  </w:divBdr>
                </w:div>
                <w:div w:id="936446367">
                  <w:marLeft w:val="0"/>
                  <w:marRight w:val="0"/>
                  <w:marTop w:val="0"/>
                  <w:marBottom w:val="0"/>
                  <w:divBdr>
                    <w:top w:val="none" w:sz="0" w:space="0" w:color="auto"/>
                    <w:left w:val="none" w:sz="0" w:space="0" w:color="auto"/>
                    <w:bottom w:val="none" w:sz="0" w:space="0" w:color="auto"/>
                    <w:right w:val="none" w:sz="0" w:space="0" w:color="auto"/>
                  </w:divBdr>
                </w:div>
                <w:div w:id="996763145">
                  <w:marLeft w:val="0"/>
                  <w:marRight w:val="0"/>
                  <w:marTop w:val="0"/>
                  <w:marBottom w:val="0"/>
                  <w:divBdr>
                    <w:top w:val="none" w:sz="0" w:space="0" w:color="auto"/>
                    <w:left w:val="none" w:sz="0" w:space="0" w:color="auto"/>
                    <w:bottom w:val="none" w:sz="0" w:space="0" w:color="auto"/>
                    <w:right w:val="none" w:sz="0" w:space="0" w:color="auto"/>
                  </w:divBdr>
                </w:div>
                <w:div w:id="1077245931">
                  <w:marLeft w:val="0"/>
                  <w:marRight w:val="0"/>
                  <w:marTop w:val="0"/>
                  <w:marBottom w:val="0"/>
                  <w:divBdr>
                    <w:top w:val="none" w:sz="0" w:space="0" w:color="auto"/>
                    <w:left w:val="none" w:sz="0" w:space="0" w:color="auto"/>
                    <w:bottom w:val="none" w:sz="0" w:space="0" w:color="auto"/>
                    <w:right w:val="none" w:sz="0" w:space="0" w:color="auto"/>
                  </w:divBdr>
                </w:div>
                <w:div w:id="1142430517">
                  <w:marLeft w:val="0"/>
                  <w:marRight w:val="0"/>
                  <w:marTop w:val="0"/>
                  <w:marBottom w:val="0"/>
                  <w:divBdr>
                    <w:top w:val="none" w:sz="0" w:space="0" w:color="auto"/>
                    <w:left w:val="none" w:sz="0" w:space="0" w:color="auto"/>
                    <w:bottom w:val="none" w:sz="0" w:space="0" w:color="auto"/>
                    <w:right w:val="none" w:sz="0" w:space="0" w:color="auto"/>
                  </w:divBdr>
                </w:div>
                <w:div w:id="1173690728">
                  <w:marLeft w:val="0"/>
                  <w:marRight w:val="0"/>
                  <w:marTop w:val="0"/>
                  <w:marBottom w:val="0"/>
                  <w:divBdr>
                    <w:top w:val="none" w:sz="0" w:space="0" w:color="auto"/>
                    <w:left w:val="none" w:sz="0" w:space="0" w:color="auto"/>
                    <w:bottom w:val="none" w:sz="0" w:space="0" w:color="auto"/>
                    <w:right w:val="none" w:sz="0" w:space="0" w:color="auto"/>
                  </w:divBdr>
                </w:div>
                <w:div w:id="1188788058">
                  <w:marLeft w:val="0"/>
                  <w:marRight w:val="0"/>
                  <w:marTop w:val="0"/>
                  <w:marBottom w:val="0"/>
                  <w:divBdr>
                    <w:top w:val="none" w:sz="0" w:space="0" w:color="auto"/>
                    <w:left w:val="none" w:sz="0" w:space="0" w:color="auto"/>
                    <w:bottom w:val="none" w:sz="0" w:space="0" w:color="auto"/>
                    <w:right w:val="none" w:sz="0" w:space="0" w:color="auto"/>
                  </w:divBdr>
                </w:div>
                <w:div w:id="1199009218">
                  <w:marLeft w:val="0"/>
                  <w:marRight w:val="0"/>
                  <w:marTop w:val="0"/>
                  <w:marBottom w:val="0"/>
                  <w:divBdr>
                    <w:top w:val="none" w:sz="0" w:space="0" w:color="auto"/>
                    <w:left w:val="none" w:sz="0" w:space="0" w:color="auto"/>
                    <w:bottom w:val="none" w:sz="0" w:space="0" w:color="auto"/>
                    <w:right w:val="none" w:sz="0" w:space="0" w:color="auto"/>
                  </w:divBdr>
                </w:div>
                <w:div w:id="1202129220">
                  <w:marLeft w:val="0"/>
                  <w:marRight w:val="0"/>
                  <w:marTop w:val="0"/>
                  <w:marBottom w:val="0"/>
                  <w:divBdr>
                    <w:top w:val="none" w:sz="0" w:space="0" w:color="auto"/>
                    <w:left w:val="none" w:sz="0" w:space="0" w:color="auto"/>
                    <w:bottom w:val="none" w:sz="0" w:space="0" w:color="auto"/>
                    <w:right w:val="none" w:sz="0" w:space="0" w:color="auto"/>
                  </w:divBdr>
                </w:div>
                <w:div w:id="1209301441">
                  <w:marLeft w:val="0"/>
                  <w:marRight w:val="0"/>
                  <w:marTop w:val="0"/>
                  <w:marBottom w:val="0"/>
                  <w:divBdr>
                    <w:top w:val="none" w:sz="0" w:space="0" w:color="auto"/>
                    <w:left w:val="none" w:sz="0" w:space="0" w:color="auto"/>
                    <w:bottom w:val="none" w:sz="0" w:space="0" w:color="auto"/>
                    <w:right w:val="none" w:sz="0" w:space="0" w:color="auto"/>
                  </w:divBdr>
                </w:div>
                <w:div w:id="1240334682">
                  <w:marLeft w:val="0"/>
                  <w:marRight w:val="0"/>
                  <w:marTop w:val="0"/>
                  <w:marBottom w:val="0"/>
                  <w:divBdr>
                    <w:top w:val="none" w:sz="0" w:space="0" w:color="auto"/>
                    <w:left w:val="none" w:sz="0" w:space="0" w:color="auto"/>
                    <w:bottom w:val="none" w:sz="0" w:space="0" w:color="auto"/>
                    <w:right w:val="none" w:sz="0" w:space="0" w:color="auto"/>
                  </w:divBdr>
                </w:div>
                <w:div w:id="1289363255">
                  <w:marLeft w:val="0"/>
                  <w:marRight w:val="0"/>
                  <w:marTop w:val="0"/>
                  <w:marBottom w:val="0"/>
                  <w:divBdr>
                    <w:top w:val="none" w:sz="0" w:space="0" w:color="auto"/>
                    <w:left w:val="none" w:sz="0" w:space="0" w:color="auto"/>
                    <w:bottom w:val="none" w:sz="0" w:space="0" w:color="auto"/>
                    <w:right w:val="none" w:sz="0" w:space="0" w:color="auto"/>
                  </w:divBdr>
                </w:div>
                <w:div w:id="1302660345">
                  <w:marLeft w:val="0"/>
                  <w:marRight w:val="0"/>
                  <w:marTop w:val="0"/>
                  <w:marBottom w:val="0"/>
                  <w:divBdr>
                    <w:top w:val="none" w:sz="0" w:space="0" w:color="auto"/>
                    <w:left w:val="none" w:sz="0" w:space="0" w:color="auto"/>
                    <w:bottom w:val="none" w:sz="0" w:space="0" w:color="auto"/>
                    <w:right w:val="none" w:sz="0" w:space="0" w:color="auto"/>
                  </w:divBdr>
                </w:div>
                <w:div w:id="1463500287">
                  <w:marLeft w:val="0"/>
                  <w:marRight w:val="0"/>
                  <w:marTop w:val="0"/>
                  <w:marBottom w:val="0"/>
                  <w:divBdr>
                    <w:top w:val="none" w:sz="0" w:space="0" w:color="auto"/>
                    <w:left w:val="none" w:sz="0" w:space="0" w:color="auto"/>
                    <w:bottom w:val="none" w:sz="0" w:space="0" w:color="auto"/>
                    <w:right w:val="none" w:sz="0" w:space="0" w:color="auto"/>
                  </w:divBdr>
                </w:div>
                <w:div w:id="1621259855">
                  <w:marLeft w:val="0"/>
                  <w:marRight w:val="0"/>
                  <w:marTop w:val="0"/>
                  <w:marBottom w:val="0"/>
                  <w:divBdr>
                    <w:top w:val="none" w:sz="0" w:space="0" w:color="auto"/>
                    <w:left w:val="none" w:sz="0" w:space="0" w:color="auto"/>
                    <w:bottom w:val="none" w:sz="0" w:space="0" w:color="auto"/>
                    <w:right w:val="none" w:sz="0" w:space="0" w:color="auto"/>
                  </w:divBdr>
                </w:div>
                <w:div w:id="1726249647">
                  <w:marLeft w:val="0"/>
                  <w:marRight w:val="0"/>
                  <w:marTop w:val="0"/>
                  <w:marBottom w:val="0"/>
                  <w:divBdr>
                    <w:top w:val="none" w:sz="0" w:space="0" w:color="auto"/>
                    <w:left w:val="none" w:sz="0" w:space="0" w:color="auto"/>
                    <w:bottom w:val="none" w:sz="0" w:space="0" w:color="auto"/>
                    <w:right w:val="none" w:sz="0" w:space="0" w:color="auto"/>
                  </w:divBdr>
                </w:div>
                <w:div w:id="1766533283">
                  <w:marLeft w:val="0"/>
                  <w:marRight w:val="0"/>
                  <w:marTop w:val="0"/>
                  <w:marBottom w:val="0"/>
                  <w:divBdr>
                    <w:top w:val="none" w:sz="0" w:space="0" w:color="auto"/>
                    <w:left w:val="none" w:sz="0" w:space="0" w:color="auto"/>
                    <w:bottom w:val="none" w:sz="0" w:space="0" w:color="auto"/>
                    <w:right w:val="none" w:sz="0" w:space="0" w:color="auto"/>
                  </w:divBdr>
                </w:div>
                <w:div w:id="1817725110">
                  <w:marLeft w:val="0"/>
                  <w:marRight w:val="0"/>
                  <w:marTop w:val="0"/>
                  <w:marBottom w:val="0"/>
                  <w:divBdr>
                    <w:top w:val="none" w:sz="0" w:space="0" w:color="auto"/>
                    <w:left w:val="none" w:sz="0" w:space="0" w:color="auto"/>
                    <w:bottom w:val="none" w:sz="0" w:space="0" w:color="auto"/>
                    <w:right w:val="none" w:sz="0" w:space="0" w:color="auto"/>
                  </w:divBdr>
                </w:div>
                <w:div w:id="1884096426">
                  <w:marLeft w:val="0"/>
                  <w:marRight w:val="0"/>
                  <w:marTop w:val="0"/>
                  <w:marBottom w:val="0"/>
                  <w:divBdr>
                    <w:top w:val="none" w:sz="0" w:space="0" w:color="auto"/>
                    <w:left w:val="none" w:sz="0" w:space="0" w:color="auto"/>
                    <w:bottom w:val="none" w:sz="0" w:space="0" w:color="auto"/>
                    <w:right w:val="none" w:sz="0" w:space="0" w:color="auto"/>
                  </w:divBdr>
                </w:div>
                <w:div w:id="1931891122">
                  <w:marLeft w:val="0"/>
                  <w:marRight w:val="0"/>
                  <w:marTop w:val="0"/>
                  <w:marBottom w:val="0"/>
                  <w:divBdr>
                    <w:top w:val="none" w:sz="0" w:space="0" w:color="auto"/>
                    <w:left w:val="none" w:sz="0" w:space="0" w:color="auto"/>
                    <w:bottom w:val="none" w:sz="0" w:space="0" w:color="auto"/>
                    <w:right w:val="none" w:sz="0" w:space="0" w:color="auto"/>
                  </w:divBdr>
                </w:div>
                <w:div w:id="1978073857">
                  <w:marLeft w:val="0"/>
                  <w:marRight w:val="0"/>
                  <w:marTop w:val="0"/>
                  <w:marBottom w:val="0"/>
                  <w:divBdr>
                    <w:top w:val="none" w:sz="0" w:space="0" w:color="auto"/>
                    <w:left w:val="none" w:sz="0" w:space="0" w:color="auto"/>
                    <w:bottom w:val="none" w:sz="0" w:space="0" w:color="auto"/>
                    <w:right w:val="none" w:sz="0" w:space="0" w:color="auto"/>
                  </w:divBdr>
                </w:div>
                <w:div w:id="21178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148">
      <w:bodyDiv w:val="1"/>
      <w:marLeft w:val="0"/>
      <w:marRight w:val="0"/>
      <w:marTop w:val="0"/>
      <w:marBottom w:val="0"/>
      <w:divBdr>
        <w:top w:val="none" w:sz="0" w:space="0" w:color="auto"/>
        <w:left w:val="none" w:sz="0" w:space="0" w:color="auto"/>
        <w:bottom w:val="none" w:sz="0" w:space="0" w:color="auto"/>
        <w:right w:val="none" w:sz="0" w:space="0" w:color="auto"/>
      </w:divBdr>
      <w:divsChild>
        <w:div w:id="330643559">
          <w:marLeft w:val="0"/>
          <w:marRight w:val="0"/>
          <w:marTop w:val="0"/>
          <w:marBottom w:val="0"/>
          <w:divBdr>
            <w:top w:val="none" w:sz="0" w:space="0" w:color="auto"/>
            <w:left w:val="none" w:sz="0" w:space="0" w:color="auto"/>
            <w:bottom w:val="none" w:sz="0" w:space="0" w:color="auto"/>
            <w:right w:val="none" w:sz="0" w:space="0" w:color="auto"/>
          </w:divBdr>
        </w:div>
        <w:div w:id="1194879274">
          <w:marLeft w:val="0"/>
          <w:marRight w:val="0"/>
          <w:marTop w:val="0"/>
          <w:marBottom w:val="0"/>
          <w:divBdr>
            <w:top w:val="none" w:sz="0" w:space="0" w:color="auto"/>
            <w:left w:val="none" w:sz="0" w:space="0" w:color="auto"/>
            <w:bottom w:val="none" w:sz="0" w:space="0" w:color="auto"/>
            <w:right w:val="none" w:sz="0" w:space="0" w:color="auto"/>
          </w:divBdr>
        </w:div>
        <w:div w:id="1928297080">
          <w:marLeft w:val="0"/>
          <w:marRight w:val="0"/>
          <w:marTop w:val="0"/>
          <w:marBottom w:val="0"/>
          <w:divBdr>
            <w:top w:val="none" w:sz="0" w:space="0" w:color="auto"/>
            <w:left w:val="none" w:sz="0" w:space="0" w:color="auto"/>
            <w:bottom w:val="none" w:sz="0" w:space="0" w:color="auto"/>
            <w:right w:val="none" w:sz="0" w:space="0" w:color="auto"/>
          </w:divBdr>
        </w:div>
        <w:div w:id="2091000139">
          <w:marLeft w:val="0"/>
          <w:marRight w:val="0"/>
          <w:marTop w:val="0"/>
          <w:marBottom w:val="0"/>
          <w:divBdr>
            <w:top w:val="none" w:sz="0" w:space="0" w:color="auto"/>
            <w:left w:val="none" w:sz="0" w:space="0" w:color="auto"/>
            <w:bottom w:val="none" w:sz="0" w:space="0" w:color="auto"/>
            <w:right w:val="none" w:sz="0" w:space="0" w:color="auto"/>
          </w:divBdr>
        </w:div>
      </w:divsChild>
    </w:div>
    <w:div w:id="649602567">
      <w:bodyDiv w:val="1"/>
      <w:marLeft w:val="0"/>
      <w:marRight w:val="0"/>
      <w:marTop w:val="0"/>
      <w:marBottom w:val="0"/>
      <w:divBdr>
        <w:top w:val="none" w:sz="0" w:space="0" w:color="auto"/>
        <w:left w:val="none" w:sz="0" w:space="0" w:color="auto"/>
        <w:bottom w:val="none" w:sz="0" w:space="0" w:color="auto"/>
        <w:right w:val="none" w:sz="0" w:space="0" w:color="auto"/>
      </w:divBdr>
      <w:divsChild>
        <w:div w:id="276719701">
          <w:marLeft w:val="0"/>
          <w:marRight w:val="0"/>
          <w:marTop w:val="0"/>
          <w:marBottom w:val="0"/>
          <w:divBdr>
            <w:top w:val="none" w:sz="0" w:space="0" w:color="auto"/>
            <w:left w:val="none" w:sz="0" w:space="0" w:color="auto"/>
            <w:bottom w:val="none" w:sz="0" w:space="0" w:color="auto"/>
            <w:right w:val="none" w:sz="0" w:space="0" w:color="auto"/>
          </w:divBdr>
        </w:div>
        <w:div w:id="344790776">
          <w:marLeft w:val="0"/>
          <w:marRight w:val="0"/>
          <w:marTop w:val="0"/>
          <w:marBottom w:val="0"/>
          <w:divBdr>
            <w:top w:val="none" w:sz="0" w:space="0" w:color="auto"/>
            <w:left w:val="none" w:sz="0" w:space="0" w:color="auto"/>
            <w:bottom w:val="none" w:sz="0" w:space="0" w:color="auto"/>
            <w:right w:val="none" w:sz="0" w:space="0" w:color="auto"/>
          </w:divBdr>
        </w:div>
        <w:div w:id="902759661">
          <w:marLeft w:val="0"/>
          <w:marRight w:val="0"/>
          <w:marTop w:val="0"/>
          <w:marBottom w:val="0"/>
          <w:divBdr>
            <w:top w:val="none" w:sz="0" w:space="0" w:color="auto"/>
            <w:left w:val="none" w:sz="0" w:space="0" w:color="auto"/>
            <w:bottom w:val="none" w:sz="0" w:space="0" w:color="auto"/>
            <w:right w:val="none" w:sz="0" w:space="0" w:color="auto"/>
          </w:divBdr>
        </w:div>
      </w:divsChild>
    </w:div>
    <w:div w:id="746266028">
      <w:bodyDiv w:val="1"/>
      <w:marLeft w:val="0"/>
      <w:marRight w:val="0"/>
      <w:marTop w:val="0"/>
      <w:marBottom w:val="0"/>
      <w:divBdr>
        <w:top w:val="none" w:sz="0" w:space="0" w:color="auto"/>
        <w:left w:val="none" w:sz="0" w:space="0" w:color="auto"/>
        <w:bottom w:val="none" w:sz="0" w:space="0" w:color="auto"/>
        <w:right w:val="none" w:sz="0" w:space="0" w:color="auto"/>
      </w:divBdr>
      <w:divsChild>
        <w:div w:id="172303723">
          <w:marLeft w:val="0"/>
          <w:marRight w:val="0"/>
          <w:marTop w:val="0"/>
          <w:marBottom w:val="0"/>
          <w:divBdr>
            <w:top w:val="none" w:sz="0" w:space="0" w:color="auto"/>
            <w:left w:val="none" w:sz="0" w:space="0" w:color="auto"/>
            <w:bottom w:val="none" w:sz="0" w:space="0" w:color="auto"/>
            <w:right w:val="none" w:sz="0" w:space="0" w:color="auto"/>
          </w:divBdr>
        </w:div>
        <w:div w:id="182743474">
          <w:marLeft w:val="0"/>
          <w:marRight w:val="0"/>
          <w:marTop w:val="0"/>
          <w:marBottom w:val="0"/>
          <w:divBdr>
            <w:top w:val="none" w:sz="0" w:space="0" w:color="auto"/>
            <w:left w:val="none" w:sz="0" w:space="0" w:color="auto"/>
            <w:bottom w:val="none" w:sz="0" w:space="0" w:color="auto"/>
            <w:right w:val="none" w:sz="0" w:space="0" w:color="auto"/>
          </w:divBdr>
        </w:div>
        <w:div w:id="357779389">
          <w:marLeft w:val="0"/>
          <w:marRight w:val="0"/>
          <w:marTop w:val="0"/>
          <w:marBottom w:val="0"/>
          <w:divBdr>
            <w:top w:val="none" w:sz="0" w:space="0" w:color="auto"/>
            <w:left w:val="none" w:sz="0" w:space="0" w:color="auto"/>
            <w:bottom w:val="none" w:sz="0" w:space="0" w:color="auto"/>
            <w:right w:val="none" w:sz="0" w:space="0" w:color="auto"/>
          </w:divBdr>
        </w:div>
        <w:div w:id="1247881443">
          <w:marLeft w:val="0"/>
          <w:marRight w:val="0"/>
          <w:marTop w:val="0"/>
          <w:marBottom w:val="0"/>
          <w:divBdr>
            <w:top w:val="none" w:sz="0" w:space="0" w:color="auto"/>
            <w:left w:val="none" w:sz="0" w:space="0" w:color="auto"/>
            <w:bottom w:val="none" w:sz="0" w:space="0" w:color="auto"/>
            <w:right w:val="none" w:sz="0" w:space="0" w:color="auto"/>
          </w:divBdr>
        </w:div>
        <w:div w:id="1599633299">
          <w:marLeft w:val="0"/>
          <w:marRight w:val="0"/>
          <w:marTop w:val="0"/>
          <w:marBottom w:val="0"/>
          <w:divBdr>
            <w:top w:val="none" w:sz="0" w:space="0" w:color="auto"/>
            <w:left w:val="none" w:sz="0" w:space="0" w:color="auto"/>
            <w:bottom w:val="none" w:sz="0" w:space="0" w:color="auto"/>
            <w:right w:val="none" w:sz="0" w:space="0" w:color="auto"/>
          </w:divBdr>
        </w:div>
        <w:div w:id="2089300415">
          <w:marLeft w:val="0"/>
          <w:marRight w:val="0"/>
          <w:marTop w:val="0"/>
          <w:marBottom w:val="0"/>
          <w:divBdr>
            <w:top w:val="none" w:sz="0" w:space="0" w:color="auto"/>
            <w:left w:val="none" w:sz="0" w:space="0" w:color="auto"/>
            <w:bottom w:val="none" w:sz="0" w:space="0" w:color="auto"/>
            <w:right w:val="none" w:sz="0" w:space="0" w:color="auto"/>
          </w:divBdr>
        </w:div>
      </w:divsChild>
    </w:div>
    <w:div w:id="821776388">
      <w:bodyDiv w:val="1"/>
      <w:marLeft w:val="0"/>
      <w:marRight w:val="0"/>
      <w:marTop w:val="0"/>
      <w:marBottom w:val="0"/>
      <w:divBdr>
        <w:top w:val="none" w:sz="0" w:space="0" w:color="auto"/>
        <w:left w:val="none" w:sz="0" w:space="0" w:color="auto"/>
        <w:bottom w:val="none" w:sz="0" w:space="0" w:color="auto"/>
        <w:right w:val="none" w:sz="0" w:space="0" w:color="auto"/>
      </w:divBdr>
      <w:divsChild>
        <w:div w:id="76371084">
          <w:marLeft w:val="0"/>
          <w:marRight w:val="0"/>
          <w:marTop w:val="0"/>
          <w:marBottom w:val="0"/>
          <w:divBdr>
            <w:top w:val="none" w:sz="0" w:space="0" w:color="auto"/>
            <w:left w:val="none" w:sz="0" w:space="0" w:color="auto"/>
            <w:bottom w:val="none" w:sz="0" w:space="0" w:color="auto"/>
            <w:right w:val="none" w:sz="0" w:space="0" w:color="auto"/>
          </w:divBdr>
        </w:div>
        <w:div w:id="271866535">
          <w:marLeft w:val="0"/>
          <w:marRight w:val="0"/>
          <w:marTop w:val="0"/>
          <w:marBottom w:val="0"/>
          <w:divBdr>
            <w:top w:val="none" w:sz="0" w:space="0" w:color="auto"/>
            <w:left w:val="none" w:sz="0" w:space="0" w:color="auto"/>
            <w:bottom w:val="none" w:sz="0" w:space="0" w:color="auto"/>
            <w:right w:val="none" w:sz="0" w:space="0" w:color="auto"/>
          </w:divBdr>
        </w:div>
        <w:div w:id="299506630">
          <w:marLeft w:val="0"/>
          <w:marRight w:val="0"/>
          <w:marTop w:val="0"/>
          <w:marBottom w:val="0"/>
          <w:divBdr>
            <w:top w:val="none" w:sz="0" w:space="0" w:color="auto"/>
            <w:left w:val="none" w:sz="0" w:space="0" w:color="auto"/>
            <w:bottom w:val="none" w:sz="0" w:space="0" w:color="auto"/>
            <w:right w:val="none" w:sz="0" w:space="0" w:color="auto"/>
          </w:divBdr>
        </w:div>
        <w:div w:id="1121804572">
          <w:marLeft w:val="0"/>
          <w:marRight w:val="0"/>
          <w:marTop w:val="0"/>
          <w:marBottom w:val="0"/>
          <w:divBdr>
            <w:top w:val="none" w:sz="0" w:space="0" w:color="auto"/>
            <w:left w:val="none" w:sz="0" w:space="0" w:color="auto"/>
            <w:bottom w:val="none" w:sz="0" w:space="0" w:color="auto"/>
            <w:right w:val="none" w:sz="0" w:space="0" w:color="auto"/>
          </w:divBdr>
        </w:div>
        <w:div w:id="1314529427">
          <w:marLeft w:val="0"/>
          <w:marRight w:val="0"/>
          <w:marTop w:val="0"/>
          <w:marBottom w:val="0"/>
          <w:divBdr>
            <w:top w:val="none" w:sz="0" w:space="0" w:color="auto"/>
            <w:left w:val="none" w:sz="0" w:space="0" w:color="auto"/>
            <w:bottom w:val="none" w:sz="0" w:space="0" w:color="auto"/>
            <w:right w:val="none" w:sz="0" w:space="0" w:color="auto"/>
          </w:divBdr>
        </w:div>
        <w:div w:id="1523283897">
          <w:marLeft w:val="0"/>
          <w:marRight w:val="0"/>
          <w:marTop w:val="0"/>
          <w:marBottom w:val="0"/>
          <w:divBdr>
            <w:top w:val="none" w:sz="0" w:space="0" w:color="auto"/>
            <w:left w:val="none" w:sz="0" w:space="0" w:color="auto"/>
            <w:bottom w:val="none" w:sz="0" w:space="0" w:color="auto"/>
            <w:right w:val="none" w:sz="0" w:space="0" w:color="auto"/>
          </w:divBdr>
        </w:div>
      </w:divsChild>
    </w:div>
    <w:div w:id="977806041">
      <w:bodyDiv w:val="1"/>
      <w:marLeft w:val="0"/>
      <w:marRight w:val="0"/>
      <w:marTop w:val="0"/>
      <w:marBottom w:val="0"/>
      <w:divBdr>
        <w:top w:val="none" w:sz="0" w:space="0" w:color="auto"/>
        <w:left w:val="none" w:sz="0" w:space="0" w:color="auto"/>
        <w:bottom w:val="none" w:sz="0" w:space="0" w:color="auto"/>
        <w:right w:val="none" w:sz="0" w:space="0" w:color="auto"/>
      </w:divBdr>
      <w:divsChild>
        <w:div w:id="1237518475">
          <w:marLeft w:val="0"/>
          <w:marRight w:val="0"/>
          <w:marTop w:val="0"/>
          <w:marBottom w:val="360"/>
          <w:divBdr>
            <w:top w:val="none" w:sz="0" w:space="0" w:color="auto"/>
            <w:left w:val="none" w:sz="0" w:space="0" w:color="auto"/>
            <w:bottom w:val="none" w:sz="0" w:space="0" w:color="auto"/>
            <w:right w:val="none" w:sz="0" w:space="0" w:color="auto"/>
          </w:divBdr>
        </w:div>
        <w:div w:id="1998993010">
          <w:marLeft w:val="0"/>
          <w:marRight w:val="0"/>
          <w:marTop w:val="480"/>
          <w:marBottom w:val="990"/>
          <w:divBdr>
            <w:top w:val="none" w:sz="0" w:space="0" w:color="auto"/>
            <w:left w:val="none" w:sz="0" w:space="0" w:color="auto"/>
            <w:bottom w:val="none" w:sz="0" w:space="0" w:color="auto"/>
            <w:right w:val="none" w:sz="0" w:space="0" w:color="auto"/>
          </w:divBdr>
        </w:div>
      </w:divsChild>
    </w:div>
    <w:div w:id="1276403606">
      <w:bodyDiv w:val="1"/>
      <w:marLeft w:val="0"/>
      <w:marRight w:val="0"/>
      <w:marTop w:val="0"/>
      <w:marBottom w:val="0"/>
      <w:divBdr>
        <w:top w:val="none" w:sz="0" w:space="0" w:color="auto"/>
        <w:left w:val="none" w:sz="0" w:space="0" w:color="auto"/>
        <w:bottom w:val="none" w:sz="0" w:space="0" w:color="auto"/>
        <w:right w:val="none" w:sz="0" w:space="0" w:color="auto"/>
      </w:divBdr>
      <w:divsChild>
        <w:div w:id="723261397">
          <w:marLeft w:val="0"/>
          <w:marRight w:val="0"/>
          <w:marTop w:val="0"/>
          <w:marBottom w:val="0"/>
          <w:divBdr>
            <w:top w:val="none" w:sz="0" w:space="0" w:color="auto"/>
            <w:left w:val="none" w:sz="0" w:space="0" w:color="auto"/>
            <w:bottom w:val="none" w:sz="0" w:space="0" w:color="auto"/>
            <w:right w:val="none" w:sz="0" w:space="0" w:color="auto"/>
          </w:divBdr>
        </w:div>
        <w:div w:id="1303195630">
          <w:marLeft w:val="0"/>
          <w:marRight w:val="0"/>
          <w:marTop w:val="0"/>
          <w:marBottom w:val="0"/>
          <w:divBdr>
            <w:top w:val="none" w:sz="0" w:space="0" w:color="auto"/>
            <w:left w:val="none" w:sz="0" w:space="0" w:color="auto"/>
            <w:bottom w:val="none" w:sz="0" w:space="0" w:color="auto"/>
            <w:right w:val="none" w:sz="0" w:space="0" w:color="auto"/>
          </w:divBdr>
        </w:div>
        <w:div w:id="1360665603">
          <w:marLeft w:val="0"/>
          <w:marRight w:val="0"/>
          <w:marTop w:val="0"/>
          <w:marBottom w:val="0"/>
          <w:divBdr>
            <w:top w:val="none" w:sz="0" w:space="0" w:color="auto"/>
            <w:left w:val="none" w:sz="0" w:space="0" w:color="auto"/>
            <w:bottom w:val="none" w:sz="0" w:space="0" w:color="auto"/>
            <w:right w:val="none" w:sz="0" w:space="0" w:color="auto"/>
          </w:divBdr>
        </w:div>
        <w:div w:id="1573931439">
          <w:marLeft w:val="0"/>
          <w:marRight w:val="0"/>
          <w:marTop w:val="0"/>
          <w:marBottom w:val="0"/>
          <w:divBdr>
            <w:top w:val="none" w:sz="0" w:space="0" w:color="auto"/>
            <w:left w:val="none" w:sz="0" w:space="0" w:color="auto"/>
            <w:bottom w:val="none" w:sz="0" w:space="0" w:color="auto"/>
            <w:right w:val="none" w:sz="0" w:space="0" w:color="auto"/>
          </w:divBdr>
        </w:div>
      </w:divsChild>
    </w:div>
    <w:div w:id="1651985101">
      <w:bodyDiv w:val="1"/>
      <w:marLeft w:val="0"/>
      <w:marRight w:val="0"/>
      <w:marTop w:val="0"/>
      <w:marBottom w:val="0"/>
      <w:divBdr>
        <w:top w:val="none" w:sz="0" w:space="0" w:color="auto"/>
        <w:left w:val="none" w:sz="0" w:space="0" w:color="auto"/>
        <w:bottom w:val="none" w:sz="0" w:space="0" w:color="auto"/>
        <w:right w:val="none" w:sz="0" w:space="0" w:color="auto"/>
      </w:divBdr>
      <w:divsChild>
        <w:div w:id="1156190558">
          <w:marLeft w:val="0"/>
          <w:marRight w:val="0"/>
          <w:marTop w:val="0"/>
          <w:marBottom w:val="0"/>
          <w:divBdr>
            <w:top w:val="none" w:sz="0" w:space="0" w:color="auto"/>
            <w:left w:val="none" w:sz="0" w:space="0" w:color="auto"/>
            <w:bottom w:val="none" w:sz="0" w:space="0" w:color="auto"/>
            <w:right w:val="none" w:sz="0" w:space="0" w:color="auto"/>
          </w:divBdr>
        </w:div>
        <w:div w:id="1279098835">
          <w:marLeft w:val="0"/>
          <w:marRight w:val="0"/>
          <w:marTop w:val="0"/>
          <w:marBottom w:val="0"/>
          <w:divBdr>
            <w:top w:val="none" w:sz="0" w:space="0" w:color="auto"/>
            <w:left w:val="none" w:sz="0" w:space="0" w:color="auto"/>
            <w:bottom w:val="none" w:sz="0" w:space="0" w:color="auto"/>
            <w:right w:val="none" w:sz="0" w:space="0" w:color="auto"/>
          </w:divBdr>
        </w:div>
        <w:div w:id="1606226230">
          <w:marLeft w:val="0"/>
          <w:marRight w:val="0"/>
          <w:marTop w:val="0"/>
          <w:marBottom w:val="0"/>
          <w:divBdr>
            <w:top w:val="none" w:sz="0" w:space="0" w:color="auto"/>
            <w:left w:val="none" w:sz="0" w:space="0" w:color="auto"/>
            <w:bottom w:val="none" w:sz="0" w:space="0" w:color="auto"/>
            <w:right w:val="none" w:sz="0" w:space="0" w:color="auto"/>
          </w:divBdr>
        </w:div>
        <w:div w:id="2094668907">
          <w:marLeft w:val="0"/>
          <w:marRight w:val="0"/>
          <w:marTop w:val="0"/>
          <w:marBottom w:val="0"/>
          <w:divBdr>
            <w:top w:val="none" w:sz="0" w:space="0" w:color="auto"/>
            <w:left w:val="none" w:sz="0" w:space="0" w:color="auto"/>
            <w:bottom w:val="none" w:sz="0" w:space="0" w:color="auto"/>
            <w:right w:val="none" w:sz="0" w:space="0" w:color="auto"/>
          </w:divBdr>
        </w:div>
      </w:divsChild>
    </w:div>
    <w:div w:id="2020227757">
      <w:bodyDiv w:val="1"/>
      <w:marLeft w:val="0"/>
      <w:marRight w:val="0"/>
      <w:marTop w:val="0"/>
      <w:marBottom w:val="0"/>
      <w:divBdr>
        <w:top w:val="none" w:sz="0" w:space="0" w:color="auto"/>
        <w:left w:val="none" w:sz="0" w:space="0" w:color="auto"/>
        <w:bottom w:val="none" w:sz="0" w:space="0" w:color="auto"/>
        <w:right w:val="none" w:sz="0" w:space="0" w:color="auto"/>
      </w:divBdr>
      <w:divsChild>
        <w:div w:id="86317179">
          <w:marLeft w:val="0"/>
          <w:marRight w:val="0"/>
          <w:marTop w:val="480"/>
          <w:marBottom w:val="990"/>
          <w:divBdr>
            <w:top w:val="none" w:sz="0" w:space="0" w:color="auto"/>
            <w:left w:val="none" w:sz="0" w:space="0" w:color="auto"/>
            <w:bottom w:val="none" w:sz="0" w:space="0" w:color="auto"/>
            <w:right w:val="none" w:sz="0" w:space="0" w:color="auto"/>
          </w:divBdr>
        </w:div>
        <w:div w:id="1746219618">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ducation-evidence/teaching-learning-toolkit/arts-particip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feedba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arts-particip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one-to-one-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E6E923EFA274C89553BC6CA589693" ma:contentTypeVersion="14" ma:contentTypeDescription="Create a new document." ma:contentTypeScope="" ma:versionID="ee61f4d839c1983d77e27e53b86c0183">
  <xsd:schema xmlns:xsd="http://www.w3.org/2001/XMLSchema" xmlns:xs="http://www.w3.org/2001/XMLSchema" xmlns:p="http://schemas.microsoft.com/office/2006/metadata/properties" xmlns:ns2="63e3c281-0f8f-4c31-a141-72eb6ef5d16d" xmlns:ns3="ff239d13-9b9b-4d11-a639-62d33e208b0e" targetNamespace="http://schemas.microsoft.com/office/2006/metadata/properties" ma:root="true" ma:fieldsID="177ad39b908d889f8a55fa98a15b1bfe" ns2:_="" ns3:_="">
    <xsd:import namespace="63e3c281-0f8f-4c31-a141-72eb6ef5d16d"/>
    <xsd:import namespace="ff239d13-9b9b-4d11-a639-62d33e208b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c281-0f8f-4c31-a141-72eb6ef5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39d13-9b9b-4d11-a639-62d33e208b0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3c281-0f8f-4c31-a141-72eb6ef5d1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A872-7322-4DD6-902B-AE633AB45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c281-0f8f-4c31-a141-72eb6ef5d16d"/>
    <ds:schemaRef ds:uri="ff239d13-9b9b-4d11-a639-62d33e208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ADC28-4F19-488E-B7EC-5ABFC5143D37}">
  <ds:schemaRefs>
    <ds:schemaRef ds:uri="http://schemas.microsoft.com/sharepoint/v3/contenttype/forms"/>
  </ds:schemaRefs>
</ds:datastoreItem>
</file>

<file path=customXml/itemProps3.xml><?xml version="1.0" encoding="utf-8"?>
<ds:datastoreItem xmlns:ds="http://schemas.openxmlformats.org/officeDocument/2006/customXml" ds:itemID="{BCECF24A-D046-4846-B5D5-89E50542ACE3}">
  <ds:schemaRefs>
    <ds:schemaRef ds:uri="http://schemas.microsoft.com/office/2006/metadata/properties"/>
    <ds:schemaRef ds:uri="http://schemas.microsoft.com/office/infopath/2007/PartnerControls"/>
    <ds:schemaRef ds:uri="63e3c281-0f8f-4c31-a141-72eb6ef5d16d"/>
  </ds:schemaRefs>
</ds:datastoreItem>
</file>

<file path=customXml/itemProps4.xml><?xml version="1.0" encoding="utf-8"?>
<ds:datastoreItem xmlns:ds="http://schemas.openxmlformats.org/officeDocument/2006/customXml" ds:itemID="{A8AD84AC-C2A5-40F8-8BFD-684A83D2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3208</Words>
  <Characters>18291</Characters>
  <Application>Microsoft Office Word</Application>
  <DocSecurity>4</DocSecurity>
  <Lines>152</Lines>
  <Paragraphs>42</Paragraphs>
  <ScaleCrop>false</ScaleCrop>
  <Company/>
  <LinksUpToDate>false</LinksUpToDate>
  <CharactersWithSpaces>21457</CharactersWithSpaces>
  <SharedDoc>false</SharedDoc>
  <HLinks>
    <vt:vector size="36" baseType="variant">
      <vt:variant>
        <vt:i4>7405684</vt:i4>
      </vt:variant>
      <vt:variant>
        <vt:i4>15</vt:i4>
      </vt:variant>
      <vt:variant>
        <vt:i4>0</vt:i4>
      </vt:variant>
      <vt:variant>
        <vt:i4>5</vt:i4>
      </vt:variant>
      <vt:variant>
        <vt:lpwstr>https://educationendowmentfoundation.org.uk/education-evidence/teaching-learning-toolkit/arts-participation</vt:lpwstr>
      </vt:variant>
      <vt:variant>
        <vt:lpwstr/>
      </vt:variant>
      <vt:variant>
        <vt:i4>5701726</vt:i4>
      </vt:variant>
      <vt:variant>
        <vt:i4>12</vt:i4>
      </vt:variant>
      <vt:variant>
        <vt:i4>0</vt:i4>
      </vt:variant>
      <vt:variant>
        <vt:i4>5</vt:i4>
      </vt:variant>
      <vt:variant>
        <vt:lpwstr>https://educationendowmentfoundation.org.uk/education-evidence/teaching-learning-toolkit/behaviour-interventions</vt:lpwstr>
      </vt:variant>
      <vt:variant>
        <vt:lpwstr/>
      </vt:variant>
      <vt:variant>
        <vt:i4>2752557</vt:i4>
      </vt:variant>
      <vt:variant>
        <vt:i4>9</vt:i4>
      </vt:variant>
      <vt:variant>
        <vt:i4>0</vt:i4>
      </vt:variant>
      <vt:variant>
        <vt:i4>5</vt:i4>
      </vt:variant>
      <vt:variant>
        <vt:lpwstr>https://educationendowmentfoundation.org.uk/education-evidence/teaching-learning-toolkit/one-to-one-tuition</vt:lpwstr>
      </vt:variant>
      <vt:variant>
        <vt:lpwstr/>
      </vt:variant>
      <vt:variant>
        <vt:i4>7405684</vt:i4>
      </vt:variant>
      <vt:variant>
        <vt:i4>6</vt:i4>
      </vt:variant>
      <vt:variant>
        <vt:i4>0</vt:i4>
      </vt:variant>
      <vt:variant>
        <vt:i4>5</vt:i4>
      </vt:variant>
      <vt:variant>
        <vt:lpwstr>https://educationendowmentfoundation.org.uk/education-evidence/teaching-learning-toolkit/arts-participation</vt:lpwstr>
      </vt:variant>
      <vt:variant>
        <vt:lpwstr/>
      </vt:variant>
      <vt:variant>
        <vt:i4>5636127</vt:i4>
      </vt:variant>
      <vt:variant>
        <vt:i4>3</vt:i4>
      </vt:variant>
      <vt:variant>
        <vt:i4>0</vt:i4>
      </vt:variant>
      <vt:variant>
        <vt:i4>5</vt:i4>
      </vt:variant>
      <vt:variant>
        <vt:lpwstr>https://educationendowmentfoundation.org.uk/education-evidence/teaching-learning-toolkit/feedback</vt:lpwstr>
      </vt:variant>
      <vt:variant>
        <vt:lpwstr/>
      </vt:variant>
      <vt:variant>
        <vt:i4>5439506</vt:i4>
      </vt:variant>
      <vt:variant>
        <vt:i4>0</vt:i4>
      </vt:variant>
      <vt:variant>
        <vt:i4>0</vt:i4>
      </vt:variant>
      <vt:variant>
        <vt:i4>5</vt:i4>
      </vt:variant>
      <vt:variant>
        <vt:lpwstr>https://educationendowmentfoundation.org.uk/education-evidence/teaching-learning-toolkit/teaching-assistant-interventions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Sue Wastell</cp:lastModifiedBy>
  <cp:revision>188</cp:revision>
  <cp:lastPrinted>2022-09-28T06:20:00Z</cp:lastPrinted>
  <dcterms:created xsi:type="dcterms:W3CDTF">2024-10-08T20:59:00Z</dcterms:created>
  <dcterms:modified xsi:type="dcterms:W3CDTF">2025-01-20T15:51:00Z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0x010100A2BE6E923EFA274C89553BC6CA589693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807800</vt:r8>
  </property>
  <property fmtid="{D5CDD505-2E9C-101B-9397-08002B2CF9AE}" pid="14" name="MediaServiceImageTags">
    <vt:lpwstr/>
  </property>
</Properties>
</file>