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EE" w:rsidRPr="003914BD" w:rsidRDefault="00106D6C" w:rsidP="00106D6C">
      <w:pPr>
        <w:pStyle w:val="Default"/>
        <w:tabs>
          <w:tab w:val="left" w:pos="420"/>
          <w:tab w:val="center" w:pos="7337"/>
        </w:tabs>
        <w:rPr>
          <w:rFonts w:ascii="Calibri" w:hAnsi="Calibri"/>
          <w:b/>
          <w:bCs/>
          <w:sz w:val="40"/>
          <w:szCs w:val="36"/>
        </w:rPr>
      </w:pPr>
      <w:r>
        <w:rPr>
          <w:rFonts w:ascii="Calibri" w:hAnsi="Calibri"/>
          <w:b/>
          <w:sz w:val="36"/>
        </w:rPr>
        <w:tab/>
      </w:r>
      <w:r>
        <w:rPr>
          <w:rFonts w:ascii="Calibri" w:hAnsi="Calibri"/>
          <w:b/>
          <w:sz w:val="36"/>
        </w:rPr>
        <w:tab/>
        <w:t xml:space="preserve">HIGHFIELD ELY ACADEMY </w:t>
      </w:r>
      <w:r w:rsidR="004224EE" w:rsidRPr="003914BD">
        <w:rPr>
          <w:rFonts w:ascii="Calibri" w:hAnsi="Calibri"/>
          <w:b/>
          <w:bCs/>
          <w:sz w:val="36"/>
          <w:szCs w:val="36"/>
        </w:rPr>
        <w:t>ACCESSIBILITY PLAN</w:t>
      </w:r>
    </w:p>
    <w:p w:rsidR="004224EE" w:rsidRPr="008C25B0" w:rsidRDefault="004224EE" w:rsidP="004224EE">
      <w:pPr>
        <w:autoSpaceDE w:val="0"/>
        <w:autoSpaceDN w:val="0"/>
        <w:adjustRightInd w:val="0"/>
        <w:jc w:val="right"/>
        <w:rPr>
          <w:rFonts w:ascii="Calibri" w:eastAsia="Calibri" w:hAnsi="Calibri" w:cs="Arial"/>
          <w:b/>
          <w:bCs/>
          <w:noProof w:val="0"/>
          <w:color w:val="000000"/>
          <w:sz w:val="36"/>
          <w:szCs w:val="36"/>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Introduction</w:t>
      </w:r>
    </w:p>
    <w:p w:rsidR="004224EE" w:rsidRPr="008C25B0" w:rsidRDefault="004224EE" w:rsidP="004224EE">
      <w:pPr>
        <w:autoSpaceDE w:val="0"/>
        <w:autoSpaceDN w:val="0"/>
        <w:adjustRightInd w:val="0"/>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Aims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Curriculum Access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Physical/Environmental Access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The Accessibility Plan</w:t>
      </w: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Default="004224EE" w:rsidP="004224EE">
      <w:pPr>
        <w:autoSpaceDE w:val="0"/>
        <w:autoSpaceDN w:val="0"/>
        <w:adjustRightInd w:val="0"/>
        <w:rPr>
          <w:rFonts w:eastAsia="Calibri" w:cs="Arial"/>
          <w:i/>
          <w:iCs/>
          <w:noProof w:val="0"/>
          <w:color w:val="000000"/>
        </w:rPr>
      </w:pPr>
    </w:p>
    <w:p w:rsidR="00106D6C" w:rsidRPr="00106D6C" w:rsidRDefault="00106D6C" w:rsidP="004224EE">
      <w:pPr>
        <w:autoSpaceDE w:val="0"/>
        <w:autoSpaceDN w:val="0"/>
        <w:adjustRightInd w:val="0"/>
        <w:rPr>
          <w:rFonts w:eastAsia="Calibri" w:cs="Arial"/>
          <w:iCs/>
          <w:noProof w:val="0"/>
          <w:color w:val="000000"/>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lastRenderedPageBreak/>
        <w:t xml:space="preserve">Introduction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This plan seeks to address the statutory requirements of the Equality Act 2010 and is compliant with the current legislation and requirements as specified in Schedule 10 relating to Disability.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Aims</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To continue improving all aspects of the physical environment of the school site and other resources so that all disabled pupils can take full advantage of the education and associated opportunities provided by the school.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At the same time the school is committed to providing an environment that values and includes all pupils, staff, parents and visitors regardless of their education, physical, sensory, social, spiritual, emotional and cultural needs. We are also taking positive action to ensure that the spirit of the Equality Act 2010 continues with regard to disability and to developing a culture of inclusion, support and awareness within the school.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Accessibility Plan shows how access is to be improved for disabled pupils, staff and visitors to the school in a given time frame and anticipating the need to make reasonable adjustments to accommodate their needs where practicable.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plan will cover two areas: </w:t>
      </w:r>
    </w:p>
    <w:p w:rsidR="004224EE" w:rsidRPr="008C25B0" w:rsidRDefault="004224EE" w:rsidP="004224EE">
      <w:pPr>
        <w:autoSpaceDE w:val="0"/>
        <w:autoSpaceDN w:val="0"/>
        <w:adjustRightInd w:val="0"/>
        <w:spacing w:after="14"/>
        <w:rPr>
          <w:rFonts w:ascii="Calibri" w:eastAsia="Calibri" w:hAnsi="Calibri" w:cs="Arial"/>
          <w:noProof w:val="0"/>
          <w:sz w:val="22"/>
          <w:szCs w:val="22"/>
        </w:rPr>
      </w:pPr>
      <w:r w:rsidRPr="008C25B0">
        <w:rPr>
          <w:rFonts w:ascii="Calibri" w:eastAsia="Calibri" w:hAnsi="Calibri" w:cs="Arial"/>
          <w:noProof w:val="0"/>
          <w:sz w:val="22"/>
          <w:szCs w:val="22"/>
        </w:rPr>
        <w:t xml:space="preserve">1. Curriculum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2. Physical and Environmental Access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 xml:space="preserve">Curriculum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For pupils with a disability this involves expanding the curriculum as necessary to ensure that they are as prepared for life as are the able bodied pupils. This covers teaching and learning and the wider curriculum of the school such as participation in after school clubs, visits and the provision of specialist or auxiliary aids and equipment which may assist the pupils in accessing the curriculum.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 xml:space="preserve">Physical/Environmental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This includes adding specialist facilities as necessary and covers improvements and additions to the physical environment of the school and physical aids to access education.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Whole school training will recognise the need to continue raising awareness for staff and governors on equality issues with reference to the Equality Act 2010. </w:t>
      </w:r>
    </w:p>
    <w:p w:rsidR="004224EE" w:rsidRPr="008C25B0" w:rsidRDefault="004224EE" w:rsidP="004224EE">
      <w:pPr>
        <w:pageBreakBefore/>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lastRenderedPageBreak/>
        <w:t xml:space="preserve">The Accessibility Plan should be read in conjunction with the following school policies: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Teaching and Learning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Health and safety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Medicines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SEN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Behaviour Management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School Improvement Plan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School website/ Prospectus </w:t>
      </w:r>
    </w:p>
    <w:p w:rsidR="004224EE" w:rsidRPr="008C25B0" w:rsidRDefault="004224EE" w:rsidP="004224EE">
      <w:pPr>
        <w:numPr>
          <w:ilvl w:val="0"/>
          <w:numId w:val="2"/>
        </w:numPr>
        <w:autoSpaceDE w:val="0"/>
        <w:autoSpaceDN w:val="0"/>
        <w:adjustRightInd w:val="0"/>
        <w:spacing w:after="20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Equality objectives (required from April 2012)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school website will make reference to this Accessibility Plan.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school’s complaints procedure covers the Accessibility Plan. </w:t>
      </w: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686584" w:rsidRDefault="00106D6C" w:rsidP="004224EE">
      <w:pPr>
        <w:spacing w:line="276" w:lineRule="auto"/>
        <w:rPr>
          <w:sz w:val="24"/>
        </w:rPr>
      </w:pPr>
      <w:r>
        <w:rPr>
          <w:b/>
          <w:color w:val="0070C0"/>
          <w:sz w:val="28"/>
        </w:rPr>
        <w:lastRenderedPageBreak/>
        <w:t>Highfield Ely Academy</w:t>
      </w:r>
      <w:r w:rsidR="004224EE">
        <w:rPr>
          <w:b/>
          <w:color w:val="0070C0"/>
          <w:sz w:val="28"/>
        </w:rPr>
        <w:t xml:space="preserve">  </w:t>
      </w:r>
      <w:r w:rsidR="004224EE">
        <w:rPr>
          <w:b/>
          <w:sz w:val="28"/>
        </w:rPr>
        <w:t>Accessibility Plan: School Year</w:t>
      </w:r>
      <w:r>
        <w:rPr>
          <w:b/>
          <w:sz w:val="28"/>
        </w:rPr>
        <w:t>s</w:t>
      </w:r>
      <w:r w:rsidR="004224EE">
        <w:rPr>
          <w:b/>
          <w:sz w:val="28"/>
        </w:rPr>
        <w:t xml:space="preserve"> </w:t>
      </w:r>
      <w:r w:rsidR="005E1BCC">
        <w:rPr>
          <w:b/>
          <w:color w:val="0070C0"/>
          <w:sz w:val="28"/>
        </w:rPr>
        <w:t>2021 - 2024</w:t>
      </w:r>
      <w:r w:rsidR="004224EE">
        <w:rPr>
          <w:b/>
          <w:color w:val="0070C0"/>
          <w:sz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3010"/>
        <w:gridCol w:w="3286"/>
        <w:gridCol w:w="2931"/>
        <w:gridCol w:w="2937"/>
      </w:tblGrid>
      <w:tr w:rsidR="004224EE" w:rsidTr="002377BB">
        <w:tc>
          <w:tcPr>
            <w:tcW w:w="2578" w:type="dxa"/>
            <w:shd w:val="clear" w:color="auto" w:fill="0070C0"/>
          </w:tcPr>
          <w:p w:rsidR="004224EE" w:rsidRPr="00DD39AC" w:rsidRDefault="004224EE" w:rsidP="002377BB">
            <w:pPr>
              <w:rPr>
                <w:b/>
                <w:color w:val="FFFFFF"/>
                <w:sz w:val="24"/>
                <w:szCs w:val="24"/>
              </w:rPr>
            </w:pPr>
            <w:r w:rsidRPr="00DD39AC">
              <w:rPr>
                <w:b/>
                <w:color w:val="FFFFFF"/>
                <w:sz w:val="24"/>
                <w:szCs w:val="24"/>
              </w:rPr>
              <w:t>Development area</w:t>
            </w:r>
          </w:p>
        </w:tc>
        <w:tc>
          <w:tcPr>
            <w:tcW w:w="3010" w:type="dxa"/>
            <w:shd w:val="clear" w:color="auto" w:fill="0070C0"/>
          </w:tcPr>
          <w:p w:rsidR="004224EE" w:rsidRPr="00DD39AC" w:rsidRDefault="004224EE" w:rsidP="002377BB">
            <w:pPr>
              <w:rPr>
                <w:b/>
                <w:color w:val="FFFFFF"/>
                <w:sz w:val="24"/>
                <w:szCs w:val="24"/>
              </w:rPr>
            </w:pPr>
            <w:r w:rsidRPr="00DD39AC">
              <w:rPr>
                <w:b/>
                <w:color w:val="FFFFFF"/>
                <w:sz w:val="24"/>
                <w:szCs w:val="24"/>
              </w:rPr>
              <w:t>Targets</w:t>
            </w:r>
          </w:p>
        </w:tc>
        <w:tc>
          <w:tcPr>
            <w:tcW w:w="3286" w:type="dxa"/>
            <w:shd w:val="clear" w:color="auto" w:fill="0070C0"/>
          </w:tcPr>
          <w:p w:rsidR="004224EE" w:rsidRPr="00DD39AC" w:rsidRDefault="004224EE" w:rsidP="002377BB">
            <w:pPr>
              <w:rPr>
                <w:b/>
                <w:color w:val="FFFFFF"/>
                <w:sz w:val="24"/>
                <w:szCs w:val="24"/>
              </w:rPr>
            </w:pPr>
            <w:r w:rsidRPr="00DD39AC">
              <w:rPr>
                <w:b/>
                <w:color w:val="FFFFFF"/>
                <w:sz w:val="24"/>
                <w:szCs w:val="24"/>
              </w:rPr>
              <w:t>Strategies</w:t>
            </w:r>
          </w:p>
        </w:tc>
        <w:tc>
          <w:tcPr>
            <w:tcW w:w="2931" w:type="dxa"/>
            <w:shd w:val="clear" w:color="auto" w:fill="0070C0"/>
          </w:tcPr>
          <w:p w:rsidR="004224EE" w:rsidRPr="00DD39AC" w:rsidRDefault="004224EE" w:rsidP="002377BB">
            <w:pPr>
              <w:rPr>
                <w:b/>
                <w:color w:val="FFFFFF"/>
                <w:sz w:val="24"/>
                <w:szCs w:val="24"/>
              </w:rPr>
            </w:pPr>
            <w:r w:rsidRPr="00DD39AC">
              <w:rPr>
                <w:b/>
                <w:color w:val="FFFFFF"/>
                <w:sz w:val="24"/>
                <w:szCs w:val="24"/>
              </w:rPr>
              <w:t>Outcome and by when</w:t>
            </w:r>
          </w:p>
        </w:tc>
        <w:tc>
          <w:tcPr>
            <w:tcW w:w="2937" w:type="dxa"/>
            <w:shd w:val="clear" w:color="auto" w:fill="0070C0"/>
          </w:tcPr>
          <w:p w:rsidR="004224EE" w:rsidRPr="00DD39AC" w:rsidRDefault="004224EE" w:rsidP="002377BB">
            <w:pPr>
              <w:rPr>
                <w:b/>
                <w:color w:val="FFFFFF"/>
                <w:sz w:val="24"/>
                <w:szCs w:val="24"/>
              </w:rPr>
            </w:pPr>
            <w:r w:rsidRPr="00DD39AC">
              <w:rPr>
                <w:b/>
                <w:color w:val="FFFFFF"/>
                <w:sz w:val="24"/>
                <w:szCs w:val="24"/>
              </w:rPr>
              <w:t>Goals achieved</w:t>
            </w:r>
          </w:p>
        </w:tc>
      </w:tr>
      <w:tr w:rsidR="004224EE" w:rsidTr="002377BB">
        <w:trPr>
          <w:trHeight w:val="1395"/>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t>Curriculum delivery</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Classrooms are organised for disabled pupils.</w:t>
            </w: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Guidance from specialists (sensory support service, autism service) taken into account for arranging classrooms to maximise benefit to disabled pupils.</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Monitoring indicates</w:t>
            </w:r>
          </w:p>
          <w:p w:rsidR="004224EE" w:rsidRPr="003914BD" w:rsidRDefault="004224EE" w:rsidP="002377BB">
            <w:pPr>
              <w:rPr>
                <w:rFonts w:ascii="Calibri" w:hAnsi="Calibri"/>
                <w:sz w:val="24"/>
                <w:szCs w:val="24"/>
              </w:rPr>
            </w:pPr>
            <w:r w:rsidRPr="003914BD">
              <w:rPr>
                <w:rFonts w:ascii="Calibri" w:hAnsi="Calibri"/>
                <w:sz w:val="24"/>
                <w:szCs w:val="24"/>
              </w:rPr>
              <w:t>disability/SEN taken into account in organising the environment for learning.</w:t>
            </w:r>
          </w:p>
          <w:p w:rsidR="004224EE" w:rsidRPr="003914BD" w:rsidRDefault="004224EE" w:rsidP="002377BB">
            <w:pPr>
              <w:rPr>
                <w:rFonts w:ascii="Calibri" w:hAnsi="Calibri"/>
                <w:b/>
                <w:sz w:val="24"/>
                <w:szCs w:val="24"/>
              </w:rPr>
            </w:pP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learning environment more effectively.</w:t>
            </w:r>
          </w:p>
        </w:tc>
      </w:tr>
      <w:tr w:rsidR="004224EE" w:rsidTr="002377BB">
        <w:trPr>
          <w:trHeight w:val="2325"/>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t>Curriculum delivery/</w:t>
            </w:r>
          </w:p>
          <w:p w:rsidR="004224EE" w:rsidRPr="003914BD" w:rsidRDefault="004224EE" w:rsidP="002377BB">
            <w:pPr>
              <w:rPr>
                <w:rFonts w:ascii="Calibri" w:hAnsi="Calibri"/>
                <w:b/>
                <w:sz w:val="24"/>
                <w:szCs w:val="24"/>
              </w:rPr>
            </w:pPr>
            <w:r w:rsidRPr="003914BD">
              <w:rPr>
                <w:rFonts w:ascii="Calibri" w:hAnsi="Calibri"/>
                <w:b/>
                <w:sz w:val="24"/>
                <w:szCs w:val="24"/>
              </w:rPr>
              <w:t>delivery of materials in other formats</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Personalised targets set by classroom staff with additional time requirements in practical work understood and planned for.</w:t>
            </w:r>
          </w:p>
          <w:p w:rsidR="004224EE" w:rsidRPr="003914BD" w:rsidRDefault="004224EE" w:rsidP="002377BB">
            <w:pPr>
              <w:rPr>
                <w:rFonts w:ascii="Calibri" w:hAnsi="Calibri"/>
                <w:sz w:val="24"/>
                <w:szCs w:val="24"/>
              </w:rPr>
            </w:pPr>
            <w:r w:rsidRPr="003914BD">
              <w:rPr>
                <w:rFonts w:ascii="Calibri" w:hAnsi="Calibri"/>
                <w:sz w:val="24"/>
                <w:szCs w:val="24"/>
              </w:rPr>
              <w:t xml:space="preserve"> </w:t>
            </w:r>
          </w:p>
          <w:p w:rsidR="004224EE" w:rsidRPr="003914BD" w:rsidRDefault="004224EE" w:rsidP="002377BB">
            <w:pPr>
              <w:rPr>
                <w:rFonts w:ascii="Calibri" w:hAnsi="Calibri"/>
                <w:sz w:val="24"/>
                <w:szCs w:val="24"/>
              </w:rPr>
            </w:pPr>
            <w:r w:rsidRPr="003914BD">
              <w:rPr>
                <w:rFonts w:ascii="Calibri" w:hAnsi="Calibri"/>
                <w:sz w:val="24"/>
                <w:szCs w:val="24"/>
              </w:rPr>
              <w:t xml:space="preserve">Diagrams described and Screens read out loud. </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Copies of slides and diagrams available to pupils.</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Worksheets produced in at least size 12 font where appropriate.</w:t>
            </w: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SEND information available to all staff and further training on implementation and differentiation of curriculum required.</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Advice from sensory support service.</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Ongoing monitoring indicates differentiation in place targeted at disabled/SEN/other nominated pupils.</w:t>
            </w: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curriculum more effectively.</w:t>
            </w:r>
          </w:p>
        </w:tc>
      </w:tr>
      <w:tr w:rsidR="004224EE" w:rsidTr="002377BB">
        <w:trPr>
          <w:trHeight w:val="574"/>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lastRenderedPageBreak/>
              <w:t>School design for</w:t>
            </w:r>
          </w:p>
          <w:p w:rsidR="004224EE" w:rsidRPr="003914BD" w:rsidRDefault="004224EE" w:rsidP="002377BB">
            <w:pPr>
              <w:rPr>
                <w:rFonts w:ascii="Calibri" w:hAnsi="Calibri"/>
                <w:sz w:val="24"/>
                <w:szCs w:val="24"/>
              </w:rPr>
            </w:pPr>
            <w:r w:rsidRPr="003914BD">
              <w:rPr>
                <w:rFonts w:ascii="Calibri" w:hAnsi="Calibri"/>
                <w:b/>
                <w:sz w:val="24"/>
                <w:szCs w:val="24"/>
              </w:rPr>
              <w:t>disabled pupils</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All areas accessible to disabled pupils.</w:t>
            </w:r>
          </w:p>
        </w:tc>
        <w:tc>
          <w:tcPr>
            <w:tcW w:w="3286" w:type="dxa"/>
          </w:tcPr>
          <w:p w:rsidR="004224EE" w:rsidRPr="003914BD" w:rsidRDefault="005E1BCC" w:rsidP="002377BB">
            <w:pPr>
              <w:rPr>
                <w:rFonts w:ascii="Calibri" w:hAnsi="Calibri"/>
                <w:sz w:val="24"/>
                <w:szCs w:val="24"/>
              </w:rPr>
            </w:pPr>
            <w:r>
              <w:rPr>
                <w:rFonts w:ascii="Calibri" w:hAnsi="Calibri"/>
                <w:sz w:val="24"/>
                <w:szCs w:val="24"/>
              </w:rPr>
              <w:t>Front of school added in 2021 including LINC</w:t>
            </w:r>
          </w:p>
        </w:tc>
        <w:tc>
          <w:tcPr>
            <w:tcW w:w="2931" w:type="dxa"/>
          </w:tcPr>
          <w:p w:rsidR="004224EE" w:rsidRPr="003914BD" w:rsidRDefault="004224EE" w:rsidP="005E1BCC">
            <w:pPr>
              <w:rPr>
                <w:rFonts w:ascii="Calibri" w:hAnsi="Calibri"/>
                <w:sz w:val="24"/>
                <w:szCs w:val="24"/>
              </w:rPr>
            </w:pPr>
            <w:r w:rsidRPr="003914BD">
              <w:rPr>
                <w:rFonts w:ascii="Calibri" w:hAnsi="Calibri"/>
                <w:sz w:val="24"/>
                <w:szCs w:val="24"/>
              </w:rPr>
              <w:t xml:space="preserve">All new buildings </w:t>
            </w:r>
            <w:r w:rsidR="005E1BCC">
              <w:rPr>
                <w:rFonts w:ascii="Calibri" w:hAnsi="Calibri"/>
                <w:sz w:val="24"/>
                <w:szCs w:val="24"/>
              </w:rPr>
              <w:t>are</w:t>
            </w:r>
            <w:r w:rsidRPr="003914BD">
              <w:rPr>
                <w:rFonts w:ascii="Calibri" w:hAnsi="Calibri"/>
                <w:sz w:val="24"/>
                <w:szCs w:val="24"/>
              </w:rPr>
              <w:t xml:space="preserve"> fully  disability compatible. </w:t>
            </w: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all physical areas without difficulty.</w:t>
            </w:r>
          </w:p>
        </w:tc>
      </w:tr>
      <w:tr w:rsidR="004224EE" w:rsidTr="002377BB">
        <w:trPr>
          <w:trHeight w:val="705"/>
        </w:trPr>
        <w:tc>
          <w:tcPr>
            <w:tcW w:w="2578" w:type="dxa"/>
          </w:tcPr>
          <w:p w:rsidR="004224EE" w:rsidRPr="003C075E" w:rsidRDefault="004224EE" w:rsidP="002377BB">
            <w:pPr>
              <w:rPr>
                <w:sz w:val="24"/>
                <w:szCs w:val="24"/>
              </w:rPr>
            </w:pP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Signs clear and understandable for visually impaired.</w:t>
            </w:r>
          </w:p>
          <w:p w:rsidR="004224EE" w:rsidRPr="003914BD" w:rsidRDefault="004224EE" w:rsidP="002377BB">
            <w:pPr>
              <w:rPr>
                <w:rFonts w:ascii="Calibri" w:hAnsi="Calibri"/>
                <w:sz w:val="24"/>
                <w:szCs w:val="24"/>
              </w:rPr>
            </w:pP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Replacement of signs takes account of appropriate colour schemes/size for signs.</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New signs clear and updated as required.</w:t>
            </w:r>
          </w:p>
        </w:tc>
        <w:tc>
          <w:tcPr>
            <w:tcW w:w="2937" w:type="dxa"/>
          </w:tcPr>
          <w:p w:rsidR="004224EE" w:rsidRPr="003914BD" w:rsidRDefault="004224EE" w:rsidP="002377BB">
            <w:pPr>
              <w:rPr>
                <w:rFonts w:ascii="Calibri" w:hAnsi="Calibri"/>
                <w:sz w:val="24"/>
                <w:szCs w:val="24"/>
              </w:rPr>
            </w:pPr>
          </w:p>
        </w:tc>
      </w:tr>
      <w:tr w:rsidR="004224EE" w:rsidRPr="003C075E" w:rsidTr="002377BB">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407408" w:rsidRDefault="004224EE" w:rsidP="002377BB">
            <w:pPr>
              <w:rPr>
                <w:b/>
                <w:sz w:val="24"/>
                <w:szCs w:val="24"/>
              </w:rPr>
            </w:pP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Comprehensive evacuation plan in case of fire.</w:t>
            </w: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 xml:space="preserve">Plan discussed and agreed with all staff. Where appropriate individual pupils also informed. </w:t>
            </w: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tc>
      </w:tr>
      <w:tr w:rsidR="004224EE" w:rsidRPr="003C075E" w:rsidTr="002377BB">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b/>
                <w:sz w:val="24"/>
                <w:szCs w:val="24"/>
              </w:rPr>
            </w:pPr>
            <w:r w:rsidRPr="003914BD">
              <w:rPr>
                <w:rFonts w:ascii="Calibri" w:hAnsi="Calibri"/>
                <w:b/>
                <w:sz w:val="24"/>
                <w:szCs w:val="24"/>
              </w:rPr>
              <w:t>Auxiliary aids and services</w:t>
            </w: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 xml:space="preserve">Medical conditions policy reviewed and updated. </w:t>
            </w: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Input from school nursing service. Relevant staff idenfied and trained.</w:t>
            </w: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Policy dissemminated to all staff.</w:t>
            </w: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All pupils with medical conditions are supported.</w:t>
            </w:r>
          </w:p>
        </w:tc>
      </w:tr>
      <w:tr w:rsidR="004224EE" w:rsidRPr="0083062D" w:rsidTr="002377BB">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b/>
                <w:sz w:val="24"/>
                <w:szCs w:val="24"/>
              </w:rPr>
            </w:pP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cs="Arial"/>
                <w:noProof w:val="0"/>
                <w:sz w:val="24"/>
                <w:szCs w:val="24"/>
                <w:lang w:eastAsia="en-GB"/>
              </w:rPr>
            </w:pPr>
            <w:r w:rsidRPr="003914BD">
              <w:rPr>
                <w:rFonts w:ascii="Calibri" w:hAnsi="Calibri" w:cs="Arial"/>
                <w:noProof w:val="0"/>
                <w:sz w:val="24"/>
                <w:szCs w:val="24"/>
                <w:lang w:eastAsia="en-GB"/>
              </w:rPr>
              <w:t>Some a</w:t>
            </w:r>
            <w:r w:rsidRPr="003914BD">
              <w:rPr>
                <w:rFonts w:ascii="Calibri" w:hAnsi="Calibri"/>
                <w:sz w:val="24"/>
                <w:szCs w:val="24"/>
              </w:rPr>
              <w:t>daptive keyboards and special software are available.</w:t>
            </w:r>
          </w:p>
          <w:p w:rsidR="004224EE" w:rsidRPr="003914BD" w:rsidRDefault="004224EE" w:rsidP="002377BB">
            <w:pPr>
              <w:rPr>
                <w:rFonts w:ascii="Calibri" w:hAnsi="Calibri"/>
                <w:b/>
                <w:sz w:val="24"/>
                <w:szCs w:val="24"/>
              </w:rPr>
            </w:pP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Sensory support service, physiotherapist and occupational therapist provide input as to appropriate IT equipment and software.</w:t>
            </w: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p w:rsidR="004224EE" w:rsidRPr="003914BD" w:rsidRDefault="004224EE" w:rsidP="002377BB">
            <w:pPr>
              <w:rPr>
                <w:rFonts w:ascii="Calibri" w:hAnsi="Calibri" w:cs="Arial"/>
                <w:b/>
                <w:noProof w:val="0"/>
                <w:sz w:val="24"/>
                <w:szCs w:val="24"/>
                <w:lang w:eastAsia="en-GB"/>
              </w:rPr>
            </w:pP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Disa</w:t>
            </w:r>
            <w:r w:rsidR="00106D6C">
              <w:rPr>
                <w:rFonts w:ascii="Calibri" w:hAnsi="Calibri"/>
                <w:sz w:val="24"/>
                <w:szCs w:val="24"/>
              </w:rPr>
              <w:t>bled pupils can use adaptive ke</w:t>
            </w:r>
            <w:r w:rsidRPr="003914BD">
              <w:rPr>
                <w:rFonts w:ascii="Calibri" w:hAnsi="Calibri"/>
                <w:sz w:val="24"/>
                <w:szCs w:val="24"/>
              </w:rPr>
              <w:t>yboards and specialised software to access the curriculum.</w:t>
            </w:r>
          </w:p>
        </w:tc>
      </w:tr>
    </w:tbl>
    <w:p w:rsidR="004224EE" w:rsidRPr="003C075E" w:rsidRDefault="004224EE" w:rsidP="004224EE">
      <w:pPr>
        <w:rPr>
          <w:sz w:val="24"/>
          <w:szCs w:val="24"/>
        </w:rPr>
      </w:pPr>
    </w:p>
    <w:p w:rsidR="004224EE" w:rsidRPr="003914BD" w:rsidRDefault="004224EE" w:rsidP="004224EE">
      <w:pPr>
        <w:rPr>
          <w:rFonts w:ascii="Calibri" w:hAnsi="Calibri"/>
          <w:sz w:val="24"/>
          <w:szCs w:val="24"/>
        </w:rPr>
      </w:pPr>
      <w:r>
        <w:rPr>
          <w:rFonts w:ascii="Calibri" w:hAnsi="Calibri"/>
          <w:sz w:val="24"/>
          <w:szCs w:val="24"/>
        </w:rPr>
        <w:t xml:space="preserve">Updated:  </w:t>
      </w:r>
      <w:r w:rsidR="005E1BCC">
        <w:rPr>
          <w:rFonts w:ascii="Calibri" w:hAnsi="Calibri"/>
          <w:sz w:val="24"/>
          <w:szCs w:val="24"/>
        </w:rPr>
        <w:t>June 2021</w:t>
      </w:r>
    </w:p>
    <w:p w:rsidR="004224EE" w:rsidRPr="003914BD" w:rsidRDefault="004224EE" w:rsidP="004224EE">
      <w:pPr>
        <w:rPr>
          <w:rFonts w:ascii="Calibri" w:hAnsi="Calibri"/>
          <w:sz w:val="24"/>
          <w:szCs w:val="24"/>
        </w:rPr>
      </w:pPr>
    </w:p>
    <w:p w:rsidR="00A16050" w:rsidRPr="00106D6C" w:rsidRDefault="005E1BCC">
      <w:pPr>
        <w:rPr>
          <w:rFonts w:ascii="Calibri" w:hAnsi="Calibri"/>
          <w:sz w:val="24"/>
          <w:szCs w:val="24"/>
        </w:rPr>
      </w:pPr>
      <w:r>
        <w:rPr>
          <w:rFonts w:ascii="Calibri" w:hAnsi="Calibri"/>
          <w:sz w:val="24"/>
          <w:szCs w:val="24"/>
        </w:rPr>
        <w:t>Review:  June 2024</w:t>
      </w:r>
      <w:bookmarkStart w:id="0" w:name="_GoBack"/>
      <w:bookmarkEnd w:id="0"/>
    </w:p>
    <w:sectPr w:rsidR="00A16050" w:rsidRPr="00106D6C">
      <w:headerReference w:type="default" r:id="rId7"/>
      <w:footerReference w:type="default" r:id="rId8"/>
      <w:pgSz w:w="16834" w:h="11909" w:orient="landscape"/>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4B" w:rsidRDefault="0069094B" w:rsidP="00106D6C">
      <w:r>
        <w:separator/>
      </w:r>
    </w:p>
  </w:endnote>
  <w:endnote w:type="continuationSeparator" w:id="0">
    <w:p w:rsidR="0069094B" w:rsidRDefault="0069094B" w:rsidP="001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D4" w:rsidRPr="00A7657E" w:rsidRDefault="0069094B">
    <w:pPr>
      <w:pStyle w:val="Footer"/>
      <w:rPr>
        <w:noProof w:val="0"/>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77866">
      <w:rPr>
        <w:noProof w:val="0"/>
        <w:sz w:val="16"/>
        <w:szCs w:val="16"/>
      </w:rPr>
      <w:fldChar w:fldCharType="begin"/>
    </w:r>
    <w:r w:rsidRPr="00B77866">
      <w:rPr>
        <w:sz w:val="16"/>
        <w:szCs w:val="16"/>
      </w:rPr>
      <w:instrText xml:space="preserve"> PAGE   \* MERGEFORMAT </w:instrText>
    </w:r>
    <w:r w:rsidRPr="00B77866">
      <w:rPr>
        <w:noProof w:val="0"/>
        <w:sz w:val="16"/>
        <w:szCs w:val="16"/>
      </w:rPr>
      <w:fldChar w:fldCharType="separate"/>
    </w:r>
    <w:r w:rsidR="005E1BCC">
      <w:rPr>
        <w:sz w:val="16"/>
        <w:szCs w:val="16"/>
      </w:rPr>
      <w:t>3</w:t>
    </w:r>
    <w:r w:rsidRPr="00B7786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4B" w:rsidRDefault="0069094B" w:rsidP="00106D6C">
      <w:r>
        <w:separator/>
      </w:r>
    </w:p>
  </w:footnote>
  <w:footnote w:type="continuationSeparator" w:id="0">
    <w:p w:rsidR="0069094B" w:rsidRDefault="0069094B" w:rsidP="0010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D4" w:rsidRDefault="00106D6C">
    <w:pPr>
      <w:pStyle w:val="Header"/>
    </w:pPr>
    <w:r>
      <w:rPr>
        <w:lang w:eastAsia="en-GB"/>
      </w:rPr>
      <w:drawing>
        <wp:anchor distT="0" distB="0" distL="114300" distR="114300" simplePos="0" relativeHeight="251659264" behindDoc="0" locked="0" layoutInCell="1" allowOverlap="1" wp14:anchorId="3CE2409B" wp14:editId="4ED544C9">
          <wp:simplePos x="0" y="0"/>
          <wp:positionH relativeFrom="column">
            <wp:posOffset>7229475</wp:posOffset>
          </wp:positionH>
          <wp:positionV relativeFrom="paragraph">
            <wp:posOffset>101600</wp:posOffset>
          </wp:positionV>
          <wp:extent cx="2428875" cy="341630"/>
          <wp:effectExtent l="0" t="0" r="9525" b="1270"/>
          <wp:wrapNone/>
          <wp:docPr id="2" name="Picture 2" descr="handsam | your safety net">
            <a:hlinkClick xmlns:a="http://schemas.openxmlformats.org/drawingml/2006/main" r:id="rId1" tooltip="&quot;handsam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am | your safety net">
                    <a:hlinkClick r:id="rId1" tooltip="&quot;handsam homepage&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288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94B">
      <w:rPr>
        <w:b/>
        <w:color w:val="FF0000"/>
        <w:sz w:val="32"/>
        <w:vertAlign w:val="superscript"/>
      </w:rPr>
      <w:t xml:space="preserve">                </w:t>
    </w:r>
    <w:r>
      <w:rPr>
        <w:b/>
        <w:color w:val="FF0000"/>
        <w:sz w:val="32"/>
        <w:vertAlign w:val="superscript"/>
        <w:lang w:eastAsia="en-GB"/>
      </w:rPr>
      <w:drawing>
        <wp:inline distT="0" distB="0" distL="0" distR="0" wp14:anchorId="6B62D46C" wp14:editId="497C33F6">
          <wp:extent cx="3164205"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4205" cy="969645"/>
                  </a:xfrm>
                  <a:prstGeom prst="rect">
                    <a:avLst/>
                  </a:prstGeom>
                  <a:noFill/>
                </pic:spPr>
              </pic:pic>
            </a:graphicData>
          </a:graphic>
        </wp:inline>
      </w:drawing>
    </w:r>
  </w:p>
  <w:p w:rsidR="00332FD4" w:rsidRDefault="005E1BCC">
    <w:pPr>
      <w:pStyle w:val="Header"/>
    </w:pPr>
  </w:p>
  <w:p w:rsidR="00332FD4" w:rsidRDefault="005E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EE"/>
    <w:rsid w:val="00106D6C"/>
    <w:rsid w:val="004224EE"/>
    <w:rsid w:val="005E1BCC"/>
    <w:rsid w:val="0069094B"/>
    <w:rsid w:val="00A1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E12DB"/>
  <w15:chartTrackingRefBased/>
  <w15:docId w15:val="{F25305F2-96C2-4D82-AC5E-9BD55B2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EE"/>
    <w:pPr>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EE"/>
    <w:pPr>
      <w:tabs>
        <w:tab w:val="center" w:pos="4153"/>
        <w:tab w:val="right" w:pos="8306"/>
      </w:tabs>
    </w:pPr>
  </w:style>
  <w:style w:type="character" w:customStyle="1" w:styleId="HeaderChar">
    <w:name w:val="Header Char"/>
    <w:basedOn w:val="DefaultParagraphFont"/>
    <w:link w:val="Header"/>
    <w:rsid w:val="004224EE"/>
    <w:rPr>
      <w:rFonts w:ascii="Arial" w:eastAsia="Times New Roman" w:hAnsi="Arial" w:cs="Times New Roman"/>
      <w:noProof/>
      <w:sz w:val="20"/>
      <w:szCs w:val="20"/>
    </w:rPr>
  </w:style>
  <w:style w:type="paragraph" w:styleId="Footer">
    <w:name w:val="footer"/>
    <w:basedOn w:val="Normal"/>
    <w:link w:val="FooterChar"/>
    <w:rsid w:val="004224EE"/>
    <w:pPr>
      <w:tabs>
        <w:tab w:val="center" w:pos="4153"/>
        <w:tab w:val="right" w:pos="8306"/>
      </w:tabs>
    </w:pPr>
  </w:style>
  <w:style w:type="character" w:customStyle="1" w:styleId="FooterChar">
    <w:name w:val="Footer Char"/>
    <w:basedOn w:val="DefaultParagraphFont"/>
    <w:link w:val="Footer"/>
    <w:rsid w:val="004224EE"/>
    <w:rPr>
      <w:rFonts w:ascii="Arial" w:eastAsia="Times New Roman" w:hAnsi="Arial" w:cs="Times New Roman"/>
      <w:noProof/>
      <w:sz w:val="20"/>
      <w:szCs w:val="20"/>
    </w:rPr>
  </w:style>
  <w:style w:type="paragraph" w:customStyle="1" w:styleId="Default">
    <w:name w:val="Default"/>
    <w:rsid w:val="004224E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b1webservices.co.uk/images/handsam-logo.gif" TargetMode="External"/><Relationship Id="rId2" Type="http://schemas.openxmlformats.org/officeDocument/2006/relationships/image" Target="media/image1.png"/><Relationship Id="rId1" Type="http://schemas.openxmlformats.org/officeDocument/2006/relationships/hyperlink" Target="http://www.b1webservices.co.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3</cp:revision>
  <dcterms:created xsi:type="dcterms:W3CDTF">2018-09-14T12:10:00Z</dcterms:created>
  <dcterms:modified xsi:type="dcterms:W3CDTF">2021-05-28T10:10:00Z</dcterms:modified>
</cp:coreProperties>
</file>