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3F45" w14:textId="6A97B012" w:rsidR="00F30810" w:rsidRPr="0007371A" w:rsidRDefault="00A9244D">
      <w:pPr>
        <w:pStyle w:val="Heading1"/>
        <w:rPr>
          <w:rStyle w:val="IntenseReference"/>
        </w:rPr>
      </w:pPr>
      <w:bookmarkStart w:id="0" w:name="_Toc357771638"/>
      <w:bookmarkStart w:id="1" w:name="_Toc346793416"/>
      <w:bookmarkStart w:id="2" w:name="_Toc328122777"/>
      <w:r w:rsidRPr="0007371A">
        <w:rPr>
          <w:rStyle w:val="IntenseReference"/>
        </w:rPr>
        <w:t>Pupil premium strategy statement</w:t>
      </w:r>
      <w:r w:rsidR="003512E4">
        <w:rPr>
          <w:rStyle w:val="IntenseReference"/>
        </w:rPr>
        <w:t xml:space="preserve"> – Highfield Ely Academy</w:t>
      </w:r>
    </w:p>
    <w:p w14:paraId="0E273F46" w14:textId="7C7348AA" w:rsidR="00F30810" w:rsidRPr="00517C69" w:rsidRDefault="00A9244D">
      <w:pPr>
        <w:pStyle w:val="Heading2"/>
        <w:rPr>
          <w:rFonts w:asciiTheme="minorHAnsi" w:hAnsiTheme="minorHAnsi" w:cstheme="minorHAnsi"/>
          <w:sz w:val="28"/>
          <w:szCs w:val="28"/>
        </w:rPr>
      </w:pPr>
      <w:bookmarkStart w:id="3" w:name="_Toc385406061"/>
      <w:bookmarkEnd w:id="0"/>
      <w:bookmarkEnd w:id="1"/>
      <w:bookmarkEnd w:id="2"/>
      <w:r w:rsidRPr="00517C69">
        <w:rPr>
          <w:rFonts w:asciiTheme="minorHAnsi" w:hAnsiTheme="minorHAnsi" w:cstheme="minorHAnsi"/>
          <w:sz w:val="28"/>
          <w:szCs w:val="28"/>
        </w:rPr>
        <w:t>School overview</w:t>
      </w:r>
    </w:p>
    <w:tbl>
      <w:tblPr>
        <w:tblW w:w="14156" w:type="dxa"/>
        <w:tblCellMar>
          <w:left w:w="10" w:type="dxa"/>
          <w:right w:w="10" w:type="dxa"/>
        </w:tblCellMar>
        <w:tblLook w:val="0000" w:firstRow="0" w:lastRow="0" w:firstColumn="0" w:lastColumn="0" w:noHBand="0" w:noVBand="0"/>
      </w:tblPr>
      <w:tblGrid>
        <w:gridCol w:w="7180"/>
        <w:gridCol w:w="6976"/>
      </w:tblGrid>
      <w:tr w:rsidR="00F30810" w:rsidRPr="0007371A" w14:paraId="0E273F49"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47" w14:textId="77777777" w:rsidR="00F30810" w:rsidRPr="0007371A" w:rsidRDefault="00A9244D">
            <w:pPr>
              <w:pStyle w:val="TableRow"/>
              <w:ind w:left="0"/>
              <w:rPr>
                <w:rFonts w:asciiTheme="minorHAnsi" w:hAnsiTheme="minorHAnsi" w:cstheme="minorHAnsi"/>
                <w:sz w:val="22"/>
                <w:szCs w:val="22"/>
              </w:rPr>
            </w:pPr>
            <w:r w:rsidRPr="0007371A">
              <w:rPr>
                <w:rFonts w:asciiTheme="minorHAnsi" w:hAnsiTheme="minorHAnsi" w:cstheme="minorHAnsi"/>
                <w:sz w:val="22"/>
                <w:szCs w:val="22"/>
              </w:rPr>
              <w:t xml:space="preserve"> School name</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48" w14:textId="77777777" w:rsidR="00F30810" w:rsidRPr="0007371A" w:rsidRDefault="00A9244D">
            <w:pPr>
              <w:pStyle w:val="TableRow"/>
              <w:ind w:left="0"/>
              <w:rPr>
                <w:rFonts w:asciiTheme="minorHAnsi" w:hAnsiTheme="minorHAnsi" w:cstheme="minorHAnsi"/>
                <w:sz w:val="22"/>
                <w:szCs w:val="22"/>
              </w:rPr>
            </w:pPr>
            <w:r w:rsidRPr="0007371A">
              <w:rPr>
                <w:rStyle w:val="PlaceholderText"/>
                <w:rFonts w:asciiTheme="minorHAnsi" w:hAnsiTheme="minorHAnsi" w:cstheme="minorHAnsi"/>
                <w:color w:val="auto"/>
                <w:sz w:val="22"/>
                <w:szCs w:val="22"/>
              </w:rPr>
              <w:t>Highfield Ely Academy</w:t>
            </w:r>
          </w:p>
        </w:tc>
      </w:tr>
      <w:tr w:rsidR="00F30810" w:rsidRPr="0007371A" w14:paraId="0E273F4C"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4A" w14:textId="77777777" w:rsidR="00F30810" w:rsidRPr="0007371A" w:rsidRDefault="00A9244D">
            <w:pPr>
              <w:pStyle w:val="TableRow"/>
              <w:rPr>
                <w:rFonts w:asciiTheme="minorHAnsi" w:hAnsiTheme="minorHAnsi" w:cstheme="minorHAnsi"/>
                <w:sz w:val="22"/>
                <w:szCs w:val="22"/>
              </w:rPr>
            </w:pPr>
            <w:r w:rsidRPr="0007371A">
              <w:rPr>
                <w:rFonts w:asciiTheme="minorHAnsi" w:hAnsiTheme="minorHAnsi" w:cstheme="minorHAnsi"/>
                <w:sz w:val="22"/>
                <w:szCs w:val="22"/>
              </w:rPr>
              <w:t>Pupils in school</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4B" w14:textId="67B74A70" w:rsidR="00F30810" w:rsidRPr="0007371A" w:rsidRDefault="000B0F2A">
            <w:pPr>
              <w:pStyle w:val="TableRow"/>
              <w:ind w:left="0"/>
              <w:rPr>
                <w:rFonts w:asciiTheme="minorHAnsi" w:hAnsiTheme="minorHAnsi" w:cstheme="minorHAnsi"/>
                <w:sz w:val="22"/>
                <w:szCs w:val="22"/>
              </w:rPr>
            </w:pPr>
            <w:r>
              <w:rPr>
                <w:rFonts w:asciiTheme="minorHAnsi" w:hAnsiTheme="minorHAnsi" w:cstheme="minorHAnsi"/>
                <w:sz w:val="22"/>
                <w:szCs w:val="22"/>
              </w:rPr>
              <w:t>123</w:t>
            </w:r>
          </w:p>
        </w:tc>
      </w:tr>
      <w:tr w:rsidR="00F30810" w:rsidRPr="0007371A" w14:paraId="0E273F4F"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4D" w14:textId="77777777" w:rsidR="00F30810" w:rsidRPr="0007371A" w:rsidRDefault="00A9244D">
            <w:pPr>
              <w:pStyle w:val="TableRow"/>
              <w:rPr>
                <w:rFonts w:asciiTheme="minorHAnsi" w:hAnsiTheme="minorHAnsi" w:cstheme="minorHAnsi"/>
                <w:sz w:val="22"/>
                <w:szCs w:val="22"/>
              </w:rPr>
            </w:pPr>
            <w:r w:rsidRPr="0007371A">
              <w:rPr>
                <w:rFonts w:asciiTheme="minorHAnsi" w:hAnsiTheme="minorHAnsi" w:cstheme="minorHAnsi"/>
                <w:sz w:val="22"/>
                <w:szCs w:val="22"/>
              </w:rPr>
              <w:t>Number of disadvantaged pupils</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4E" w14:textId="4AECA7CC" w:rsidR="00F30810" w:rsidRPr="0007371A" w:rsidRDefault="006A38E8">
            <w:pPr>
              <w:pStyle w:val="TableRow"/>
              <w:ind w:left="0"/>
              <w:rPr>
                <w:rFonts w:asciiTheme="minorHAnsi" w:hAnsiTheme="minorHAnsi" w:cstheme="minorHAnsi"/>
                <w:sz w:val="22"/>
                <w:szCs w:val="22"/>
              </w:rPr>
            </w:pPr>
            <w:r>
              <w:rPr>
                <w:rFonts w:asciiTheme="minorHAnsi" w:hAnsiTheme="minorHAnsi" w:cstheme="minorHAnsi"/>
                <w:sz w:val="22"/>
                <w:szCs w:val="22"/>
              </w:rPr>
              <w:t>60 (48.8%) 24 Primary / 36 Secondary</w:t>
            </w:r>
          </w:p>
        </w:tc>
      </w:tr>
      <w:tr w:rsidR="00F30810" w:rsidRPr="0007371A" w14:paraId="0E273F55"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3" w14:textId="09BC8E8B" w:rsidR="00F30810" w:rsidRPr="0007371A" w:rsidRDefault="008A50C1">
            <w:pPr>
              <w:pStyle w:val="TableRow"/>
              <w:rPr>
                <w:rFonts w:asciiTheme="minorHAnsi" w:hAnsiTheme="minorHAnsi" w:cstheme="minorHAnsi"/>
                <w:sz w:val="22"/>
                <w:szCs w:val="22"/>
              </w:rPr>
            </w:pPr>
            <w:r w:rsidRPr="0007371A">
              <w:rPr>
                <w:rFonts w:asciiTheme="minorHAnsi" w:hAnsiTheme="minorHAnsi" w:cstheme="minorHAnsi"/>
                <w:sz w:val="22"/>
                <w:szCs w:val="22"/>
              </w:rPr>
              <w:t xml:space="preserve">Academic </w:t>
            </w:r>
            <w:r w:rsidR="00A9244D" w:rsidRPr="0007371A">
              <w:rPr>
                <w:rFonts w:asciiTheme="minorHAnsi" w:hAnsiTheme="minorHAnsi" w:cstheme="minorHAnsi"/>
                <w:sz w:val="22"/>
                <w:szCs w:val="22"/>
              </w:rPr>
              <w:t>years covered by statement</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4" w14:textId="6D361CF8" w:rsidR="00F30810" w:rsidRPr="0007371A" w:rsidRDefault="003120E8">
            <w:pPr>
              <w:pStyle w:val="TableRow"/>
              <w:ind w:left="0"/>
              <w:rPr>
                <w:rFonts w:asciiTheme="minorHAnsi" w:hAnsiTheme="minorHAnsi" w:cstheme="minorHAnsi"/>
                <w:sz w:val="22"/>
                <w:szCs w:val="22"/>
              </w:rPr>
            </w:pPr>
            <w:r>
              <w:rPr>
                <w:rFonts w:asciiTheme="minorHAnsi" w:hAnsiTheme="minorHAnsi" w:cstheme="minorHAnsi"/>
                <w:sz w:val="22"/>
                <w:szCs w:val="22"/>
              </w:rPr>
              <w:t>2022/23</w:t>
            </w:r>
            <w:r w:rsidR="008A50C1" w:rsidRPr="0007371A">
              <w:rPr>
                <w:rFonts w:asciiTheme="minorHAnsi" w:hAnsiTheme="minorHAnsi" w:cstheme="minorHAnsi"/>
                <w:sz w:val="22"/>
                <w:szCs w:val="22"/>
              </w:rPr>
              <w:t xml:space="preserve"> to </w:t>
            </w:r>
            <w:r>
              <w:rPr>
                <w:rFonts w:asciiTheme="minorHAnsi" w:hAnsiTheme="minorHAnsi" w:cstheme="minorHAnsi"/>
                <w:sz w:val="22"/>
                <w:szCs w:val="22"/>
              </w:rPr>
              <w:t>2025/26</w:t>
            </w:r>
          </w:p>
        </w:tc>
      </w:tr>
      <w:tr w:rsidR="00F30810" w:rsidRPr="0007371A" w14:paraId="0E273F58"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6" w14:textId="77777777" w:rsidR="00F30810" w:rsidRPr="0007371A" w:rsidRDefault="00A9244D">
            <w:pPr>
              <w:pStyle w:val="TableRow"/>
              <w:rPr>
                <w:rFonts w:asciiTheme="minorHAnsi" w:hAnsiTheme="minorHAnsi" w:cstheme="minorHAnsi"/>
                <w:sz w:val="22"/>
                <w:szCs w:val="22"/>
              </w:rPr>
            </w:pPr>
            <w:r w:rsidRPr="0007371A">
              <w:rPr>
                <w:rFonts w:asciiTheme="minorHAnsi" w:hAnsiTheme="minorHAnsi" w:cstheme="minorHAnsi"/>
                <w:sz w:val="22"/>
                <w:szCs w:val="22"/>
              </w:rPr>
              <w:t>Publish date</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7" w14:textId="6D7D4969" w:rsidR="00F30810" w:rsidRPr="0007371A" w:rsidRDefault="00B2166F">
            <w:pPr>
              <w:pStyle w:val="TableRow"/>
              <w:ind w:left="0"/>
              <w:rPr>
                <w:rFonts w:asciiTheme="minorHAnsi" w:hAnsiTheme="minorHAnsi" w:cstheme="minorHAnsi"/>
                <w:sz w:val="22"/>
                <w:szCs w:val="22"/>
              </w:rPr>
            </w:pPr>
            <w:r>
              <w:rPr>
                <w:rFonts w:asciiTheme="minorHAnsi" w:hAnsiTheme="minorHAnsi" w:cstheme="minorHAnsi"/>
                <w:sz w:val="22"/>
                <w:szCs w:val="22"/>
              </w:rPr>
              <w:t>Nov</w:t>
            </w:r>
            <w:r w:rsidR="00CF7FA2">
              <w:rPr>
                <w:rFonts w:asciiTheme="minorHAnsi" w:hAnsiTheme="minorHAnsi" w:cstheme="minorHAnsi"/>
                <w:sz w:val="22"/>
                <w:szCs w:val="22"/>
              </w:rPr>
              <w:t>ember</w:t>
            </w:r>
            <w:r w:rsidR="005843AC">
              <w:rPr>
                <w:rFonts w:asciiTheme="minorHAnsi" w:hAnsiTheme="minorHAnsi" w:cstheme="minorHAnsi"/>
                <w:sz w:val="22"/>
                <w:szCs w:val="22"/>
              </w:rPr>
              <w:t xml:space="preserve"> 2023</w:t>
            </w:r>
          </w:p>
        </w:tc>
      </w:tr>
      <w:tr w:rsidR="00F30810" w:rsidRPr="0007371A" w14:paraId="0E273F5B"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9" w14:textId="77777777" w:rsidR="00F30810" w:rsidRPr="0007371A" w:rsidRDefault="00A9244D">
            <w:pPr>
              <w:pStyle w:val="TableRow"/>
              <w:rPr>
                <w:rFonts w:asciiTheme="minorHAnsi" w:hAnsiTheme="minorHAnsi" w:cstheme="minorHAnsi"/>
                <w:sz w:val="22"/>
                <w:szCs w:val="22"/>
              </w:rPr>
            </w:pPr>
            <w:r w:rsidRPr="0007371A">
              <w:rPr>
                <w:rFonts w:asciiTheme="minorHAnsi" w:hAnsiTheme="minorHAnsi" w:cstheme="minorHAnsi"/>
                <w:sz w:val="22"/>
                <w:szCs w:val="22"/>
              </w:rPr>
              <w:t>Review date</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A" w14:textId="270364DB" w:rsidR="00F30810" w:rsidRPr="0007371A" w:rsidRDefault="005843AC">
            <w:pPr>
              <w:pStyle w:val="TableRow"/>
              <w:ind w:left="0"/>
              <w:rPr>
                <w:rFonts w:asciiTheme="minorHAnsi" w:hAnsiTheme="minorHAnsi" w:cstheme="minorHAnsi"/>
                <w:sz w:val="22"/>
                <w:szCs w:val="22"/>
              </w:rPr>
            </w:pPr>
            <w:r>
              <w:rPr>
                <w:rFonts w:asciiTheme="minorHAnsi" w:hAnsiTheme="minorHAnsi" w:cstheme="minorHAnsi"/>
                <w:sz w:val="22"/>
                <w:szCs w:val="22"/>
              </w:rPr>
              <w:t>June 2024</w:t>
            </w:r>
          </w:p>
        </w:tc>
      </w:tr>
      <w:tr w:rsidR="00F30810" w:rsidRPr="0007371A" w14:paraId="0E273F5E"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C" w14:textId="77777777" w:rsidR="00F30810" w:rsidRPr="0007371A" w:rsidRDefault="00A9244D">
            <w:pPr>
              <w:pStyle w:val="TableRow"/>
              <w:rPr>
                <w:rFonts w:asciiTheme="minorHAnsi" w:hAnsiTheme="minorHAnsi" w:cstheme="minorHAnsi"/>
                <w:sz w:val="22"/>
                <w:szCs w:val="22"/>
              </w:rPr>
            </w:pPr>
            <w:r w:rsidRPr="0007371A">
              <w:rPr>
                <w:rFonts w:asciiTheme="minorHAnsi" w:hAnsiTheme="minorHAnsi" w:cstheme="minorHAnsi"/>
                <w:sz w:val="22"/>
                <w:szCs w:val="22"/>
              </w:rPr>
              <w:t>Statement authorised by</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D" w14:textId="77777777" w:rsidR="00F30810" w:rsidRPr="0007371A" w:rsidRDefault="00A9244D">
            <w:pPr>
              <w:pStyle w:val="TableRow"/>
              <w:ind w:left="0"/>
              <w:rPr>
                <w:rFonts w:asciiTheme="minorHAnsi" w:hAnsiTheme="minorHAnsi" w:cstheme="minorHAnsi"/>
                <w:sz w:val="22"/>
                <w:szCs w:val="22"/>
              </w:rPr>
            </w:pPr>
            <w:r w:rsidRPr="0007371A">
              <w:rPr>
                <w:rFonts w:asciiTheme="minorHAnsi" w:hAnsiTheme="minorHAnsi" w:cstheme="minorHAnsi"/>
                <w:sz w:val="22"/>
                <w:szCs w:val="22"/>
              </w:rPr>
              <w:t>Local Governing Body</w:t>
            </w:r>
          </w:p>
        </w:tc>
      </w:tr>
      <w:tr w:rsidR="00F30810" w:rsidRPr="0007371A" w14:paraId="0E273F61"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5F" w14:textId="77777777" w:rsidR="00F30810" w:rsidRPr="0007371A" w:rsidRDefault="00A9244D">
            <w:pPr>
              <w:pStyle w:val="TableRow"/>
              <w:rPr>
                <w:rFonts w:asciiTheme="minorHAnsi" w:hAnsiTheme="minorHAnsi" w:cstheme="minorHAnsi"/>
                <w:sz w:val="22"/>
                <w:szCs w:val="22"/>
              </w:rPr>
            </w:pPr>
            <w:r w:rsidRPr="0007371A">
              <w:rPr>
                <w:rFonts w:asciiTheme="minorHAnsi" w:hAnsiTheme="minorHAnsi" w:cstheme="minorHAnsi"/>
                <w:sz w:val="22"/>
                <w:szCs w:val="22"/>
              </w:rPr>
              <w:t>Pupil premium lead</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60" w14:textId="77777777" w:rsidR="00F30810" w:rsidRPr="0007371A" w:rsidRDefault="00A9244D">
            <w:pPr>
              <w:pStyle w:val="TableRow"/>
              <w:ind w:left="0"/>
              <w:rPr>
                <w:rFonts w:asciiTheme="minorHAnsi" w:hAnsiTheme="minorHAnsi" w:cstheme="minorHAnsi"/>
                <w:sz w:val="22"/>
                <w:szCs w:val="22"/>
              </w:rPr>
            </w:pPr>
            <w:r w:rsidRPr="0007371A">
              <w:rPr>
                <w:rFonts w:asciiTheme="minorHAnsi" w:hAnsiTheme="minorHAnsi" w:cstheme="minorHAnsi"/>
                <w:sz w:val="22"/>
                <w:szCs w:val="22"/>
              </w:rPr>
              <w:t>Adam Daw, Head of School</w:t>
            </w:r>
          </w:p>
        </w:tc>
      </w:tr>
      <w:tr w:rsidR="00F30810" w:rsidRPr="0007371A" w14:paraId="0E273F64" w14:textId="77777777" w:rsidTr="006B7B85">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62" w14:textId="77777777" w:rsidR="00F30810" w:rsidRPr="0007371A" w:rsidRDefault="00A9244D">
            <w:pPr>
              <w:pStyle w:val="TableRow"/>
              <w:rPr>
                <w:rFonts w:asciiTheme="minorHAnsi" w:hAnsiTheme="minorHAnsi" w:cstheme="minorHAnsi"/>
                <w:sz w:val="22"/>
                <w:szCs w:val="22"/>
              </w:rPr>
            </w:pPr>
            <w:r w:rsidRPr="0007371A">
              <w:rPr>
                <w:rFonts w:asciiTheme="minorHAnsi" w:hAnsiTheme="minorHAnsi" w:cstheme="minorHAnsi"/>
                <w:sz w:val="22"/>
                <w:szCs w:val="22"/>
              </w:rPr>
              <w:t>Governor lead</w:t>
            </w:r>
          </w:p>
        </w:tc>
        <w:tc>
          <w:tcPr>
            <w:tcW w:w="6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3F63" w14:textId="07A1A952" w:rsidR="00F30810" w:rsidRPr="0007371A" w:rsidRDefault="000105FD">
            <w:pPr>
              <w:pStyle w:val="TableRow"/>
              <w:ind w:left="0"/>
              <w:rPr>
                <w:rFonts w:asciiTheme="minorHAnsi" w:hAnsiTheme="minorHAnsi" w:cstheme="minorHAnsi"/>
                <w:sz w:val="22"/>
                <w:szCs w:val="22"/>
              </w:rPr>
            </w:pPr>
            <w:r w:rsidRPr="0007371A">
              <w:rPr>
                <w:rFonts w:asciiTheme="minorHAnsi" w:hAnsiTheme="minorHAnsi" w:cstheme="minorHAnsi"/>
                <w:sz w:val="22"/>
                <w:szCs w:val="22"/>
              </w:rPr>
              <w:t>Lorna Robinson</w:t>
            </w:r>
          </w:p>
        </w:tc>
      </w:tr>
    </w:tbl>
    <w:p w14:paraId="518ED528" w14:textId="77896E62" w:rsidR="006B7B85" w:rsidRPr="00517C69" w:rsidRDefault="006B7B85" w:rsidP="006B7B85">
      <w:pPr>
        <w:pStyle w:val="Heading2"/>
        <w:rPr>
          <w:rFonts w:asciiTheme="minorHAnsi" w:hAnsiTheme="minorHAnsi" w:cstheme="minorHAnsi"/>
          <w:sz w:val="28"/>
          <w:szCs w:val="28"/>
        </w:rPr>
      </w:pPr>
      <w:r w:rsidRPr="00517C69">
        <w:rPr>
          <w:rFonts w:asciiTheme="minorHAnsi" w:hAnsiTheme="minorHAnsi" w:cstheme="minorHAnsi"/>
          <w:sz w:val="28"/>
          <w:szCs w:val="28"/>
        </w:rPr>
        <w:t>Funding overview</w:t>
      </w:r>
    </w:p>
    <w:tbl>
      <w:tblPr>
        <w:tblW w:w="14130" w:type="dxa"/>
        <w:tblCellMar>
          <w:left w:w="10" w:type="dxa"/>
          <w:right w:w="10" w:type="dxa"/>
        </w:tblCellMar>
        <w:tblLook w:val="04A0" w:firstRow="1" w:lastRow="0" w:firstColumn="1" w:lastColumn="0" w:noHBand="0" w:noVBand="1"/>
      </w:tblPr>
      <w:tblGrid>
        <w:gridCol w:w="9706"/>
        <w:gridCol w:w="4424"/>
      </w:tblGrid>
      <w:tr w:rsidR="006B7B85" w:rsidRPr="0007371A" w14:paraId="3B0B09DB" w14:textId="77777777" w:rsidTr="006B7B85">
        <w:trPr>
          <w:trHeight w:val="235"/>
        </w:trPr>
        <w:tc>
          <w:tcPr>
            <w:tcW w:w="97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hideMark/>
          </w:tcPr>
          <w:p w14:paraId="6F94513B" w14:textId="77777777" w:rsidR="006B7B85" w:rsidRPr="0007371A" w:rsidRDefault="006B7B85">
            <w:pPr>
              <w:pStyle w:val="TableRow"/>
              <w:rPr>
                <w:rFonts w:asciiTheme="minorHAnsi" w:hAnsiTheme="minorHAnsi" w:cstheme="minorHAnsi"/>
                <w:sz w:val="22"/>
                <w:szCs w:val="22"/>
              </w:rPr>
            </w:pPr>
            <w:r w:rsidRPr="0007371A">
              <w:rPr>
                <w:rFonts w:asciiTheme="minorHAnsi" w:hAnsiTheme="minorHAnsi" w:cstheme="minorHAnsi"/>
                <w:b/>
                <w:sz w:val="22"/>
                <w:szCs w:val="22"/>
              </w:rPr>
              <w:t>Detail</w:t>
            </w:r>
          </w:p>
        </w:tc>
        <w:tc>
          <w:tcPr>
            <w:tcW w:w="44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hideMark/>
          </w:tcPr>
          <w:p w14:paraId="27FD49F5" w14:textId="77777777" w:rsidR="006B7B85" w:rsidRPr="0007371A" w:rsidRDefault="006B7B85">
            <w:pPr>
              <w:pStyle w:val="TableRow"/>
              <w:rPr>
                <w:rFonts w:asciiTheme="minorHAnsi" w:hAnsiTheme="minorHAnsi" w:cstheme="minorHAnsi"/>
                <w:sz w:val="22"/>
                <w:szCs w:val="22"/>
              </w:rPr>
            </w:pPr>
            <w:r w:rsidRPr="0007371A">
              <w:rPr>
                <w:rFonts w:asciiTheme="minorHAnsi" w:hAnsiTheme="minorHAnsi" w:cstheme="minorHAnsi"/>
                <w:b/>
                <w:sz w:val="22"/>
                <w:szCs w:val="22"/>
              </w:rPr>
              <w:t>Amount</w:t>
            </w:r>
          </w:p>
        </w:tc>
      </w:tr>
      <w:tr w:rsidR="006B7B85" w:rsidRPr="0007371A" w14:paraId="37CB4861" w14:textId="77777777" w:rsidTr="006B7B85">
        <w:trPr>
          <w:trHeight w:val="235"/>
        </w:trPr>
        <w:tc>
          <w:tcPr>
            <w:tcW w:w="9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85E5D5" w14:textId="77777777" w:rsidR="006B7B85" w:rsidRPr="0007371A" w:rsidRDefault="006B7B85">
            <w:pPr>
              <w:pStyle w:val="TableRow"/>
              <w:rPr>
                <w:rFonts w:asciiTheme="minorHAnsi" w:hAnsiTheme="minorHAnsi" w:cstheme="minorHAnsi"/>
                <w:sz w:val="22"/>
                <w:szCs w:val="22"/>
              </w:rPr>
            </w:pPr>
            <w:r w:rsidRPr="0007371A">
              <w:rPr>
                <w:rFonts w:asciiTheme="minorHAnsi" w:hAnsiTheme="minorHAnsi" w:cstheme="minorHAnsi"/>
                <w:sz w:val="22"/>
                <w:szCs w:val="22"/>
              </w:rPr>
              <w:t>Pupil premium funding allocation this academic year</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EFCF5" w14:textId="3EA7B6AF" w:rsidR="006B7B85" w:rsidRPr="0007371A" w:rsidRDefault="006B7B85">
            <w:pPr>
              <w:pStyle w:val="TableRow"/>
              <w:rPr>
                <w:rFonts w:asciiTheme="minorHAnsi" w:hAnsiTheme="minorHAnsi" w:cstheme="minorHAnsi"/>
                <w:color w:val="auto"/>
                <w:sz w:val="22"/>
                <w:szCs w:val="22"/>
              </w:rPr>
            </w:pPr>
            <w:r w:rsidRPr="0007371A">
              <w:rPr>
                <w:rFonts w:asciiTheme="minorHAnsi" w:hAnsiTheme="minorHAnsi" w:cstheme="minorHAnsi"/>
                <w:color w:val="auto"/>
                <w:sz w:val="22"/>
                <w:szCs w:val="22"/>
              </w:rPr>
              <w:t>£</w:t>
            </w:r>
            <w:r w:rsidR="000B0F2A">
              <w:rPr>
                <w:rFonts w:asciiTheme="minorHAnsi" w:hAnsiTheme="minorHAnsi" w:cstheme="minorHAnsi"/>
                <w:color w:val="auto"/>
                <w:sz w:val="22"/>
                <w:szCs w:val="22"/>
              </w:rPr>
              <w:t>83,638</w:t>
            </w:r>
          </w:p>
        </w:tc>
      </w:tr>
      <w:tr w:rsidR="006B7B85" w:rsidRPr="0007371A" w14:paraId="18687315" w14:textId="77777777" w:rsidTr="006B7B85">
        <w:trPr>
          <w:trHeight w:val="235"/>
        </w:trPr>
        <w:tc>
          <w:tcPr>
            <w:tcW w:w="9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A8C6E" w14:textId="73789DEF" w:rsidR="006B7B85" w:rsidRPr="0007371A" w:rsidRDefault="006B7B85">
            <w:pPr>
              <w:pStyle w:val="TableRow"/>
              <w:rPr>
                <w:rFonts w:asciiTheme="minorHAnsi" w:hAnsiTheme="minorHAnsi" w:cstheme="minorHAnsi"/>
                <w:sz w:val="22"/>
                <w:szCs w:val="22"/>
              </w:rPr>
            </w:pPr>
            <w:r w:rsidRPr="0007371A">
              <w:rPr>
                <w:rFonts w:asciiTheme="minorHAnsi" w:hAnsiTheme="minorHAnsi" w:cstheme="minorHAnsi"/>
                <w:sz w:val="22"/>
                <w:szCs w:val="22"/>
              </w:rPr>
              <w:t>Pupil</w:t>
            </w:r>
            <w:r w:rsidR="006A38E8">
              <w:rPr>
                <w:rFonts w:asciiTheme="minorHAnsi" w:hAnsiTheme="minorHAnsi" w:cstheme="minorHAnsi"/>
                <w:sz w:val="22"/>
                <w:szCs w:val="22"/>
              </w:rPr>
              <w:t xml:space="preserve"> premium </w:t>
            </w:r>
            <w:r w:rsidRPr="0007371A">
              <w:rPr>
                <w:rFonts w:asciiTheme="minorHAnsi" w:hAnsiTheme="minorHAnsi" w:cstheme="minorHAnsi"/>
                <w:sz w:val="22"/>
                <w:szCs w:val="22"/>
              </w:rPr>
              <w:t>funding carried forward from previous years</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A219D" w14:textId="6EE0315B" w:rsidR="006B7B85" w:rsidRPr="0007371A" w:rsidRDefault="006B7B85">
            <w:pPr>
              <w:pStyle w:val="TableRow"/>
              <w:rPr>
                <w:rFonts w:asciiTheme="minorHAnsi" w:hAnsiTheme="minorHAnsi" w:cstheme="minorHAnsi"/>
                <w:color w:val="auto"/>
                <w:sz w:val="22"/>
                <w:szCs w:val="22"/>
              </w:rPr>
            </w:pPr>
            <w:r w:rsidRPr="0007371A">
              <w:rPr>
                <w:rFonts w:asciiTheme="minorHAnsi" w:hAnsiTheme="minorHAnsi" w:cstheme="minorHAnsi"/>
                <w:color w:val="auto"/>
                <w:sz w:val="22"/>
                <w:szCs w:val="22"/>
              </w:rPr>
              <w:t>£</w:t>
            </w:r>
            <w:r w:rsidR="003120E8">
              <w:rPr>
                <w:rFonts w:asciiTheme="minorHAnsi" w:hAnsiTheme="minorHAnsi" w:cstheme="minorHAnsi"/>
                <w:color w:val="auto"/>
                <w:sz w:val="22"/>
                <w:szCs w:val="22"/>
              </w:rPr>
              <w:t>0</w:t>
            </w:r>
          </w:p>
        </w:tc>
      </w:tr>
      <w:tr w:rsidR="006B7B85" w:rsidRPr="0007371A" w14:paraId="11BA8826" w14:textId="77777777" w:rsidTr="006B7B85">
        <w:trPr>
          <w:trHeight w:val="425"/>
        </w:trPr>
        <w:tc>
          <w:tcPr>
            <w:tcW w:w="9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3A798" w14:textId="77777777" w:rsidR="006B7B85" w:rsidRPr="0007371A" w:rsidRDefault="006B7B85">
            <w:pPr>
              <w:pStyle w:val="TableRow"/>
              <w:rPr>
                <w:rFonts w:asciiTheme="minorHAnsi" w:hAnsiTheme="minorHAnsi" w:cstheme="minorHAnsi"/>
                <w:b/>
                <w:sz w:val="22"/>
                <w:szCs w:val="22"/>
              </w:rPr>
            </w:pPr>
            <w:r w:rsidRPr="0007371A">
              <w:rPr>
                <w:rFonts w:asciiTheme="minorHAnsi" w:hAnsiTheme="minorHAnsi" w:cstheme="minorHAnsi"/>
                <w:b/>
                <w:sz w:val="22"/>
                <w:szCs w:val="22"/>
              </w:rPr>
              <w:t>Total budget for this academic year</w:t>
            </w:r>
          </w:p>
          <w:p w14:paraId="5F11708C" w14:textId="77777777" w:rsidR="006B7B85" w:rsidRPr="0007371A" w:rsidRDefault="006B7B85">
            <w:pPr>
              <w:pStyle w:val="TableRow"/>
              <w:rPr>
                <w:rFonts w:asciiTheme="minorHAnsi" w:hAnsiTheme="minorHAnsi" w:cstheme="minorHAnsi"/>
                <w:sz w:val="22"/>
                <w:szCs w:val="22"/>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78E4A" w14:textId="2171015E" w:rsidR="006B7B85" w:rsidRPr="0007371A" w:rsidRDefault="006B7B85">
            <w:pPr>
              <w:pStyle w:val="TableRow"/>
              <w:rPr>
                <w:rFonts w:asciiTheme="minorHAnsi" w:hAnsiTheme="minorHAnsi" w:cstheme="minorHAnsi"/>
                <w:color w:val="auto"/>
                <w:sz w:val="22"/>
                <w:szCs w:val="22"/>
              </w:rPr>
            </w:pPr>
            <w:r w:rsidRPr="0007371A">
              <w:rPr>
                <w:rFonts w:asciiTheme="minorHAnsi" w:hAnsiTheme="minorHAnsi" w:cstheme="minorHAnsi"/>
                <w:color w:val="auto"/>
                <w:sz w:val="22"/>
                <w:szCs w:val="22"/>
              </w:rPr>
              <w:t>£</w:t>
            </w:r>
            <w:r w:rsidR="00EC71AB">
              <w:rPr>
                <w:rFonts w:asciiTheme="minorHAnsi" w:hAnsiTheme="minorHAnsi" w:cstheme="minorHAnsi"/>
                <w:color w:val="auto"/>
                <w:sz w:val="22"/>
                <w:szCs w:val="22"/>
              </w:rPr>
              <w:t>83,638</w:t>
            </w:r>
          </w:p>
        </w:tc>
      </w:tr>
    </w:tbl>
    <w:p w14:paraId="7D02CC82" w14:textId="77777777" w:rsidR="00955031" w:rsidRPr="00517C69" w:rsidRDefault="00955031" w:rsidP="00955031">
      <w:pPr>
        <w:pStyle w:val="Heading2"/>
        <w:rPr>
          <w:rFonts w:asciiTheme="minorHAnsi" w:hAnsiTheme="minorHAnsi" w:cstheme="minorHAnsi"/>
          <w:sz w:val="28"/>
          <w:szCs w:val="28"/>
        </w:rPr>
      </w:pPr>
      <w:r w:rsidRPr="00517C69">
        <w:rPr>
          <w:rFonts w:asciiTheme="minorHAnsi" w:hAnsiTheme="minorHAnsi" w:cstheme="minorHAnsi"/>
          <w:sz w:val="28"/>
          <w:szCs w:val="28"/>
        </w:rPr>
        <w:lastRenderedPageBreak/>
        <w:t>Statement of intent</w:t>
      </w:r>
    </w:p>
    <w:tbl>
      <w:tblPr>
        <w:tblW w:w="14170" w:type="dxa"/>
        <w:tblCellMar>
          <w:left w:w="10" w:type="dxa"/>
          <w:right w:w="10" w:type="dxa"/>
        </w:tblCellMar>
        <w:tblLook w:val="04A0" w:firstRow="1" w:lastRow="0" w:firstColumn="1" w:lastColumn="0" w:noHBand="0" w:noVBand="1"/>
      </w:tblPr>
      <w:tblGrid>
        <w:gridCol w:w="14170"/>
      </w:tblGrid>
      <w:tr w:rsidR="00955031" w:rsidRPr="0007371A" w14:paraId="03D6A983" w14:textId="77777777" w:rsidTr="00955031">
        <w:tc>
          <w:tcPr>
            <w:tcW w:w="14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C92EE" w14:textId="21165991" w:rsidR="00955031" w:rsidRPr="0007371A" w:rsidRDefault="00517C69">
            <w:pPr>
              <w:spacing w:before="120" w:after="60"/>
              <w:rPr>
                <w:rFonts w:asciiTheme="minorHAnsi" w:hAnsiTheme="minorHAnsi" w:cstheme="minorHAnsi"/>
                <w:color w:val="auto"/>
                <w:sz w:val="22"/>
                <w:szCs w:val="22"/>
              </w:rPr>
            </w:pPr>
            <w:r>
              <w:rPr>
                <w:rFonts w:asciiTheme="minorHAnsi" w:hAnsiTheme="minorHAnsi" w:cstheme="minorHAnsi"/>
                <w:iCs/>
                <w:color w:val="auto"/>
                <w:sz w:val="22"/>
                <w:szCs w:val="22"/>
              </w:rPr>
              <w:t>Our aim is to use Pupil P</w:t>
            </w:r>
            <w:r w:rsidR="00955031" w:rsidRPr="0007371A">
              <w:rPr>
                <w:rFonts w:asciiTheme="minorHAnsi" w:hAnsiTheme="minorHAnsi" w:cstheme="minorHAnsi"/>
                <w:iCs/>
                <w:color w:val="auto"/>
                <w:sz w:val="22"/>
                <w:szCs w:val="22"/>
              </w:rPr>
              <w:t xml:space="preserve">remium funding to help us achieve and sustain positive outcomes for our disadvantaged pupils. </w:t>
            </w:r>
            <w:r w:rsidR="00955031" w:rsidRPr="0007371A">
              <w:rPr>
                <w:rFonts w:asciiTheme="minorHAnsi" w:hAnsiTheme="minorHAnsi" w:cstheme="minorHAnsi"/>
                <w:color w:val="auto"/>
                <w:sz w:val="22"/>
                <w:szCs w:val="22"/>
              </w:rPr>
              <w:t>Whilst socio-economic disadvantage is not always the primary challenge our pupils face, we recognise that living with a learning or physical disability is made even more challenging where families are financially disadvantaged. We do see a variance in outcomes for disadvantaged pupils across the school when compared to their peers (and those who join us at similar starting points), particularly in terms of:</w:t>
            </w:r>
          </w:p>
          <w:p w14:paraId="79AA9E57" w14:textId="03AF3824" w:rsidR="00955031" w:rsidRPr="0007371A" w:rsidRDefault="00955031" w:rsidP="00955031">
            <w:pPr>
              <w:pStyle w:val="ListParagraph"/>
              <w:numPr>
                <w:ilvl w:val="0"/>
                <w:numId w:val="12"/>
              </w:numPr>
              <w:spacing w:after="0"/>
              <w:contextualSpacing/>
              <w:rPr>
                <w:rFonts w:asciiTheme="minorHAnsi" w:hAnsiTheme="minorHAnsi" w:cstheme="minorHAnsi"/>
                <w:color w:val="auto"/>
                <w:sz w:val="22"/>
                <w:szCs w:val="22"/>
              </w:rPr>
            </w:pPr>
            <w:r w:rsidRPr="0007371A">
              <w:rPr>
                <w:rFonts w:asciiTheme="minorHAnsi" w:hAnsiTheme="minorHAnsi" w:cstheme="minorHAnsi"/>
                <w:color w:val="auto"/>
                <w:sz w:val="22"/>
                <w:szCs w:val="22"/>
              </w:rPr>
              <w:t>Ease</w:t>
            </w:r>
            <w:r w:rsidR="003120E8">
              <w:rPr>
                <w:rFonts w:asciiTheme="minorHAnsi" w:hAnsiTheme="minorHAnsi" w:cstheme="minorHAnsi"/>
                <w:color w:val="auto"/>
                <w:sz w:val="22"/>
                <w:szCs w:val="22"/>
              </w:rPr>
              <w:t xml:space="preserve"> of access to services such as c</w:t>
            </w:r>
            <w:r w:rsidRPr="0007371A">
              <w:rPr>
                <w:rFonts w:asciiTheme="minorHAnsi" w:hAnsiTheme="minorHAnsi" w:cstheme="minorHAnsi"/>
                <w:color w:val="auto"/>
                <w:sz w:val="22"/>
                <w:szCs w:val="22"/>
              </w:rPr>
              <w:t>ounselling</w:t>
            </w:r>
            <w:r w:rsidR="003120E8">
              <w:rPr>
                <w:rFonts w:asciiTheme="minorHAnsi" w:hAnsiTheme="minorHAnsi" w:cstheme="minorHAnsi"/>
                <w:color w:val="auto"/>
                <w:sz w:val="22"/>
                <w:szCs w:val="22"/>
              </w:rPr>
              <w:t xml:space="preserve"> and other therapies</w:t>
            </w:r>
          </w:p>
          <w:p w14:paraId="21897175" w14:textId="5BA24713" w:rsidR="00955031" w:rsidRPr="0007371A" w:rsidRDefault="00955031" w:rsidP="00955031">
            <w:pPr>
              <w:pStyle w:val="ListParagraph"/>
              <w:numPr>
                <w:ilvl w:val="0"/>
                <w:numId w:val="12"/>
              </w:numPr>
              <w:ind w:left="714" w:hanging="357"/>
              <w:contextualSpacing/>
              <w:rPr>
                <w:rFonts w:asciiTheme="minorHAnsi" w:hAnsiTheme="minorHAnsi" w:cstheme="minorHAnsi"/>
                <w:color w:val="auto"/>
                <w:sz w:val="22"/>
                <w:szCs w:val="22"/>
              </w:rPr>
            </w:pPr>
            <w:r w:rsidRPr="0007371A">
              <w:rPr>
                <w:rFonts w:asciiTheme="minorHAnsi" w:hAnsiTheme="minorHAnsi" w:cstheme="minorHAnsi"/>
                <w:color w:val="auto"/>
                <w:sz w:val="22"/>
                <w:szCs w:val="22"/>
              </w:rPr>
              <w:t>Social opportunities</w:t>
            </w:r>
            <w:r w:rsidR="003120E8">
              <w:rPr>
                <w:rFonts w:asciiTheme="minorHAnsi" w:hAnsiTheme="minorHAnsi" w:cstheme="minorHAnsi"/>
                <w:color w:val="auto"/>
                <w:sz w:val="22"/>
                <w:szCs w:val="22"/>
              </w:rPr>
              <w:t xml:space="preserve"> (with peers or family)</w:t>
            </w:r>
          </w:p>
          <w:p w14:paraId="30D2671A" w14:textId="3250004F" w:rsidR="00955031" w:rsidRPr="0007371A" w:rsidRDefault="00955031">
            <w:pPr>
              <w:spacing w:after="120"/>
              <w:rPr>
                <w:rFonts w:asciiTheme="minorHAnsi" w:hAnsiTheme="minorHAnsi" w:cstheme="minorHAnsi"/>
                <w:color w:val="auto"/>
                <w:sz w:val="22"/>
                <w:szCs w:val="22"/>
              </w:rPr>
            </w:pPr>
            <w:r w:rsidRPr="0007371A">
              <w:rPr>
                <w:rFonts w:asciiTheme="minorHAnsi" w:hAnsiTheme="minorHAnsi" w:cstheme="minorHAnsi"/>
                <w:color w:val="auto"/>
                <w:sz w:val="22"/>
                <w:szCs w:val="22"/>
              </w:rPr>
              <w:t>At the heart of our approach is high-quality teaching focussed on areas where disadvantaged pupils require it most, targeted support based on robust diagnostic assessment of need, and helping pupils to access a broad, balanced and bespoke curriculum.</w:t>
            </w:r>
          </w:p>
          <w:p w14:paraId="12CA22DF" w14:textId="77777777" w:rsidR="00955031" w:rsidRPr="0007371A" w:rsidRDefault="00955031">
            <w:pPr>
              <w:spacing w:after="120"/>
              <w:rPr>
                <w:rFonts w:asciiTheme="minorHAnsi" w:hAnsiTheme="minorHAnsi" w:cstheme="minorHAnsi"/>
                <w:iCs/>
                <w:color w:val="auto"/>
                <w:sz w:val="22"/>
                <w:szCs w:val="22"/>
                <w:lang w:val="en-US"/>
              </w:rPr>
            </w:pPr>
            <w:r w:rsidRPr="0007371A">
              <w:rPr>
                <w:rFonts w:asciiTheme="minorHAnsi" w:hAnsiTheme="minorHAnsi" w:cstheme="minorHAnsi"/>
                <w:iCs/>
                <w:color w:val="auto"/>
                <w:sz w:val="22"/>
                <w:szCs w:val="22"/>
                <w:lang w:val="en-US"/>
              </w:rPr>
              <w:t xml:space="preserve">Although our strategy is focused on the needs of disadvantaged pupils, it will benefit all pupils in our school where funding is spent on whole-school approaches, such as high-quality teaching. Implicit in the intended outcomes detailed below, is the intention that outcomes for non-disadvantaged pupils will be improved alongside progress for their disadvantaged peers. </w:t>
            </w:r>
          </w:p>
          <w:p w14:paraId="6FA870FE" w14:textId="689AA9D0" w:rsidR="00955031" w:rsidRPr="0007371A" w:rsidRDefault="00955031">
            <w:pPr>
              <w:spacing w:after="120"/>
              <w:rPr>
                <w:rFonts w:asciiTheme="minorHAnsi" w:hAnsiTheme="minorHAnsi" w:cstheme="minorHAnsi"/>
                <w:color w:val="auto"/>
                <w:sz w:val="22"/>
                <w:szCs w:val="22"/>
              </w:rPr>
            </w:pPr>
            <w:r w:rsidRPr="0007371A">
              <w:rPr>
                <w:rFonts w:asciiTheme="minorHAnsi" w:hAnsiTheme="minorHAnsi" w:cstheme="minorHAnsi"/>
                <w:color w:val="auto"/>
                <w:sz w:val="22"/>
                <w:szCs w:val="22"/>
              </w:rPr>
              <w:t xml:space="preserve">We will also provide disadvantaged pupils with support to develop independent life and social skills and continue to ensure that high-quality work experience, careers </w:t>
            </w:r>
            <w:r w:rsidR="003120E8">
              <w:rPr>
                <w:rFonts w:asciiTheme="minorHAnsi" w:hAnsiTheme="minorHAnsi" w:cstheme="minorHAnsi"/>
                <w:color w:val="auto"/>
                <w:sz w:val="22"/>
                <w:szCs w:val="22"/>
              </w:rPr>
              <w:t xml:space="preserve">guidance and further </w:t>
            </w:r>
            <w:r w:rsidRPr="0007371A">
              <w:rPr>
                <w:rFonts w:asciiTheme="minorHAnsi" w:hAnsiTheme="minorHAnsi" w:cstheme="minorHAnsi"/>
                <w:color w:val="auto"/>
                <w:sz w:val="22"/>
                <w:szCs w:val="22"/>
              </w:rPr>
              <w:t xml:space="preserve">education guidance is available to all. </w:t>
            </w:r>
          </w:p>
          <w:p w14:paraId="24D1131B" w14:textId="0ADF90C3" w:rsidR="00955031" w:rsidRPr="0007371A" w:rsidRDefault="003120E8" w:rsidP="003120E8">
            <w:pPr>
              <w:spacing w:after="120"/>
              <w:rPr>
                <w:rFonts w:asciiTheme="minorHAnsi" w:hAnsiTheme="minorHAnsi" w:cstheme="minorHAnsi"/>
                <w:color w:val="0070C0"/>
                <w:sz w:val="22"/>
                <w:szCs w:val="22"/>
              </w:rPr>
            </w:pPr>
            <w:r>
              <w:rPr>
                <w:rFonts w:asciiTheme="minorHAnsi" w:hAnsiTheme="minorHAnsi" w:cstheme="minorHAnsi"/>
                <w:color w:val="auto"/>
                <w:sz w:val="22"/>
                <w:szCs w:val="22"/>
              </w:rPr>
              <w:t xml:space="preserve">Our strategy is </w:t>
            </w:r>
            <w:r w:rsidR="00955031" w:rsidRPr="0007371A">
              <w:rPr>
                <w:rFonts w:asciiTheme="minorHAnsi" w:hAnsiTheme="minorHAnsi" w:cstheme="minorHAnsi"/>
                <w:color w:val="auto"/>
                <w:sz w:val="22"/>
                <w:szCs w:val="22"/>
              </w:rPr>
              <w:t>driven by the needs and strengths of each young person, based on form</w:t>
            </w:r>
            <w:r>
              <w:rPr>
                <w:rFonts w:asciiTheme="minorHAnsi" w:hAnsiTheme="minorHAnsi" w:cstheme="minorHAnsi"/>
                <w:color w:val="auto"/>
                <w:sz w:val="22"/>
                <w:szCs w:val="22"/>
              </w:rPr>
              <w:t>al and informal assessments</w:t>
            </w:r>
            <w:r w:rsidR="00955031" w:rsidRPr="0007371A">
              <w:rPr>
                <w:rFonts w:asciiTheme="minorHAnsi" w:hAnsiTheme="minorHAnsi" w:cstheme="minorHAnsi"/>
                <w:color w:val="auto"/>
                <w:sz w:val="22"/>
                <w:szCs w:val="22"/>
              </w:rPr>
              <w:t xml:space="preserve">. This will help us to ensure that we offer them the relevant skills and experience they require to be </w:t>
            </w:r>
            <w:r w:rsidR="0007371A" w:rsidRPr="0007371A">
              <w:rPr>
                <w:rFonts w:asciiTheme="minorHAnsi" w:hAnsiTheme="minorHAnsi" w:cstheme="minorHAnsi"/>
                <w:color w:val="auto"/>
                <w:sz w:val="22"/>
                <w:szCs w:val="22"/>
              </w:rPr>
              <w:t>prepared for adulthoo</w:t>
            </w:r>
            <w:r w:rsidR="00955031" w:rsidRPr="0007371A">
              <w:rPr>
                <w:rFonts w:asciiTheme="minorHAnsi" w:hAnsiTheme="minorHAnsi" w:cstheme="minorHAnsi"/>
                <w:color w:val="auto"/>
                <w:sz w:val="22"/>
                <w:szCs w:val="22"/>
              </w:rPr>
              <w:t>d.</w:t>
            </w:r>
          </w:p>
        </w:tc>
      </w:tr>
    </w:tbl>
    <w:p w14:paraId="59C3FF69" w14:textId="421BC70D" w:rsidR="0007371A" w:rsidRDefault="0007371A" w:rsidP="0007371A">
      <w:pPr>
        <w:pStyle w:val="Heading2"/>
        <w:spacing w:before="600"/>
        <w:rPr>
          <w:rFonts w:asciiTheme="minorHAnsi" w:hAnsiTheme="minorHAnsi" w:cstheme="minorHAnsi"/>
          <w:sz w:val="22"/>
          <w:szCs w:val="22"/>
        </w:rPr>
      </w:pPr>
    </w:p>
    <w:p w14:paraId="3EB00A73" w14:textId="3DCB3316" w:rsidR="0007371A" w:rsidRDefault="0007371A" w:rsidP="0007371A"/>
    <w:p w14:paraId="3773AF01" w14:textId="77777777" w:rsidR="0007371A" w:rsidRPr="0007371A" w:rsidRDefault="0007371A" w:rsidP="0007371A"/>
    <w:p w14:paraId="3E78257A" w14:textId="5C91A06B" w:rsidR="0007371A" w:rsidRPr="00517C69" w:rsidRDefault="0007371A" w:rsidP="0007371A">
      <w:pPr>
        <w:pStyle w:val="Heading2"/>
        <w:spacing w:before="600"/>
        <w:rPr>
          <w:rFonts w:asciiTheme="minorHAnsi" w:hAnsiTheme="minorHAnsi" w:cstheme="minorHAnsi"/>
          <w:sz w:val="28"/>
          <w:szCs w:val="28"/>
        </w:rPr>
      </w:pPr>
      <w:r w:rsidRPr="00517C69">
        <w:rPr>
          <w:rFonts w:asciiTheme="minorHAnsi" w:hAnsiTheme="minorHAnsi" w:cstheme="minorHAnsi"/>
          <w:sz w:val="28"/>
          <w:szCs w:val="28"/>
        </w:rPr>
        <w:lastRenderedPageBreak/>
        <w:t>Challenges</w:t>
      </w:r>
    </w:p>
    <w:p w14:paraId="224289B8" w14:textId="77777777" w:rsidR="0007371A" w:rsidRPr="0007371A" w:rsidRDefault="0007371A" w:rsidP="0007371A">
      <w:pPr>
        <w:rPr>
          <w:rFonts w:asciiTheme="minorHAnsi" w:hAnsiTheme="minorHAnsi" w:cstheme="minorHAnsi"/>
          <w:sz w:val="22"/>
          <w:szCs w:val="22"/>
        </w:rPr>
      </w:pPr>
      <w:r w:rsidRPr="0007371A">
        <w:rPr>
          <w:rFonts w:asciiTheme="minorHAnsi" w:hAnsiTheme="minorHAnsi" w:cstheme="minorHAnsi"/>
          <w:bCs/>
          <w:sz w:val="22"/>
          <w:szCs w:val="22"/>
        </w:rPr>
        <w:t>This details</w:t>
      </w:r>
      <w:r w:rsidRPr="0007371A">
        <w:rPr>
          <w:rFonts w:asciiTheme="minorHAnsi" w:hAnsiTheme="minorHAnsi" w:cstheme="minorHAnsi"/>
          <w:sz w:val="22"/>
          <w:szCs w:val="22"/>
        </w:rPr>
        <w:t xml:space="preserve"> the key</w:t>
      </w:r>
      <w:r w:rsidRPr="0007371A">
        <w:rPr>
          <w:rFonts w:asciiTheme="minorHAnsi" w:hAnsiTheme="minorHAnsi" w:cstheme="minorHAnsi"/>
          <w:bCs/>
          <w:sz w:val="22"/>
          <w:szCs w:val="22"/>
        </w:rPr>
        <w:t xml:space="preserve"> </w:t>
      </w:r>
      <w:r w:rsidRPr="0007371A">
        <w:rPr>
          <w:rFonts w:asciiTheme="minorHAnsi" w:hAnsiTheme="minorHAnsi" w:cstheme="minorHAnsi"/>
          <w:sz w:val="22"/>
          <w:szCs w:val="22"/>
        </w:rPr>
        <w:t xml:space="preserve">challenges to </w:t>
      </w:r>
      <w:r w:rsidRPr="0007371A">
        <w:rPr>
          <w:rFonts w:asciiTheme="minorHAnsi" w:hAnsiTheme="minorHAnsi" w:cstheme="minorHAnsi"/>
          <w:bCs/>
          <w:sz w:val="22"/>
          <w:szCs w:val="22"/>
        </w:rPr>
        <w:t>achievement that we have</w:t>
      </w:r>
      <w:r w:rsidRPr="0007371A">
        <w:rPr>
          <w:rFonts w:asciiTheme="minorHAnsi" w:hAnsiTheme="minorHAnsi" w:cstheme="minorHAnsi"/>
          <w:sz w:val="22"/>
          <w:szCs w:val="22"/>
        </w:rPr>
        <w:t xml:space="preserve"> identified among </w:t>
      </w:r>
      <w:r w:rsidRPr="0007371A">
        <w:rPr>
          <w:rFonts w:asciiTheme="minorHAnsi" w:hAnsiTheme="minorHAnsi" w:cstheme="minorHAnsi"/>
          <w:bCs/>
          <w:sz w:val="22"/>
          <w:szCs w:val="22"/>
        </w:rPr>
        <w:t>our</w:t>
      </w:r>
      <w:r w:rsidRPr="0007371A">
        <w:rPr>
          <w:rFonts w:asciiTheme="minorHAnsi" w:hAnsiTheme="minorHAnsi" w:cstheme="minorHAnsi"/>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226"/>
        <w:gridCol w:w="13334"/>
      </w:tblGrid>
      <w:tr w:rsidR="0007371A" w:rsidRPr="0007371A" w14:paraId="1BADA9EE" w14:textId="77777777" w:rsidTr="0007371A">
        <w:tc>
          <w:tcPr>
            <w:tcW w:w="12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6DAA2DDC" w14:textId="77777777" w:rsidR="0007371A" w:rsidRPr="0007371A" w:rsidRDefault="0007371A">
            <w:pPr>
              <w:pStyle w:val="TableHeader"/>
              <w:jc w:val="left"/>
              <w:rPr>
                <w:rFonts w:asciiTheme="minorHAnsi" w:hAnsiTheme="minorHAnsi" w:cstheme="minorHAnsi"/>
                <w:sz w:val="22"/>
                <w:szCs w:val="22"/>
              </w:rPr>
            </w:pPr>
            <w:r w:rsidRPr="0007371A">
              <w:rPr>
                <w:rFonts w:asciiTheme="minorHAnsi" w:hAnsiTheme="minorHAnsi" w:cstheme="minorHAnsi"/>
                <w:sz w:val="22"/>
                <w:szCs w:val="22"/>
              </w:rPr>
              <w:t>Challenge number</w:t>
            </w:r>
          </w:p>
        </w:tc>
        <w:tc>
          <w:tcPr>
            <w:tcW w:w="133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34AE3ED8" w14:textId="77777777" w:rsidR="0007371A" w:rsidRPr="0007371A" w:rsidRDefault="0007371A">
            <w:pPr>
              <w:pStyle w:val="TableHeader"/>
              <w:jc w:val="left"/>
              <w:rPr>
                <w:rFonts w:asciiTheme="minorHAnsi" w:hAnsiTheme="minorHAnsi" w:cstheme="minorHAnsi"/>
                <w:sz w:val="22"/>
                <w:szCs w:val="22"/>
              </w:rPr>
            </w:pPr>
            <w:r w:rsidRPr="0007371A">
              <w:rPr>
                <w:rFonts w:asciiTheme="minorHAnsi" w:hAnsiTheme="minorHAnsi" w:cstheme="minorHAnsi"/>
                <w:sz w:val="22"/>
                <w:szCs w:val="22"/>
              </w:rPr>
              <w:t xml:space="preserve">Detail of challenge </w:t>
            </w:r>
          </w:p>
        </w:tc>
      </w:tr>
      <w:tr w:rsidR="0007371A" w:rsidRPr="0007371A" w14:paraId="1AB5F43A" w14:textId="77777777" w:rsidTr="0007371A">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C81B2" w14:textId="21FBA3B4" w:rsidR="0007371A" w:rsidRPr="0007371A" w:rsidRDefault="0007371A" w:rsidP="0007371A">
            <w:pPr>
              <w:pStyle w:val="TableRow"/>
              <w:ind w:left="0"/>
              <w:jc w:val="both"/>
              <w:rPr>
                <w:rFonts w:asciiTheme="minorHAnsi" w:hAnsiTheme="minorHAnsi" w:cstheme="minorHAnsi"/>
                <w:sz w:val="22"/>
                <w:szCs w:val="22"/>
              </w:rPr>
            </w:pPr>
            <w:r w:rsidRPr="0007371A">
              <w:rPr>
                <w:rFonts w:asciiTheme="minorHAnsi" w:hAnsiTheme="minorHAnsi" w:cstheme="minorHAnsi"/>
                <w:sz w:val="22"/>
                <w:szCs w:val="22"/>
              </w:rPr>
              <w:t>1</w:t>
            </w:r>
          </w:p>
        </w:tc>
        <w:tc>
          <w:tcPr>
            <w:tcW w:w="13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87B7A" w14:textId="25515B3A" w:rsidR="0007371A" w:rsidRPr="0007371A" w:rsidRDefault="0007371A" w:rsidP="0007371A">
            <w:pPr>
              <w:pStyle w:val="TableRowCentered"/>
              <w:spacing w:after="120"/>
              <w:jc w:val="left"/>
              <w:rPr>
                <w:rFonts w:asciiTheme="minorHAnsi" w:hAnsiTheme="minorHAnsi" w:cstheme="minorHAnsi"/>
                <w:color w:val="auto"/>
                <w:sz w:val="22"/>
                <w:szCs w:val="22"/>
                <w:highlight w:val="yellow"/>
              </w:rPr>
            </w:pPr>
            <w:r w:rsidRPr="0007371A">
              <w:rPr>
                <w:rFonts w:asciiTheme="minorHAnsi" w:hAnsiTheme="minorHAnsi" w:cstheme="minorHAnsi"/>
                <w:sz w:val="22"/>
                <w:szCs w:val="22"/>
              </w:rPr>
              <w:t xml:space="preserve">Difficulties with emotional literacy </w:t>
            </w:r>
            <w:r w:rsidR="00566733">
              <w:rPr>
                <w:rFonts w:asciiTheme="minorHAnsi" w:hAnsiTheme="minorHAnsi" w:cstheme="minorHAnsi"/>
                <w:sz w:val="22"/>
                <w:szCs w:val="22"/>
              </w:rPr>
              <w:t>(affecting behaviour/relation</w:t>
            </w:r>
            <w:r w:rsidR="00566733" w:rsidRPr="00566733">
              <w:rPr>
                <w:rFonts w:asciiTheme="minorHAnsi" w:hAnsiTheme="minorHAnsi" w:cstheme="minorHAnsi"/>
                <w:sz w:val="22"/>
                <w:szCs w:val="22"/>
              </w:rPr>
              <w:t>ships/independence/access to employment/work experience)</w:t>
            </w:r>
          </w:p>
        </w:tc>
      </w:tr>
      <w:tr w:rsidR="0007371A" w:rsidRPr="0007371A" w14:paraId="2DB66230" w14:textId="77777777" w:rsidTr="0007371A">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7271E" w14:textId="5547A276" w:rsidR="0007371A" w:rsidRPr="0007371A" w:rsidRDefault="0007371A" w:rsidP="0007371A">
            <w:pPr>
              <w:pStyle w:val="TableRow"/>
              <w:ind w:left="0"/>
              <w:jc w:val="both"/>
              <w:rPr>
                <w:rFonts w:asciiTheme="minorHAnsi" w:hAnsiTheme="minorHAnsi" w:cstheme="minorHAnsi"/>
                <w:sz w:val="22"/>
                <w:szCs w:val="22"/>
              </w:rPr>
            </w:pPr>
            <w:r w:rsidRPr="0007371A">
              <w:rPr>
                <w:rFonts w:asciiTheme="minorHAnsi" w:hAnsiTheme="minorHAnsi" w:cstheme="minorHAnsi"/>
                <w:sz w:val="22"/>
                <w:szCs w:val="22"/>
              </w:rPr>
              <w:t>2</w:t>
            </w:r>
          </w:p>
        </w:tc>
        <w:tc>
          <w:tcPr>
            <w:tcW w:w="13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47FC3" w14:textId="673D42C6" w:rsidR="0007371A" w:rsidRPr="0007371A" w:rsidRDefault="0007371A" w:rsidP="0007371A">
            <w:pPr>
              <w:pStyle w:val="TableRowCentered"/>
              <w:spacing w:after="120"/>
              <w:jc w:val="left"/>
              <w:rPr>
                <w:rFonts w:asciiTheme="minorHAnsi" w:hAnsiTheme="minorHAnsi" w:cstheme="minorHAnsi"/>
                <w:color w:val="auto"/>
                <w:sz w:val="22"/>
                <w:szCs w:val="22"/>
                <w:highlight w:val="yellow"/>
              </w:rPr>
            </w:pPr>
            <w:r w:rsidRPr="0007371A">
              <w:rPr>
                <w:rFonts w:asciiTheme="minorHAnsi" w:hAnsiTheme="minorHAnsi" w:cstheme="minorHAnsi"/>
                <w:sz w:val="22"/>
                <w:szCs w:val="22"/>
              </w:rPr>
              <w:t>Difficulties with communication (</w:t>
            </w:r>
            <w:r>
              <w:rPr>
                <w:rFonts w:asciiTheme="minorHAnsi" w:hAnsiTheme="minorHAnsi" w:cstheme="minorHAnsi"/>
                <w:sz w:val="22"/>
                <w:szCs w:val="22"/>
              </w:rPr>
              <w:t>affecting behaviour</w:t>
            </w:r>
            <w:r w:rsidRPr="0007371A">
              <w:rPr>
                <w:rFonts w:asciiTheme="minorHAnsi" w:hAnsiTheme="minorHAnsi" w:cstheme="minorHAnsi"/>
                <w:sz w:val="22"/>
                <w:szCs w:val="22"/>
              </w:rPr>
              <w:t>/</w:t>
            </w:r>
            <w:r w:rsidR="00566733">
              <w:rPr>
                <w:rFonts w:asciiTheme="minorHAnsi" w:hAnsiTheme="minorHAnsi" w:cstheme="minorHAnsi"/>
                <w:sz w:val="22"/>
                <w:szCs w:val="22"/>
              </w:rPr>
              <w:t>relation</w:t>
            </w:r>
            <w:r>
              <w:rPr>
                <w:rFonts w:asciiTheme="minorHAnsi" w:hAnsiTheme="minorHAnsi" w:cstheme="minorHAnsi"/>
                <w:sz w:val="22"/>
                <w:szCs w:val="22"/>
              </w:rPr>
              <w:t>ships/</w:t>
            </w:r>
            <w:r w:rsidRPr="0007371A">
              <w:rPr>
                <w:rFonts w:asciiTheme="minorHAnsi" w:hAnsiTheme="minorHAnsi" w:cstheme="minorHAnsi"/>
                <w:sz w:val="22"/>
                <w:szCs w:val="22"/>
              </w:rPr>
              <w:t>independence</w:t>
            </w:r>
            <w:r>
              <w:rPr>
                <w:rFonts w:asciiTheme="minorHAnsi" w:hAnsiTheme="minorHAnsi" w:cstheme="minorHAnsi"/>
                <w:sz w:val="22"/>
                <w:szCs w:val="22"/>
              </w:rPr>
              <w:t>/access to employment/work experience)</w:t>
            </w:r>
          </w:p>
        </w:tc>
      </w:tr>
      <w:tr w:rsidR="0007371A" w:rsidRPr="0007371A" w14:paraId="106EBA56" w14:textId="77777777" w:rsidTr="0007371A">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19923" w14:textId="54F6609E" w:rsidR="0007371A" w:rsidRPr="0007371A" w:rsidRDefault="0007371A" w:rsidP="0007371A">
            <w:pPr>
              <w:pStyle w:val="TableRow"/>
              <w:ind w:left="0"/>
              <w:jc w:val="both"/>
              <w:rPr>
                <w:rFonts w:asciiTheme="minorHAnsi" w:hAnsiTheme="minorHAnsi" w:cstheme="minorHAnsi"/>
                <w:sz w:val="22"/>
                <w:szCs w:val="22"/>
              </w:rPr>
            </w:pPr>
            <w:r w:rsidRPr="0007371A">
              <w:rPr>
                <w:rFonts w:asciiTheme="minorHAnsi" w:hAnsiTheme="minorHAnsi" w:cstheme="minorHAnsi"/>
                <w:sz w:val="22"/>
                <w:szCs w:val="22"/>
              </w:rPr>
              <w:t>3</w:t>
            </w:r>
          </w:p>
        </w:tc>
        <w:tc>
          <w:tcPr>
            <w:tcW w:w="13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CBB6B" w14:textId="1E4516B3" w:rsidR="0007371A" w:rsidRPr="0007371A" w:rsidRDefault="0007371A" w:rsidP="0007371A">
            <w:pPr>
              <w:pStyle w:val="TableRowCentered"/>
              <w:spacing w:after="120"/>
              <w:jc w:val="left"/>
              <w:rPr>
                <w:rFonts w:asciiTheme="minorHAnsi" w:hAnsiTheme="minorHAnsi" w:cstheme="minorHAnsi"/>
                <w:color w:val="auto"/>
                <w:sz w:val="22"/>
                <w:szCs w:val="22"/>
                <w:highlight w:val="yellow"/>
              </w:rPr>
            </w:pPr>
            <w:r w:rsidRPr="0007371A">
              <w:rPr>
                <w:rFonts w:asciiTheme="minorHAnsi" w:hAnsiTheme="minorHAnsi" w:cstheme="minorHAnsi"/>
                <w:sz w:val="22"/>
                <w:szCs w:val="22"/>
              </w:rPr>
              <w:t>Families not as able to access the community or enrichment activities with their children outside of school hours</w:t>
            </w:r>
          </w:p>
        </w:tc>
      </w:tr>
      <w:tr w:rsidR="0007371A" w:rsidRPr="0007371A" w14:paraId="09BE2F44" w14:textId="77777777" w:rsidTr="0007371A">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75A29" w14:textId="30AB5D70" w:rsidR="0007371A" w:rsidRPr="0007371A" w:rsidRDefault="0007371A" w:rsidP="0007371A">
            <w:pPr>
              <w:pStyle w:val="TableRow"/>
              <w:ind w:left="0"/>
              <w:jc w:val="both"/>
              <w:rPr>
                <w:rFonts w:asciiTheme="minorHAnsi" w:hAnsiTheme="minorHAnsi" w:cstheme="minorHAnsi"/>
                <w:sz w:val="22"/>
                <w:szCs w:val="22"/>
              </w:rPr>
            </w:pPr>
            <w:r>
              <w:rPr>
                <w:rFonts w:asciiTheme="minorHAnsi" w:hAnsiTheme="minorHAnsi" w:cstheme="minorHAnsi"/>
                <w:sz w:val="22"/>
                <w:szCs w:val="22"/>
              </w:rPr>
              <w:t>4</w:t>
            </w:r>
          </w:p>
        </w:tc>
        <w:tc>
          <w:tcPr>
            <w:tcW w:w="13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AAFFB" w14:textId="559473AF" w:rsidR="0007371A" w:rsidRPr="0007371A" w:rsidRDefault="0007371A" w:rsidP="0007371A">
            <w:pPr>
              <w:pStyle w:val="TableRowCentered"/>
              <w:spacing w:after="120"/>
              <w:jc w:val="left"/>
              <w:rPr>
                <w:rFonts w:asciiTheme="minorHAnsi" w:hAnsiTheme="minorHAnsi" w:cstheme="minorHAnsi"/>
                <w:color w:val="auto"/>
                <w:sz w:val="22"/>
                <w:szCs w:val="22"/>
                <w:highlight w:val="yellow"/>
              </w:rPr>
            </w:pPr>
            <w:r w:rsidRPr="0007371A">
              <w:rPr>
                <w:rFonts w:asciiTheme="minorHAnsi" w:hAnsiTheme="minorHAnsi" w:cstheme="minorHAnsi"/>
                <w:sz w:val="22"/>
                <w:szCs w:val="22"/>
              </w:rPr>
              <w:t>Disordered attachment, resulting in behaviour support needs</w:t>
            </w:r>
            <w:r w:rsidR="00566733">
              <w:rPr>
                <w:rFonts w:asciiTheme="minorHAnsi" w:hAnsiTheme="minorHAnsi" w:cstheme="minorHAnsi"/>
                <w:sz w:val="22"/>
                <w:szCs w:val="22"/>
              </w:rPr>
              <w:t xml:space="preserve"> (affecting behaviour</w:t>
            </w:r>
            <w:r w:rsidR="00566733" w:rsidRPr="0007371A">
              <w:rPr>
                <w:rFonts w:asciiTheme="minorHAnsi" w:hAnsiTheme="minorHAnsi" w:cstheme="minorHAnsi"/>
                <w:sz w:val="22"/>
                <w:szCs w:val="22"/>
              </w:rPr>
              <w:t>/</w:t>
            </w:r>
            <w:r w:rsidR="00566733">
              <w:rPr>
                <w:rFonts w:asciiTheme="minorHAnsi" w:hAnsiTheme="minorHAnsi" w:cstheme="minorHAnsi"/>
                <w:sz w:val="22"/>
                <w:szCs w:val="22"/>
              </w:rPr>
              <w:t>relationships/</w:t>
            </w:r>
            <w:r w:rsidR="00566733" w:rsidRPr="0007371A">
              <w:rPr>
                <w:rFonts w:asciiTheme="minorHAnsi" w:hAnsiTheme="minorHAnsi" w:cstheme="minorHAnsi"/>
                <w:sz w:val="22"/>
                <w:szCs w:val="22"/>
              </w:rPr>
              <w:t>independence</w:t>
            </w:r>
            <w:r w:rsidR="00566733">
              <w:rPr>
                <w:rFonts w:asciiTheme="minorHAnsi" w:hAnsiTheme="minorHAnsi" w:cstheme="minorHAnsi"/>
                <w:sz w:val="22"/>
                <w:szCs w:val="22"/>
              </w:rPr>
              <w:t>/access to employment/work experience)</w:t>
            </w:r>
          </w:p>
        </w:tc>
      </w:tr>
    </w:tbl>
    <w:p w14:paraId="0266BC20" w14:textId="597175DC" w:rsidR="00EC71AB" w:rsidRDefault="00EC71AB" w:rsidP="00EC71AB">
      <w:pPr>
        <w:pStyle w:val="Heading2"/>
        <w:spacing w:before="600"/>
        <w:rPr>
          <w:rFonts w:asciiTheme="minorHAnsi" w:hAnsiTheme="minorHAnsi" w:cstheme="minorHAnsi"/>
          <w:sz w:val="28"/>
          <w:szCs w:val="28"/>
        </w:rPr>
      </w:pPr>
    </w:p>
    <w:p w14:paraId="36378203" w14:textId="361FF0D4" w:rsidR="0007371A" w:rsidRPr="00517C69" w:rsidRDefault="0007371A" w:rsidP="0007371A">
      <w:pPr>
        <w:pStyle w:val="Heading2"/>
        <w:spacing w:before="600"/>
        <w:rPr>
          <w:rFonts w:asciiTheme="minorHAnsi" w:hAnsiTheme="minorHAnsi" w:cstheme="minorHAnsi"/>
          <w:sz w:val="28"/>
          <w:szCs w:val="28"/>
        </w:rPr>
      </w:pPr>
      <w:r w:rsidRPr="00517C69">
        <w:rPr>
          <w:rFonts w:asciiTheme="minorHAnsi" w:hAnsiTheme="minorHAnsi" w:cstheme="minorHAnsi"/>
          <w:sz w:val="28"/>
          <w:szCs w:val="28"/>
        </w:rPr>
        <w:t xml:space="preserve">Intended outcomes </w:t>
      </w:r>
    </w:p>
    <w:p w14:paraId="0A838C54" w14:textId="77777777" w:rsidR="0007371A" w:rsidRPr="002A7C01" w:rsidRDefault="0007371A" w:rsidP="0007371A">
      <w:pPr>
        <w:rPr>
          <w:rFonts w:asciiTheme="minorHAnsi" w:hAnsiTheme="minorHAnsi" w:cstheme="minorHAnsi"/>
          <w:sz w:val="22"/>
          <w:szCs w:val="22"/>
        </w:rPr>
      </w:pPr>
      <w:r w:rsidRPr="002A7C01">
        <w:rPr>
          <w:rFonts w:asciiTheme="minorHAnsi" w:hAnsiTheme="minorHAnsi" w:cstheme="minorHAnsi"/>
          <w:color w:val="auto"/>
          <w:sz w:val="22"/>
          <w:szCs w:val="22"/>
        </w:rPr>
        <w:t xml:space="preserve">This explains the outcomes we are aiming for </w:t>
      </w:r>
      <w:r w:rsidRPr="002A7C01">
        <w:rPr>
          <w:rFonts w:asciiTheme="minorHAnsi" w:hAnsiTheme="minorHAnsi" w:cstheme="minorHAnsi"/>
          <w:b/>
          <w:bCs/>
          <w:color w:val="auto"/>
          <w:sz w:val="22"/>
          <w:szCs w:val="22"/>
        </w:rPr>
        <w:t>by the end of our current strategy plan</w:t>
      </w:r>
      <w:r w:rsidRPr="002A7C01">
        <w:rPr>
          <w:rFonts w:asciiTheme="minorHAnsi" w:hAnsiTheme="minorHAnsi" w:cstheme="minorHAnsi"/>
          <w:color w:val="auto"/>
          <w:sz w:val="22"/>
          <w:szCs w:val="22"/>
        </w:rPr>
        <w:t>, and how we will measure whether they have been achieved.</w:t>
      </w:r>
    </w:p>
    <w:tbl>
      <w:tblPr>
        <w:tblW w:w="4905" w:type="pct"/>
        <w:tblInd w:w="279" w:type="dxa"/>
        <w:tblCellMar>
          <w:left w:w="10" w:type="dxa"/>
          <w:right w:w="10" w:type="dxa"/>
        </w:tblCellMar>
        <w:tblLook w:val="04A0" w:firstRow="1" w:lastRow="0" w:firstColumn="1" w:lastColumn="0" w:noHBand="0" w:noVBand="1"/>
      </w:tblPr>
      <w:tblGrid>
        <w:gridCol w:w="425"/>
        <w:gridCol w:w="6379"/>
        <w:gridCol w:w="7479"/>
      </w:tblGrid>
      <w:tr w:rsidR="00517C69" w:rsidRPr="002A7C01" w14:paraId="17C95CED" w14:textId="77777777" w:rsidTr="00517C69">
        <w:tc>
          <w:tcPr>
            <w:tcW w:w="425" w:type="dxa"/>
            <w:tcBorders>
              <w:top w:val="single" w:sz="4" w:space="0" w:color="000000"/>
              <w:left w:val="single" w:sz="4" w:space="0" w:color="000000"/>
              <w:bottom w:val="single" w:sz="4" w:space="0" w:color="000000"/>
              <w:right w:val="single" w:sz="4" w:space="0" w:color="000000"/>
            </w:tcBorders>
            <w:shd w:val="clear" w:color="auto" w:fill="D8E2E9"/>
          </w:tcPr>
          <w:p w14:paraId="160FC3A3" w14:textId="77777777" w:rsidR="00517C69" w:rsidRPr="002A7C01" w:rsidRDefault="00517C69">
            <w:pPr>
              <w:pStyle w:val="TableHeader"/>
              <w:jc w:val="left"/>
              <w:rPr>
                <w:rFonts w:asciiTheme="minorHAnsi" w:hAnsiTheme="minorHAnsi" w:cstheme="minorHAnsi"/>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73AB20D2" w14:textId="7D613A8A" w:rsidR="00517C69" w:rsidRPr="002A7C01" w:rsidRDefault="00517C69">
            <w:pPr>
              <w:pStyle w:val="TableHeader"/>
              <w:jc w:val="left"/>
              <w:rPr>
                <w:rFonts w:asciiTheme="minorHAnsi" w:hAnsiTheme="minorHAnsi" w:cstheme="minorHAnsi"/>
                <w:sz w:val="22"/>
                <w:szCs w:val="22"/>
              </w:rPr>
            </w:pPr>
            <w:r w:rsidRPr="002A7C01">
              <w:rPr>
                <w:rFonts w:asciiTheme="minorHAnsi" w:hAnsiTheme="minorHAnsi" w:cstheme="minorHAnsi"/>
                <w:sz w:val="22"/>
                <w:szCs w:val="22"/>
              </w:rPr>
              <w:t>Intended outcome</w:t>
            </w:r>
          </w:p>
        </w:tc>
        <w:tc>
          <w:tcPr>
            <w:tcW w:w="74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716FBDF" w14:textId="77777777" w:rsidR="00517C69" w:rsidRPr="002A7C01" w:rsidRDefault="00517C69">
            <w:pPr>
              <w:pStyle w:val="TableHeader"/>
              <w:jc w:val="left"/>
              <w:rPr>
                <w:rFonts w:asciiTheme="minorHAnsi" w:hAnsiTheme="minorHAnsi" w:cstheme="minorHAnsi"/>
                <w:sz w:val="22"/>
                <w:szCs w:val="22"/>
              </w:rPr>
            </w:pPr>
            <w:r w:rsidRPr="002A7C01">
              <w:rPr>
                <w:rFonts w:asciiTheme="minorHAnsi" w:hAnsiTheme="minorHAnsi" w:cstheme="minorHAnsi"/>
                <w:sz w:val="22"/>
                <w:szCs w:val="22"/>
              </w:rPr>
              <w:t>Success criteria</w:t>
            </w:r>
          </w:p>
        </w:tc>
      </w:tr>
      <w:tr w:rsidR="00517C69" w:rsidRPr="002A7C01" w14:paraId="61E05487" w14:textId="77777777" w:rsidTr="00517C69">
        <w:tc>
          <w:tcPr>
            <w:tcW w:w="425" w:type="dxa"/>
            <w:tcBorders>
              <w:top w:val="single" w:sz="4" w:space="0" w:color="000000"/>
              <w:left w:val="single" w:sz="4" w:space="0" w:color="000000"/>
              <w:bottom w:val="single" w:sz="4" w:space="0" w:color="000000"/>
              <w:right w:val="single" w:sz="4" w:space="0" w:color="000000"/>
            </w:tcBorders>
          </w:tcPr>
          <w:p w14:paraId="6B792174" w14:textId="4DA01773" w:rsidR="00517C69" w:rsidRPr="002A7C01" w:rsidRDefault="00517C69">
            <w:pPr>
              <w:pStyle w:val="TableRow"/>
              <w:rPr>
                <w:rFonts w:asciiTheme="minorHAnsi" w:hAnsiTheme="minorHAnsi" w:cstheme="minorHAnsi"/>
                <w:color w:val="auto"/>
                <w:sz w:val="22"/>
                <w:szCs w:val="22"/>
              </w:rPr>
            </w:pPr>
            <w:r>
              <w:rPr>
                <w:rFonts w:asciiTheme="minorHAnsi" w:hAnsiTheme="minorHAnsi" w:cstheme="minorHAnsi"/>
                <w:color w:val="auto"/>
                <w:sz w:val="22"/>
                <w:szCs w:val="22"/>
              </w:rPr>
              <w:t>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3E27F" w14:textId="75D0EF4C" w:rsidR="00517C69" w:rsidRPr="002A7C01" w:rsidRDefault="00517C69">
            <w:pPr>
              <w:pStyle w:val="TableRow"/>
              <w:rPr>
                <w:rFonts w:asciiTheme="minorHAnsi" w:hAnsiTheme="minorHAnsi" w:cstheme="minorHAnsi"/>
                <w:color w:val="auto"/>
                <w:sz w:val="22"/>
                <w:szCs w:val="22"/>
                <w:highlight w:val="yellow"/>
              </w:rPr>
            </w:pPr>
            <w:r w:rsidRPr="002A7C01">
              <w:rPr>
                <w:rFonts w:asciiTheme="minorHAnsi" w:hAnsiTheme="minorHAnsi" w:cstheme="minorHAnsi"/>
                <w:color w:val="auto"/>
                <w:sz w:val="22"/>
                <w:szCs w:val="22"/>
              </w:rPr>
              <w:t xml:space="preserve">Improved emotional literacy in individual students who have previously found this difficult. </w:t>
            </w:r>
          </w:p>
        </w:tc>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72AC4" w14:textId="4C9BB8F5" w:rsidR="00517C69" w:rsidRPr="002A7C01" w:rsidRDefault="00517C69" w:rsidP="00EC71AB">
            <w:pPr>
              <w:pStyle w:val="TableRowCentered"/>
              <w:spacing w:after="120"/>
              <w:ind w:left="34"/>
              <w:jc w:val="left"/>
              <w:rPr>
                <w:rFonts w:asciiTheme="minorHAnsi" w:hAnsiTheme="minorHAnsi" w:cstheme="minorHAnsi"/>
                <w:color w:val="auto"/>
                <w:sz w:val="22"/>
                <w:szCs w:val="22"/>
                <w:highlight w:val="yellow"/>
              </w:rPr>
            </w:pPr>
            <w:r w:rsidRPr="002A7C01">
              <w:rPr>
                <w:rFonts w:asciiTheme="minorHAnsi" w:hAnsiTheme="minorHAnsi" w:cstheme="minorHAnsi"/>
                <w:color w:val="auto"/>
                <w:sz w:val="22"/>
                <w:szCs w:val="22"/>
              </w:rPr>
              <w:t>Student successes wi</w:t>
            </w:r>
            <w:r w:rsidR="00EC71AB">
              <w:rPr>
                <w:rFonts w:asciiTheme="minorHAnsi" w:hAnsiTheme="minorHAnsi" w:cstheme="minorHAnsi"/>
                <w:color w:val="auto"/>
                <w:sz w:val="22"/>
                <w:szCs w:val="22"/>
              </w:rPr>
              <w:t xml:space="preserve">ll be on an individual basis. </w:t>
            </w:r>
            <w:r w:rsidR="00A54A83" w:rsidRPr="002A7C01">
              <w:rPr>
                <w:rFonts w:asciiTheme="minorHAnsi" w:hAnsiTheme="minorHAnsi" w:cstheme="minorHAnsi"/>
                <w:color w:val="auto"/>
                <w:sz w:val="22"/>
                <w:szCs w:val="22"/>
              </w:rPr>
              <w:t xml:space="preserve">Reduced behavioural incidents seen in tracking. Changes from “dangerous” to “difficult” behaviour for individual students. </w:t>
            </w:r>
            <w:r w:rsidRPr="002A7C01">
              <w:rPr>
                <w:rFonts w:asciiTheme="minorHAnsi" w:hAnsiTheme="minorHAnsi" w:cstheme="minorHAnsi"/>
                <w:color w:val="auto"/>
                <w:sz w:val="22"/>
                <w:szCs w:val="22"/>
              </w:rPr>
              <w:t>All assessed through Evidence for Learning and the Annual Review process</w:t>
            </w:r>
          </w:p>
        </w:tc>
      </w:tr>
      <w:tr w:rsidR="00517C69" w:rsidRPr="002A7C01" w14:paraId="6E8832AA" w14:textId="77777777" w:rsidTr="00517C69">
        <w:tc>
          <w:tcPr>
            <w:tcW w:w="425" w:type="dxa"/>
            <w:tcBorders>
              <w:top w:val="single" w:sz="4" w:space="0" w:color="000000"/>
              <w:left w:val="single" w:sz="4" w:space="0" w:color="000000"/>
              <w:bottom w:val="single" w:sz="4" w:space="0" w:color="000000"/>
              <w:right w:val="single" w:sz="4" w:space="0" w:color="000000"/>
            </w:tcBorders>
          </w:tcPr>
          <w:p w14:paraId="664A0329" w14:textId="64FDA2FA" w:rsidR="00517C69" w:rsidRPr="002A7C01" w:rsidRDefault="00517C69">
            <w:pPr>
              <w:pStyle w:val="TableRow"/>
              <w:rPr>
                <w:rFonts w:asciiTheme="minorHAnsi" w:hAnsiTheme="minorHAnsi" w:cstheme="minorHAnsi"/>
                <w:color w:val="auto"/>
                <w:sz w:val="22"/>
                <w:szCs w:val="22"/>
              </w:rPr>
            </w:pPr>
            <w:r>
              <w:rPr>
                <w:rFonts w:asciiTheme="minorHAnsi" w:hAnsiTheme="minorHAnsi" w:cstheme="minorHAnsi"/>
                <w:color w:val="auto"/>
                <w:sz w:val="22"/>
                <w:szCs w:val="22"/>
              </w:rPr>
              <w:t>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7A923" w14:textId="2105603F" w:rsidR="00517C69" w:rsidRPr="002A7C01" w:rsidRDefault="00517C69">
            <w:pPr>
              <w:pStyle w:val="TableRow"/>
              <w:rPr>
                <w:rFonts w:asciiTheme="minorHAnsi" w:hAnsiTheme="minorHAnsi" w:cstheme="minorHAnsi"/>
                <w:color w:val="auto"/>
                <w:sz w:val="22"/>
                <w:szCs w:val="22"/>
                <w:highlight w:val="yellow"/>
              </w:rPr>
            </w:pPr>
            <w:r w:rsidRPr="002A7C01">
              <w:rPr>
                <w:rFonts w:asciiTheme="minorHAnsi" w:hAnsiTheme="minorHAnsi" w:cstheme="minorHAnsi"/>
                <w:color w:val="auto"/>
                <w:sz w:val="22"/>
                <w:szCs w:val="22"/>
              </w:rPr>
              <w:t>Pupils across all Pathways can use a range of communication methods to aid their understanding and to develop expressive and receptive communication skills.</w:t>
            </w:r>
          </w:p>
        </w:tc>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0ABB7" w14:textId="062DAFE3" w:rsidR="00517C69" w:rsidRPr="002A7C01" w:rsidRDefault="00517C69">
            <w:pPr>
              <w:pStyle w:val="TableRowCentered"/>
              <w:spacing w:after="120"/>
              <w:ind w:left="34"/>
              <w:jc w:val="left"/>
              <w:rPr>
                <w:rFonts w:asciiTheme="minorHAnsi" w:hAnsiTheme="minorHAnsi" w:cstheme="minorHAnsi"/>
                <w:color w:val="auto"/>
                <w:sz w:val="22"/>
                <w:szCs w:val="22"/>
                <w:highlight w:val="yellow"/>
              </w:rPr>
            </w:pPr>
            <w:r w:rsidRPr="002A7C01">
              <w:rPr>
                <w:rFonts w:asciiTheme="minorHAnsi" w:hAnsiTheme="minorHAnsi" w:cstheme="minorHAnsi"/>
                <w:color w:val="auto"/>
                <w:sz w:val="22"/>
                <w:szCs w:val="22"/>
              </w:rPr>
              <w:t>Student successes will be on an individual basis. Annual Review and progress reviews will show that most students are making good progress in communication outcomes.</w:t>
            </w:r>
          </w:p>
        </w:tc>
      </w:tr>
      <w:tr w:rsidR="00517C69" w:rsidRPr="002A7C01" w14:paraId="52D423C8" w14:textId="77777777" w:rsidTr="00517C69">
        <w:tc>
          <w:tcPr>
            <w:tcW w:w="425" w:type="dxa"/>
            <w:tcBorders>
              <w:top w:val="single" w:sz="4" w:space="0" w:color="000000"/>
              <w:left w:val="single" w:sz="4" w:space="0" w:color="000000"/>
              <w:bottom w:val="single" w:sz="4" w:space="0" w:color="000000"/>
              <w:right w:val="single" w:sz="4" w:space="0" w:color="000000"/>
            </w:tcBorders>
          </w:tcPr>
          <w:p w14:paraId="7295D3B8" w14:textId="0FA38BEF" w:rsidR="00517C69" w:rsidRPr="002A7C01" w:rsidRDefault="00517C69">
            <w:pPr>
              <w:pStyle w:val="TableRow"/>
              <w:spacing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A02DB" w14:textId="68E9F62C" w:rsidR="00517C69" w:rsidRPr="002A7C01" w:rsidRDefault="00517C69">
            <w:pPr>
              <w:pStyle w:val="TableRow"/>
              <w:spacing w:after="120"/>
              <w:rPr>
                <w:rFonts w:asciiTheme="minorHAnsi" w:hAnsiTheme="minorHAnsi" w:cstheme="minorHAnsi"/>
                <w:color w:val="auto"/>
                <w:sz w:val="22"/>
                <w:szCs w:val="22"/>
              </w:rPr>
            </w:pPr>
            <w:r w:rsidRPr="002A7C01">
              <w:rPr>
                <w:rFonts w:asciiTheme="minorHAnsi" w:hAnsiTheme="minorHAnsi" w:cstheme="minorHAnsi"/>
                <w:color w:val="auto"/>
                <w:sz w:val="22"/>
                <w:szCs w:val="22"/>
              </w:rPr>
              <w:t>Disadvantaged pupils will access all extra-curricular and off site activities that their non-disadvantaged peers do.</w:t>
            </w:r>
          </w:p>
        </w:tc>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C5776" w14:textId="1B6FD993" w:rsidR="00517C69" w:rsidRPr="002A7C01" w:rsidRDefault="00517C69">
            <w:pPr>
              <w:pStyle w:val="TableRowCentered"/>
              <w:spacing w:after="120"/>
              <w:ind w:left="0"/>
              <w:jc w:val="left"/>
              <w:rPr>
                <w:rFonts w:asciiTheme="minorHAnsi" w:hAnsiTheme="minorHAnsi" w:cstheme="minorHAnsi"/>
                <w:color w:val="auto"/>
                <w:sz w:val="22"/>
                <w:szCs w:val="22"/>
              </w:rPr>
            </w:pPr>
            <w:r w:rsidRPr="002A7C01">
              <w:rPr>
                <w:rFonts w:asciiTheme="minorHAnsi" w:hAnsiTheme="minorHAnsi" w:cstheme="minorHAnsi"/>
                <w:color w:val="auto"/>
                <w:sz w:val="22"/>
                <w:szCs w:val="22"/>
              </w:rPr>
              <w:t>Success will be seen in take up of places and participation.</w:t>
            </w:r>
            <w:r w:rsidR="004D7E05">
              <w:rPr>
                <w:rFonts w:asciiTheme="minorHAnsi" w:hAnsiTheme="minorHAnsi" w:cstheme="minorHAnsi"/>
                <w:color w:val="auto"/>
                <w:sz w:val="22"/>
                <w:szCs w:val="22"/>
              </w:rPr>
              <w:t xml:space="preserve"> Learners will develop cultural capital and strengthen relationships with peers and adults.</w:t>
            </w:r>
          </w:p>
        </w:tc>
      </w:tr>
      <w:tr w:rsidR="00517C69" w:rsidRPr="002A7C01" w14:paraId="3EEBA32D" w14:textId="77777777" w:rsidTr="00517C69">
        <w:tc>
          <w:tcPr>
            <w:tcW w:w="425" w:type="dxa"/>
            <w:tcBorders>
              <w:top w:val="single" w:sz="4" w:space="0" w:color="000000"/>
              <w:left w:val="single" w:sz="4" w:space="0" w:color="000000"/>
              <w:bottom w:val="single" w:sz="4" w:space="0" w:color="000000"/>
              <w:right w:val="single" w:sz="4" w:space="0" w:color="000000"/>
            </w:tcBorders>
          </w:tcPr>
          <w:p w14:paraId="7B9E0301" w14:textId="1011E5E5" w:rsidR="00517C69" w:rsidRPr="002A7C01" w:rsidRDefault="00517C69">
            <w:pPr>
              <w:pStyle w:val="TableRow"/>
              <w:rPr>
                <w:rFonts w:asciiTheme="minorHAnsi" w:hAnsiTheme="minorHAnsi" w:cstheme="minorHAnsi"/>
                <w:color w:val="auto"/>
                <w:sz w:val="22"/>
                <w:szCs w:val="22"/>
              </w:rPr>
            </w:pPr>
            <w:r>
              <w:rPr>
                <w:rFonts w:asciiTheme="minorHAnsi" w:hAnsiTheme="minorHAnsi" w:cstheme="minorHAnsi"/>
                <w:color w:val="auto"/>
                <w:sz w:val="22"/>
                <w:szCs w:val="22"/>
              </w:rPr>
              <w:t>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41FD6" w14:textId="78E81C99" w:rsidR="00517C69" w:rsidRPr="002A7C01" w:rsidRDefault="00517C69">
            <w:pPr>
              <w:pStyle w:val="TableRow"/>
              <w:rPr>
                <w:rFonts w:asciiTheme="minorHAnsi" w:hAnsiTheme="minorHAnsi" w:cstheme="minorHAnsi"/>
                <w:color w:val="auto"/>
                <w:sz w:val="22"/>
                <w:szCs w:val="22"/>
              </w:rPr>
            </w:pPr>
            <w:r w:rsidRPr="002A7C01">
              <w:rPr>
                <w:rFonts w:asciiTheme="minorHAnsi" w:hAnsiTheme="minorHAnsi" w:cstheme="minorHAnsi"/>
                <w:color w:val="auto"/>
                <w:sz w:val="22"/>
                <w:szCs w:val="22"/>
              </w:rPr>
              <w:t>Disadvantaged pupils with behavioural needs will lessen the frequency and intensity of behavioural incidents, allowing them to better access the curriculum and life after Highfield.</w:t>
            </w:r>
          </w:p>
        </w:tc>
        <w:tc>
          <w:tcPr>
            <w:tcW w:w="7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B5513" w14:textId="7A776DD3" w:rsidR="00517C69" w:rsidRPr="002A7C01" w:rsidRDefault="00517C69">
            <w:pPr>
              <w:pStyle w:val="TableRowCentered"/>
              <w:ind w:left="0"/>
              <w:jc w:val="left"/>
              <w:rPr>
                <w:rFonts w:asciiTheme="minorHAnsi" w:hAnsiTheme="minorHAnsi" w:cstheme="minorHAnsi"/>
                <w:color w:val="auto"/>
                <w:sz w:val="22"/>
                <w:szCs w:val="22"/>
              </w:rPr>
            </w:pPr>
            <w:r w:rsidRPr="002A7C01">
              <w:rPr>
                <w:rFonts w:asciiTheme="minorHAnsi" w:hAnsiTheme="minorHAnsi" w:cstheme="minorHAnsi"/>
                <w:color w:val="auto"/>
                <w:sz w:val="22"/>
                <w:szCs w:val="22"/>
              </w:rPr>
              <w:t>Reduced behavioural incidents seen in tracking. Changes from “dangerous” to “difficult” behaviour for individual students. Engagement in work experience in Uppers, transition to FE/next steps.</w:t>
            </w:r>
          </w:p>
        </w:tc>
      </w:tr>
    </w:tbl>
    <w:p w14:paraId="62B8DC26" w14:textId="77777777" w:rsidR="002347BA" w:rsidRDefault="002347BA" w:rsidP="0007371A">
      <w:pPr>
        <w:pStyle w:val="Heading2"/>
        <w:rPr>
          <w:rFonts w:asciiTheme="minorHAnsi" w:hAnsiTheme="minorHAnsi" w:cstheme="minorHAnsi"/>
          <w:sz w:val="22"/>
          <w:szCs w:val="22"/>
        </w:rPr>
      </w:pPr>
    </w:p>
    <w:p w14:paraId="70DFD70D" w14:textId="353F9160" w:rsidR="0007371A" w:rsidRPr="00517C69" w:rsidRDefault="0007371A" w:rsidP="0007371A">
      <w:pPr>
        <w:pStyle w:val="Heading2"/>
        <w:rPr>
          <w:rFonts w:asciiTheme="minorHAnsi" w:hAnsiTheme="minorHAnsi" w:cstheme="minorHAnsi"/>
          <w:sz w:val="28"/>
          <w:szCs w:val="28"/>
        </w:rPr>
      </w:pPr>
      <w:r w:rsidRPr="00517C69">
        <w:rPr>
          <w:rFonts w:asciiTheme="minorHAnsi" w:hAnsiTheme="minorHAnsi" w:cstheme="minorHAnsi"/>
          <w:sz w:val="28"/>
          <w:szCs w:val="28"/>
        </w:rPr>
        <w:t>Activity in this academic year</w:t>
      </w:r>
    </w:p>
    <w:p w14:paraId="67E0D67F" w14:textId="265535A7" w:rsidR="00643D5D" w:rsidRDefault="0007371A" w:rsidP="00EC71AB">
      <w:pPr>
        <w:spacing w:after="480"/>
        <w:rPr>
          <w:rFonts w:asciiTheme="minorHAnsi" w:hAnsiTheme="minorHAnsi" w:cstheme="minorHAnsi"/>
          <w:sz w:val="22"/>
          <w:szCs w:val="22"/>
        </w:rPr>
      </w:pPr>
      <w:r w:rsidRPr="002347BA">
        <w:rPr>
          <w:rFonts w:asciiTheme="minorHAnsi" w:hAnsiTheme="minorHAnsi" w:cstheme="minorHAnsi"/>
          <w:sz w:val="22"/>
          <w:szCs w:val="22"/>
        </w:rPr>
        <w:t xml:space="preserve">This details how we intend to spend our pupil premium (and recovery premium) funding </w:t>
      </w:r>
      <w:r w:rsidRPr="002347BA">
        <w:rPr>
          <w:rFonts w:asciiTheme="minorHAnsi" w:hAnsiTheme="minorHAnsi" w:cstheme="minorHAnsi"/>
          <w:b/>
          <w:bCs/>
          <w:sz w:val="22"/>
          <w:szCs w:val="22"/>
        </w:rPr>
        <w:t>this academic year</w:t>
      </w:r>
      <w:r w:rsidRPr="002347BA">
        <w:rPr>
          <w:rFonts w:asciiTheme="minorHAnsi" w:hAnsiTheme="minorHAnsi" w:cstheme="minorHAnsi"/>
          <w:sz w:val="22"/>
          <w:szCs w:val="22"/>
        </w:rPr>
        <w:t xml:space="preserve"> to address the challenges listed above.</w:t>
      </w:r>
    </w:p>
    <w:p w14:paraId="5739B4AB" w14:textId="10E97958" w:rsidR="0007371A" w:rsidRPr="00555D7D" w:rsidRDefault="00555D7D" w:rsidP="0007371A">
      <w:pPr>
        <w:pStyle w:val="Heading3"/>
        <w:rPr>
          <w:rFonts w:asciiTheme="minorHAnsi" w:hAnsiTheme="minorHAnsi" w:cstheme="minorHAnsi"/>
          <w:sz w:val="22"/>
          <w:szCs w:val="22"/>
        </w:rPr>
      </w:pPr>
      <w:r w:rsidRPr="00555D7D">
        <w:rPr>
          <w:rFonts w:asciiTheme="minorHAnsi" w:hAnsiTheme="minorHAnsi" w:cstheme="minorHAnsi"/>
          <w:sz w:val="22"/>
          <w:szCs w:val="22"/>
        </w:rPr>
        <w:t>Targeted academic support</w:t>
      </w:r>
      <w:r w:rsidR="0007371A" w:rsidRPr="00555D7D">
        <w:rPr>
          <w:rFonts w:asciiTheme="minorHAnsi" w:hAnsiTheme="minorHAnsi" w:cstheme="minorHAnsi"/>
          <w:sz w:val="22"/>
          <w:szCs w:val="22"/>
        </w:rPr>
        <w:t xml:space="preserve"> </w:t>
      </w:r>
    </w:p>
    <w:p w14:paraId="5BD4E7B3" w14:textId="3BFC0539" w:rsidR="0007371A" w:rsidRPr="00555D7D" w:rsidRDefault="0007371A" w:rsidP="0007371A">
      <w:pPr>
        <w:rPr>
          <w:rFonts w:asciiTheme="minorHAnsi" w:hAnsiTheme="minorHAnsi" w:cstheme="minorHAnsi"/>
          <w:sz w:val="22"/>
          <w:szCs w:val="22"/>
        </w:rPr>
      </w:pPr>
      <w:r w:rsidRPr="00555D7D">
        <w:rPr>
          <w:rFonts w:asciiTheme="minorHAnsi" w:hAnsiTheme="minorHAnsi" w:cstheme="minorHAnsi"/>
          <w:sz w:val="22"/>
          <w:szCs w:val="22"/>
        </w:rPr>
        <w:t xml:space="preserve">Budgeted cost: </w:t>
      </w:r>
      <w:r w:rsidR="00555D7D" w:rsidRPr="00555D7D">
        <w:rPr>
          <w:rFonts w:asciiTheme="minorHAnsi" w:hAnsiTheme="minorHAnsi" w:cstheme="minorHAnsi"/>
          <w:b/>
          <w:bCs/>
          <w:sz w:val="22"/>
          <w:szCs w:val="22"/>
        </w:rPr>
        <w:t>£</w:t>
      </w:r>
      <w:r w:rsidR="008D4B2F">
        <w:rPr>
          <w:rFonts w:asciiTheme="minorHAnsi" w:hAnsiTheme="minorHAnsi" w:cstheme="minorHAnsi"/>
          <w:b/>
          <w:bCs/>
          <w:sz w:val="22"/>
          <w:szCs w:val="22"/>
        </w:rPr>
        <w:t>39,087</w:t>
      </w:r>
    </w:p>
    <w:tbl>
      <w:tblPr>
        <w:tblW w:w="5000" w:type="pct"/>
        <w:tblCellMar>
          <w:left w:w="10" w:type="dxa"/>
          <w:right w:w="10" w:type="dxa"/>
        </w:tblCellMar>
        <w:tblLook w:val="04A0" w:firstRow="1" w:lastRow="0" w:firstColumn="1" w:lastColumn="0" w:noHBand="0" w:noVBand="1"/>
      </w:tblPr>
      <w:tblGrid>
        <w:gridCol w:w="4522"/>
        <w:gridCol w:w="8095"/>
        <w:gridCol w:w="1943"/>
      </w:tblGrid>
      <w:tr w:rsidR="0007371A" w:rsidRPr="0007371A" w14:paraId="65D8DC81" w14:textId="77777777" w:rsidTr="00517C69">
        <w:tc>
          <w:tcPr>
            <w:tcW w:w="45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1C9A73B" w14:textId="77777777" w:rsidR="0007371A" w:rsidRPr="009146D5" w:rsidRDefault="0007371A">
            <w:pPr>
              <w:pStyle w:val="TableHeader"/>
              <w:jc w:val="left"/>
              <w:rPr>
                <w:rFonts w:asciiTheme="minorHAnsi" w:hAnsiTheme="minorHAnsi" w:cstheme="minorHAnsi"/>
                <w:sz w:val="22"/>
                <w:szCs w:val="22"/>
              </w:rPr>
            </w:pPr>
            <w:r w:rsidRPr="009146D5">
              <w:rPr>
                <w:rFonts w:asciiTheme="minorHAnsi" w:hAnsiTheme="minorHAnsi" w:cstheme="minorHAnsi"/>
                <w:sz w:val="22"/>
                <w:szCs w:val="22"/>
              </w:rPr>
              <w:t>Activity</w:t>
            </w:r>
          </w:p>
        </w:tc>
        <w:tc>
          <w:tcPr>
            <w:tcW w:w="80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002136D0" w14:textId="77777777" w:rsidR="0007371A" w:rsidRPr="009146D5" w:rsidRDefault="0007371A">
            <w:pPr>
              <w:pStyle w:val="TableHeader"/>
              <w:jc w:val="left"/>
              <w:rPr>
                <w:rFonts w:asciiTheme="minorHAnsi" w:hAnsiTheme="minorHAnsi" w:cstheme="minorHAnsi"/>
                <w:sz w:val="22"/>
                <w:szCs w:val="22"/>
              </w:rPr>
            </w:pPr>
            <w:r w:rsidRPr="009146D5">
              <w:rPr>
                <w:rFonts w:asciiTheme="minorHAnsi" w:hAnsiTheme="minorHAnsi" w:cstheme="minorHAnsi"/>
                <w:sz w:val="22"/>
                <w:szCs w:val="22"/>
              </w:rPr>
              <w:t>Evidence that supports this approach</w:t>
            </w:r>
          </w:p>
        </w:tc>
        <w:tc>
          <w:tcPr>
            <w:tcW w:w="19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5407BC4" w14:textId="77777777" w:rsidR="0007371A" w:rsidRPr="009146D5" w:rsidRDefault="0007371A">
            <w:pPr>
              <w:pStyle w:val="TableHeader"/>
              <w:jc w:val="left"/>
              <w:rPr>
                <w:rFonts w:asciiTheme="minorHAnsi" w:hAnsiTheme="minorHAnsi" w:cstheme="minorHAnsi"/>
                <w:sz w:val="22"/>
                <w:szCs w:val="22"/>
              </w:rPr>
            </w:pPr>
            <w:r w:rsidRPr="009146D5">
              <w:rPr>
                <w:rFonts w:asciiTheme="minorHAnsi" w:hAnsiTheme="minorHAnsi" w:cstheme="minorHAnsi"/>
                <w:sz w:val="22"/>
                <w:szCs w:val="22"/>
              </w:rPr>
              <w:t>Challenge number(s) addressed</w:t>
            </w:r>
          </w:p>
        </w:tc>
      </w:tr>
      <w:tr w:rsidR="0007371A" w:rsidRPr="0007371A" w14:paraId="3E57E086" w14:textId="77777777" w:rsidTr="00517C69">
        <w:tc>
          <w:tcPr>
            <w:tcW w:w="4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021F4" w14:textId="2C8AF4EF" w:rsidR="0007371A" w:rsidRPr="00555D7D" w:rsidRDefault="00555D7D">
            <w:pPr>
              <w:pStyle w:val="TableRow"/>
              <w:rPr>
                <w:rFonts w:asciiTheme="minorHAnsi" w:hAnsiTheme="minorHAnsi" w:cstheme="minorHAnsi"/>
                <w:color w:val="auto"/>
                <w:sz w:val="22"/>
                <w:szCs w:val="22"/>
                <w:highlight w:val="yellow"/>
              </w:rPr>
            </w:pPr>
            <w:r w:rsidRPr="00555D7D">
              <w:rPr>
                <w:rFonts w:asciiTheme="minorHAnsi" w:hAnsiTheme="minorHAnsi" w:cstheme="minorHAnsi"/>
                <w:color w:val="auto"/>
                <w:sz w:val="22"/>
                <w:szCs w:val="22"/>
              </w:rPr>
              <w:t>Employment of Communication Specialist TA to run and plan Communication strategies across our three Pathways</w:t>
            </w:r>
            <w:r w:rsidR="00245E29">
              <w:rPr>
                <w:rFonts w:asciiTheme="minorHAnsi" w:hAnsiTheme="minorHAnsi" w:cstheme="minorHAnsi"/>
                <w:color w:val="auto"/>
                <w:sz w:val="22"/>
                <w:szCs w:val="22"/>
              </w:rPr>
              <w:t xml:space="preserve"> (£27,694</w:t>
            </w:r>
            <w:r w:rsidR="00213881">
              <w:rPr>
                <w:rFonts w:asciiTheme="minorHAnsi" w:hAnsiTheme="minorHAnsi" w:cstheme="minorHAnsi"/>
                <w:color w:val="auto"/>
                <w:sz w:val="22"/>
                <w:szCs w:val="22"/>
              </w:rPr>
              <w:t>)</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9A518" w14:textId="51168ED1" w:rsidR="0007371A" w:rsidRPr="00555D7D" w:rsidRDefault="009146D5">
            <w:pPr>
              <w:pStyle w:val="TableRowCentered"/>
              <w:spacing w:after="120"/>
              <w:jc w:val="left"/>
              <w:rPr>
                <w:rFonts w:asciiTheme="minorHAnsi" w:hAnsiTheme="minorHAnsi" w:cstheme="minorHAnsi"/>
                <w:color w:val="auto"/>
                <w:sz w:val="22"/>
                <w:szCs w:val="22"/>
                <w:highlight w:val="yellow"/>
              </w:rPr>
            </w:pPr>
            <w:r w:rsidRPr="009146D5">
              <w:rPr>
                <w:rFonts w:asciiTheme="minorHAnsi" w:hAnsiTheme="minorHAnsi" w:cstheme="minorHAnsi"/>
                <w:color w:val="auto"/>
                <w:sz w:val="22"/>
                <w:szCs w:val="22"/>
              </w:rPr>
              <w:t>Annual review paperwork, pupil voice, parent/carer voice, progress data</w:t>
            </w:r>
            <w:r w:rsidR="00882C26">
              <w:rPr>
                <w:rFonts w:asciiTheme="minorHAnsi" w:hAnsiTheme="minorHAnsi" w:cstheme="minorHAnsi"/>
                <w:color w:val="auto"/>
                <w:sz w:val="22"/>
                <w:szCs w:val="22"/>
              </w:rPr>
              <w:t>, experience from other Special schools.</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4B49" w14:textId="42BB301C" w:rsidR="0007371A" w:rsidRPr="00555D7D" w:rsidRDefault="009146D5">
            <w:pPr>
              <w:pStyle w:val="TableRowCentered"/>
              <w:jc w:val="left"/>
              <w:rPr>
                <w:rFonts w:asciiTheme="minorHAnsi" w:hAnsiTheme="minorHAnsi" w:cstheme="minorHAnsi"/>
                <w:color w:val="auto"/>
                <w:sz w:val="22"/>
                <w:szCs w:val="22"/>
                <w:highlight w:val="yellow"/>
              </w:rPr>
            </w:pPr>
            <w:r w:rsidRPr="009146D5">
              <w:rPr>
                <w:rFonts w:asciiTheme="minorHAnsi" w:hAnsiTheme="minorHAnsi" w:cstheme="minorHAnsi"/>
                <w:color w:val="auto"/>
                <w:sz w:val="22"/>
                <w:szCs w:val="22"/>
              </w:rPr>
              <w:t>2</w:t>
            </w:r>
          </w:p>
        </w:tc>
      </w:tr>
      <w:tr w:rsidR="006C6F11" w:rsidRPr="0007371A" w14:paraId="5C4B79EC" w14:textId="77777777" w:rsidTr="00517C69">
        <w:tc>
          <w:tcPr>
            <w:tcW w:w="4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B5611" w14:textId="45EA115A" w:rsidR="006C6F11" w:rsidRPr="00555D7D" w:rsidRDefault="006A38E8">
            <w:pPr>
              <w:pStyle w:val="TableRow"/>
              <w:rPr>
                <w:rFonts w:asciiTheme="minorHAnsi" w:hAnsiTheme="minorHAnsi" w:cstheme="minorHAnsi"/>
                <w:color w:val="auto"/>
                <w:sz w:val="22"/>
                <w:szCs w:val="22"/>
              </w:rPr>
            </w:pPr>
            <w:r>
              <w:rPr>
                <w:rFonts w:asciiTheme="minorHAnsi" w:hAnsiTheme="minorHAnsi" w:cstheme="minorHAnsi"/>
                <w:color w:val="auto"/>
                <w:sz w:val="22"/>
                <w:szCs w:val="22"/>
              </w:rPr>
              <w:t xml:space="preserve">Part funding of </w:t>
            </w:r>
            <w:r w:rsidR="006C6F11" w:rsidRPr="006C6F11">
              <w:rPr>
                <w:rFonts w:asciiTheme="minorHAnsi" w:hAnsiTheme="minorHAnsi" w:cstheme="minorHAnsi"/>
                <w:color w:val="auto"/>
                <w:sz w:val="22"/>
                <w:szCs w:val="22"/>
              </w:rPr>
              <w:t>TEACHH and Br</w:t>
            </w:r>
            <w:r>
              <w:rPr>
                <w:rFonts w:asciiTheme="minorHAnsi" w:hAnsiTheme="minorHAnsi" w:cstheme="minorHAnsi"/>
                <w:color w:val="auto"/>
                <w:sz w:val="22"/>
                <w:szCs w:val="22"/>
              </w:rPr>
              <w:t>ick Therapy Provision (£</w:t>
            </w:r>
            <w:r w:rsidR="008D4B2F">
              <w:rPr>
                <w:rFonts w:asciiTheme="minorHAnsi" w:hAnsiTheme="minorHAnsi" w:cstheme="minorHAnsi"/>
                <w:color w:val="auto"/>
                <w:sz w:val="22"/>
                <w:szCs w:val="22"/>
              </w:rPr>
              <w:t>11,393)</w:t>
            </w:r>
          </w:p>
        </w:t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55F93" w14:textId="77777777" w:rsidR="006C6F11" w:rsidRDefault="008A2A59">
            <w:pPr>
              <w:pStyle w:val="TableRowCentered"/>
              <w:spacing w:after="120"/>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TEACHH has helped many of our </w:t>
            </w:r>
            <w:proofErr w:type="gramStart"/>
            <w:r>
              <w:rPr>
                <w:rFonts w:asciiTheme="minorHAnsi" w:hAnsiTheme="minorHAnsi" w:cstheme="minorHAnsi"/>
                <w:color w:val="auto"/>
                <w:sz w:val="22"/>
                <w:szCs w:val="22"/>
              </w:rPr>
              <w:t>learners</w:t>
            </w:r>
            <w:proofErr w:type="gramEnd"/>
            <w:r>
              <w:rPr>
                <w:rFonts w:asciiTheme="minorHAnsi" w:hAnsiTheme="minorHAnsi" w:cstheme="minorHAnsi"/>
                <w:color w:val="auto"/>
                <w:sz w:val="22"/>
                <w:szCs w:val="22"/>
              </w:rPr>
              <w:t xml:space="preserve"> access learning and make progress in a place and manner that suits their needs. It helps reduce anxiety and behavioural incidents (as a by-product).</w:t>
            </w:r>
          </w:p>
          <w:p w14:paraId="5901CA74" w14:textId="3F43AA5C" w:rsidR="008A2A59" w:rsidRPr="009146D5" w:rsidRDefault="008A2A59">
            <w:pPr>
              <w:pStyle w:val="TableRowCentered"/>
              <w:spacing w:after="120"/>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Brick Therapy (formerly Lego Therapy) allows students to interact </w:t>
            </w:r>
            <w:r w:rsidR="00DD6152">
              <w:rPr>
                <w:rFonts w:asciiTheme="minorHAnsi" w:hAnsiTheme="minorHAnsi" w:cstheme="minorHAnsi"/>
                <w:color w:val="auto"/>
                <w:sz w:val="22"/>
                <w:szCs w:val="22"/>
              </w:rPr>
              <w:t xml:space="preserve">and communicate </w:t>
            </w:r>
            <w:r>
              <w:rPr>
                <w:rFonts w:asciiTheme="minorHAnsi" w:hAnsiTheme="minorHAnsi" w:cstheme="minorHAnsi"/>
                <w:color w:val="auto"/>
                <w:sz w:val="22"/>
                <w:szCs w:val="22"/>
              </w:rPr>
              <w:t xml:space="preserve">with peers in a safe, predictable and ordered way. </w:t>
            </w:r>
          </w:p>
        </w:tc>
        <w:tc>
          <w:tcPr>
            <w:tcW w:w="1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9E011" w14:textId="77777777" w:rsidR="006C6F11" w:rsidRDefault="006C6F11">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4</w:t>
            </w:r>
          </w:p>
          <w:p w14:paraId="52E8A2B6" w14:textId="77777777" w:rsidR="00DD6152" w:rsidRDefault="00DD6152">
            <w:pPr>
              <w:pStyle w:val="TableRowCentered"/>
              <w:jc w:val="left"/>
              <w:rPr>
                <w:rFonts w:asciiTheme="minorHAnsi" w:hAnsiTheme="minorHAnsi" w:cstheme="minorHAnsi"/>
                <w:color w:val="auto"/>
                <w:sz w:val="22"/>
                <w:szCs w:val="22"/>
              </w:rPr>
            </w:pPr>
          </w:p>
          <w:p w14:paraId="222705F7" w14:textId="77777777" w:rsidR="00DD6152" w:rsidRDefault="00DD6152">
            <w:pPr>
              <w:pStyle w:val="TableRowCentered"/>
              <w:jc w:val="left"/>
              <w:rPr>
                <w:rFonts w:asciiTheme="minorHAnsi" w:hAnsiTheme="minorHAnsi" w:cstheme="minorHAnsi"/>
                <w:color w:val="auto"/>
                <w:sz w:val="22"/>
                <w:szCs w:val="22"/>
              </w:rPr>
            </w:pPr>
          </w:p>
          <w:p w14:paraId="34C09CC8" w14:textId="497D0024" w:rsidR="00DD6152" w:rsidRPr="009146D5" w:rsidRDefault="00DD6152">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2 and 3</w:t>
            </w:r>
          </w:p>
        </w:tc>
      </w:tr>
    </w:tbl>
    <w:p w14:paraId="015D0198" w14:textId="77777777" w:rsidR="00EC71AB" w:rsidRDefault="00EC71AB" w:rsidP="0007371A">
      <w:pPr>
        <w:pStyle w:val="Heading3"/>
        <w:rPr>
          <w:rFonts w:asciiTheme="minorHAnsi" w:hAnsiTheme="minorHAnsi" w:cstheme="minorHAnsi"/>
          <w:sz w:val="22"/>
          <w:szCs w:val="22"/>
        </w:rPr>
      </w:pPr>
    </w:p>
    <w:p w14:paraId="4B3A4621" w14:textId="64D2ADA8" w:rsidR="0007371A" w:rsidRPr="00517C69" w:rsidRDefault="00517C69" w:rsidP="0007371A">
      <w:pPr>
        <w:pStyle w:val="Heading3"/>
        <w:rPr>
          <w:rFonts w:asciiTheme="minorHAnsi" w:hAnsiTheme="minorHAnsi" w:cstheme="minorHAnsi"/>
          <w:sz w:val="22"/>
          <w:szCs w:val="22"/>
        </w:rPr>
      </w:pPr>
      <w:r>
        <w:rPr>
          <w:rFonts w:asciiTheme="minorHAnsi" w:hAnsiTheme="minorHAnsi" w:cstheme="minorHAnsi"/>
          <w:sz w:val="22"/>
          <w:szCs w:val="22"/>
        </w:rPr>
        <w:t>Wider strategies</w:t>
      </w:r>
    </w:p>
    <w:p w14:paraId="15A13615" w14:textId="744D655F" w:rsidR="0007371A" w:rsidRPr="00517C69" w:rsidRDefault="0007371A" w:rsidP="0007371A">
      <w:pPr>
        <w:spacing w:before="240" w:after="120"/>
        <w:rPr>
          <w:rFonts w:asciiTheme="minorHAnsi" w:hAnsiTheme="minorHAnsi" w:cstheme="minorHAnsi"/>
          <w:sz w:val="22"/>
          <w:szCs w:val="22"/>
        </w:rPr>
      </w:pPr>
      <w:r w:rsidRPr="00517C69">
        <w:rPr>
          <w:rFonts w:asciiTheme="minorHAnsi" w:hAnsiTheme="minorHAnsi" w:cstheme="minorHAnsi"/>
          <w:sz w:val="22"/>
          <w:szCs w:val="22"/>
        </w:rPr>
        <w:t xml:space="preserve">Budgeted cost: </w:t>
      </w:r>
      <w:r w:rsidR="00517C69">
        <w:rPr>
          <w:rFonts w:asciiTheme="minorHAnsi" w:hAnsiTheme="minorHAnsi" w:cstheme="minorHAnsi"/>
          <w:b/>
          <w:bCs/>
          <w:sz w:val="22"/>
          <w:szCs w:val="22"/>
        </w:rPr>
        <w:t>£</w:t>
      </w:r>
      <w:r w:rsidR="006A38E8">
        <w:rPr>
          <w:rFonts w:asciiTheme="minorHAnsi" w:hAnsiTheme="minorHAnsi" w:cstheme="minorHAnsi"/>
          <w:b/>
          <w:bCs/>
          <w:sz w:val="22"/>
          <w:szCs w:val="22"/>
        </w:rPr>
        <w:t>44,551</w:t>
      </w:r>
    </w:p>
    <w:tbl>
      <w:tblPr>
        <w:tblW w:w="5000" w:type="pct"/>
        <w:tblCellMar>
          <w:left w:w="10" w:type="dxa"/>
          <w:right w:w="10" w:type="dxa"/>
        </w:tblCellMar>
        <w:tblLook w:val="04A0" w:firstRow="1" w:lastRow="0" w:firstColumn="1" w:lastColumn="0" w:noHBand="0" w:noVBand="1"/>
      </w:tblPr>
      <w:tblGrid>
        <w:gridCol w:w="4126"/>
        <w:gridCol w:w="6529"/>
        <w:gridCol w:w="3905"/>
      </w:tblGrid>
      <w:tr w:rsidR="0007371A" w:rsidRPr="00517C69" w14:paraId="604EC053" w14:textId="77777777" w:rsidTr="00517C69">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64A49227" w14:textId="77777777" w:rsidR="0007371A" w:rsidRPr="00517C69" w:rsidRDefault="0007371A">
            <w:pPr>
              <w:pStyle w:val="TableHeader"/>
              <w:jc w:val="left"/>
              <w:rPr>
                <w:rFonts w:asciiTheme="minorHAnsi" w:hAnsiTheme="minorHAnsi" w:cstheme="minorHAnsi"/>
                <w:sz w:val="22"/>
                <w:szCs w:val="22"/>
              </w:rPr>
            </w:pPr>
            <w:r w:rsidRPr="00517C69">
              <w:rPr>
                <w:rFonts w:asciiTheme="minorHAnsi" w:hAnsiTheme="minorHAnsi" w:cstheme="minorHAnsi"/>
                <w:sz w:val="22"/>
                <w:szCs w:val="22"/>
              </w:rPr>
              <w:t>Activity</w:t>
            </w:r>
          </w:p>
        </w:tc>
        <w:tc>
          <w:tcPr>
            <w:tcW w:w="6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1887C9CC" w14:textId="77777777" w:rsidR="0007371A" w:rsidRPr="00517C69" w:rsidRDefault="0007371A">
            <w:pPr>
              <w:pStyle w:val="TableHeader"/>
              <w:jc w:val="left"/>
              <w:rPr>
                <w:rFonts w:asciiTheme="minorHAnsi" w:hAnsiTheme="minorHAnsi" w:cstheme="minorHAnsi"/>
                <w:sz w:val="22"/>
                <w:szCs w:val="22"/>
              </w:rPr>
            </w:pPr>
            <w:r w:rsidRPr="00517C69">
              <w:rPr>
                <w:rFonts w:asciiTheme="minorHAnsi" w:hAnsiTheme="minorHAnsi" w:cstheme="minorHAnsi"/>
                <w:sz w:val="22"/>
                <w:szCs w:val="22"/>
              </w:rPr>
              <w:t>Evidence that supports this approach</w:t>
            </w:r>
          </w:p>
        </w:tc>
        <w:tc>
          <w:tcPr>
            <w:tcW w:w="39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hideMark/>
          </w:tcPr>
          <w:p w14:paraId="2C55529B" w14:textId="77777777" w:rsidR="0007371A" w:rsidRPr="00517C69" w:rsidRDefault="0007371A">
            <w:pPr>
              <w:pStyle w:val="TableHeader"/>
              <w:jc w:val="left"/>
              <w:rPr>
                <w:rFonts w:asciiTheme="minorHAnsi" w:hAnsiTheme="minorHAnsi" w:cstheme="minorHAnsi"/>
                <w:sz w:val="22"/>
                <w:szCs w:val="22"/>
              </w:rPr>
            </w:pPr>
            <w:r w:rsidRPr="00517C69">
              <w:rPr>
                <w:rFonts w:asciiTheme="minorHAnsi" w:hAnsiTheme="minorHAnsi" w:cstheme="minorHAnsi"/>
                <w:sz w:val="22"/>
                <w:szCs w:val="22"/>
              </w:rPr>
              <w:t>Challenge number(s) addressed</w:t>
            </w:r>
          </w:p>
        </w:tc>
      </w:tr>
      <w:tr w:rsidR="00CE543E" w:rsidRPr="00517C69" w14:paraId="2E16C4B0" w14:textId="77777777" w:rsidTr="00517C69">
        <w:tc>
          <w:tcPr>
            <w:tcW w:w="4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A809F" w14:textId="11193BF2" w:rsidR="00CE543E" w:rsidRDefault="00CE543E">
            <w:pPr>
              <w:pStyle w:val="TableRow"/>
              <w:spacing w:after="120"/>
              <w:rPr>
                <w:rFonts w:asciiTheme="minorHAnsi" w:hAnsiTheme="minorHAnsi" w:cstheme="minorHAnsi"/>
                <w:color w:val="auto"/>
                <w:sz w:val="22"/>
                <w:szCs w:val="22"/>
              </w:rPr>
            </w:pPr>
            <w:r>
              <w:rPr>
                <w:rFonts w:asciiTheme="minorHAnsi" w:hAnsiTheme="minorHAnsi" w:cstheme="minorHAnsi"/>
                <w:color w:val="auto"/>
                <w:sz w:val="22"/>
                <w:szCs w:val="22"/>
              </w:rPr>
              <w:t>Employment of School Counsellor for one full day each week. To support students’ e</w:t>
            </w:r>
            <w:r w:rsidR="006A38E8">
              <w:rPr>
                <w:rFonts w:asciiTheme="minorHAnsi" w:hAnsiTheme="minorHAnsi" w:cstheme="minorHAnsi"/>
                <w:color w:val="auto"/>
                <w:sz w:val="22"/>
                <w:szCs w:val="22"/>
              </w:rPr>
              <w:t>motional wellbeing in KS3/4 (£76</w:t>
            </w:r>
            <w:r>
              <w:rPr>
                <w:rFonts w:asciiTheme="minorHAnsi" w:hAnsiTheme="minorHAnsi" w:cstheme="minorHAnsi"/>
                <w:color w:val="auto"/>
                <w:sz w:val="22"/>
                <w:szCs w:val="22"/>
              </w:rPr>
              <w:t>00)</w:t>
            </w:r>
          </w:p>
        </w:tc>
        <w:tc>
          <w:tcPr>
            <w:tcW w:w="6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51FF6" w14:textId="07F4012C" w:rsidR="00A056EE" w:rsidRPr="00CE506A" w:rsidRDefault="00A056EE" w:rsidP="00A056EE">
            <w:pPr>
              <w:widowControl w:val="0"/>
              <w:overflowPunct w:val="0"/>
              <w:autoSpaceDE w:val="0"/>
              <w:adjustRightInd w:val="0"/>
              <w:spacing w:before="60" w:after="0" w:line="240" w:lineRule="auto"/>
              <w:ind w:left="40"/>
              <w:rPr>
                <w:rFonts w:asciiTheme="minorHAnsi" w:hAnsiTheme="minorHAnsi" w:cstheme="minorHAnsi"/>
                <w:color w:val="auto"/>
                <w:sz w:val="22"/>
                <w:szCs w:val="22"/>
              </w:rPr>
            </w:pPr>
            <w:r w:rsidRPr="00A056EE">
              <w:rPr>
                <w:rFonts w:asciiTheme="minorHAnsi" w:hAnsiTheme="minorHAnsi" w:cstheme="minorHAnsi"/>
                <w:color w:val="auto"/>
                <w:sz w:val="22"/>
                <w:szCs w:val="22"/>
              </w:rPr>
              <w:t>Internal data (engagem</w:t>
            </w:r>
            <w:r>
              <w:rPr>
                <w:rFonts w:asciiTheme="minorHAnsi" w:hAnsiTheme="minorHAnsi" w:cstheme="minorHAnsi"/>
                <w:color w:val="auto"/>
                <w:sz w:val="22"/>
                <w:szCs w:val="22"/>
              </w:rPr>
              <w:t>ent/behaviour/wellbeing), student voice</w:t>
            </w:r>
            <w:r w:rsidRPr="00A056EE">
              <w:rPr>
                <w:rFonts w:asciiTheme="minorHAnsi" w:hAnsiTheme="minorHAnsi" w:cstheme="minorHAnsi"/>
                <w:color w:val="auto"/>
                <w:sz w:val="22"/>
                <w:szCs w:val="22"/>
              </w:rPr>
              <w:t>, parent/carer feedback</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81627" w14:textId="6D9275C1" w:rsidR="00CE543E" w:rsidRDefault="00CE543E">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1 and 4</w:t>
            </w:r>
          </w:p>
        </w:tc>
      </w:tr>
      <w:tr w:rsidR="00CE543E" w:rsidRPr="00517C69" w14:paraId="5C2110A9" w14:textId="77777777" w:rsidTr="00517C69">
        <w:tc>
          <w:tcPr>
            <w:tcW w:w="4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575C7" w14:textId="75EBD412" w:rsidR="00CE543E" w:rsidRDefault="00245E29">
            <w:pPr>
              <w:pStyle w:val="TableRow"/>
              <w:spacing w:after="120"/>
              <w:rPr>
                <w:rFonts w:asciiTheme="minorHAnsi" w:hAnsiTheme="minorHAnsi" w:cstheme="minorHAnsi"/>
                <w:color w:val="auto"/>
                <w:sz w:val="22"/>
                <w:szCs w:val="22"/>
              </w:rPr>
            </w:pPr>
            <w:r>
              <w:rPr>
                <w:rFonts w:asciiTheme="minorHAnsi" w:hAnsiTheme="minorHAnsi" w:cstheme="minorHAnsi"/>
                <w:color w:val="auto"/>
                <w:sz w:val="22"/>
                <w:szCs w:val="22"/>
              </w:rPr>
              <w:t>Provision of Play Therapist (£6</w:t>
            </w:r>
            <w:r w:rsidR="00CE543E">
              <w:rPr>
                <w:rFonts w:asciiTheme="minorHAnsi" w:hAnsiTheme="minorHAnsi" w:cstheme="minorHAnsi"/>
                <w:color w:val="auto"/>
                <w:sz w:val="22"/>
                <w:szCs w:val="22"/>
              </w:rPr>
              <w:t>000)</w:t>
            </w:r>
          </w:p>
        </w:tc>
        <w:tc>
          <w:tcPr>
            <w:tcW w:w="6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4EDFD" w14:textId="637E12A9" w:rsidR="00A056EE" w:rsidRDefault="00A056EE" w:rsidP="00A056EE">
            <w:pPr>
              <w:widowControl w:val="0"/>
              <w:overflowPunct w:val="0"/>
              <w:autoSpaceDE w:val="0"/>
              <w:adjustRightInd w:val="0"/>
              <w:spacing w:before="60" w:after="0" w:line="240" w:lineRule="auto"/>
              <w:ind w:left="40"/>
              <w:rPr>
                <w:rFonts w:asciiTheme="minorHAnsi" w:hAnsiTheme="minorHAnsi" w:cstheme="minorHAnsi"/>
                <w:color w:val="auto"/>
                <w:sz w:val="22"/>
                <w:szCs w:val="22"/>
              </w:rPr>
            </w:pPr>
            <w:r>
              <w:rPr>
                <w:rFonts w:asciiTheme="minorHAnsi" w:hAnsiTheme="minorHAnsi" w:cstheme="minorHAnsi"/>
                <w:color w:val="auto"/>
                <w:sz w:val="22"/>
                <w:szCs w:val="22"/>
              </w:rPr>
              <w:t>Internal data (engagement/behaviour/wellbeing), staff feedback, parent/carer feedback</w:t>
            </w:r>
          </w:p>
          <w:p w14:paraId="2D74487B" w14:textId="42A273DC" w:rsidR="00CE543E" w:rsidRPr="00CE506A" w:rsidRDefault="008D4B2F" w:rsidP="00A056EE">
            <w:pPr>
              <w:widowControl w:val="0"/>
              <w:overflowPunct w:val="0"/>
              <w:autoSpaceDE w:val="0"/>
              <w:adjustRightInd w:val="0"/>
              <w:spacing w:before="60" w:after="0" w:line="240" w:lineRule="auto"/>
              <w:ind w:left="40"/>
              <w:rPr>
                <w:rFonts w:asciiTheme="minorHAnsi" w:hAnsiTheme="minorHAnsi" w:cstheme="minorHAnsi"/>
                <w:color w:val="auto"/>
                <w:sz w:val="22"/>
                <w:szCs w:val="22"/>
              </w:rPr>
            </w:pPr>
            <w:hyperlink r:id="rId7" w:history="1">
              <w:r w:rsidR="00A056EE" w:rsidRPr="006E61C5">
                <w:rPr>
                  <w:rStyle w:val="Hyperlink"/>
                  <w:rFonts w:asciiTheme="minorHAnsi" w:hAnsiTheme="minorHAnsi" w:cstheme="minorHAnsi"/>
                  <w:sz w:val="22"/>
                  <w:szCs w:val="22"/>
                </w:rPr>
                <w:t>https://www.ncbi.nlm.nih.gov/pmc/articles/PMC2989834/</w:t>
              </w:r>
            </w:hyperlink>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D73D1" w14:textId="092CCE24" w:rsidR="00CE543E" w:rsidRDefault="00A056EE">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1 and 4</w:t>
            </w:r>
          </w:p>
        </w:tc>
      </w:tr>
      <w:tr w:rsidR="00CE543E" w:rsidRPr="00517C69" w14:paraId="7855BA94" w14:textId="77777777" w:rsidTr="00517C69">
        <w:tc>
          <w:tcPr>
            <w:tcW w:w="4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99F1C" w14:textId="73A24EE3" w:rsidR="00CE543E" w:rsidRDefault="00EC71AB">
            <w:pPr>
              <w:pStyle w:val="TableRow"/>
              <w:spacing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Provision of </w:t>
            </w:r>
            <w:r w:rsidR="00CE543E">
              <w:rPr>
                <w:rFonts w:asciiTheme="minorHAnsi" w:hAnsiTheme="minorHAnsi" w:cstheme="minorHAnsi"/>
                <w:color w:val="auto"/>
                <w:sz w:val="22"/>
                <w:szCs w:val="22"/>
              </w:rPr>
              <w:t>Music Therapist (£</w:t>
            </w:r>
            <w:r w:rsidR="00245E29">
              <w:rPr>
                <w:rFonts w:asciiTheme="minorHAnsi" w:hAnsiTheme="minorHAnsi" w:cstheme="minorHAnsi"/>
                <w:color w:val="auto"/>
                <w:sz w:val="22"/>
                <w:szCs w:val="22"/>
              </w:rPr>
              <w:t>27,251</w:t>
            </w:r>
            <w:r w:rsidR="00CE543E">
              <w:rPr>
                <w:rFonts w:asciiTheme="minorHAnsi" w:hAnsiTheme="minorHAnsi" w:cstheme="minorHAnsi"/>
                <w:color w:val="auto"/>
                <w:sz w:val="22"/>
                <w:szCs w:val="22"/>
              </w:rPr>
              <w:t>)</w:t>
            </w:r>
          </w:p>
        </w:tc>
        <w:tc>
          <w:tcPr>
            <w:tcW w:w="6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454C8" w14:textId="32F135CB" w:rsidR="00A056EE" w:rsidRDefault="00A056EE" w:rsidP="00CE506A">
            <w:pPr>
              <w:widowControl w:val="0"/>
              <w:overflowPunct w:val="0"/>
              <w:autoSpaceDE w:val="0"/>
              <w:adjustRightInd w:val="0"/>
              <w:spacing w:before="60" w:after="0" w:line="240" w:lineRule="auto"/>
              <w:ind w:left="40"/>
              <w:rPr>
                <w:rFonts w:asciiTheme="minorHAnsi" w:hAnsiTheme="minorHAnsi" w:cstheme="minorHAnsi"/>
                <w:color w:val="auto"/>
                <w:sz w:val="22"/>
                <w:szCs w:val="22"/>
              </w:rPr>
            </w:pPr>
            <w:r>
              <w:rPr>
                <w:rFonts w:asciiTheme="minorHAnsi" w:hAnsiTheme="minorHAnsi" w:cstheme="minorHAnsi"/>
                <w:color w:val="auto"/>
                <w:sz w:val="22"/>
                <w:szCs w:val="22"/>
              </w:rPr>
              <w:t>Internal data (engagement/behaviour/wellbeing), staff feedback, parent/carer feedback</w:t>
            </w:r>
          </w:p>
          <w:p w14:paraId="02E9D90E" w14:textId="37710F82" w:rsidR="00A056EE" w:rsidRPr="00CE506A" w:rsidRDefault="008D4B2F" w:rsidP="00A056EE">
            <w:pPr>
              <w:widowControl w:val="0"/>
              <w:overflowPunct w:val="0"/>
              <w:autoSpaceDE w:val="0"/>
              <w:adjustRightInd w:val="0"/>
              <w:spacing w:before="60" w:after="0" w:line="240" w:lineRule="auto"/>
              <w:ind w:left="40"/>
              <w:rPr>
                <w:rFonts w:asciiTheme="minorHAnsi" w:hAnsiTheme="minorHAnsi" w:cstheme="minorHAnsi"/>
                <w:color w:val="auto"/>
                <w:sz w:val="22"/>
                <w:szCs w:val="22"/>
              </w:rPr>
            </w:pPr>
            <w:hyperlink r:id="rId8" w:history="1">
              <w:r w:rsidR="00A056EE" w:rsidRPr="006E61C5">
                <w:rPr>
                  <w:rStyle w:val="Hyperlink"/>
                  <w:rFonts w:asciiTheme="minorHAnsi" w:hAnsiTheme="minorHAnsi" w:cstheme="minorHAnsi"/>
                  <w:sz w:val="22"/>
                  <w:szCs w:val="22"/>
                </w:rPr>
                <w:t>https://www.nordoff-robbins.org.uk/research/resources/</w:t>
              </w:r>
            </w:hyperlink>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8A66E" w14:textId="3B214A1E" w:rsidR="00CE543E" w:rsidRDefault="00A056EE">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1 and 4</w:t>
            </w:r>
          </w:p>
        </w:tc>
      </w:tr>
      <w:tr w:rsidR="006C6F11" w:rsidRPr="00517C69" w14:paraId="74112E7B" w14:textId="77777777" w:rsidTr="00517C69">
        <w:tc>
          <w:tcPr>
            <w:tcW w:w="4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B0FE4" w14:textId="3F0C8D7C" w:rsidR="006C6F11" w:rsidRDefault="006C6F11">
            <w:pPr>
              <w:pStyle w:val="TableRow"/>
              <w:spacing w:after="120"/>
              <w:rPr>
                <w:rFonts w:asciiTheme="minorHAnsi" w:hAnsiTheme="minorHAnsi" w:cstheme="minorHAnsi"/>
                <w:color w:val="auto"/>
                <w:sz w:val="22"/>
                <w:szCs w:val="22"/>
              </w:rPr>
            </w:pPr>
            <w:r>
              <w:rPr>
                <w:rFonts w:asciiTheme="minorHAnsi" w:hAnsiTheme="minorHAnsi" w:cstheme="minorHAnsi"/>
                <w:color w:val="auto"/>
                <w:sz w:val="22"/>
                <w:szCs w:val="22"/>
              </w:rPr>
              <w:t>Funding for extracurricular trips and activities (</w:t>
            </w:r>
            <w:r w:rsidR="00DE3837">
              <w:rPr>
                <w:rFonts w:asciiTheme="minorHAnsi" w:hAnsiTheme="minorHAnsi" w:cstheme="minorHAnsi"/>
                <w:color w:val="auto"/>
                <w:sz w:val="22"/>
                <w:szCs w:val="22"/>
              </w:rPr>
              <w:t>£3700)</w:t>
            </w:r>
          </w:p>
        </w:tc>
        <w:tc>
          <w:tcPr>
            <w:tcW w:w="6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D81B5" w14:textId="30D36DC1" w:rsidR="006C6F11" w:rsidRDefault="00643D5D" w:rsidP="00CE506A">
            <w:pPr>
              <w:widowControl w:val="0"/>
              <w:overflowPunct w:val="0"/>
              <w:autoSpaceDE w:val="0"/>
              <w:adjustRightInd w:val="0"/>
              <w:spacing w:before="60" w:after="0" w:line="240" w:lineRule="auto"/>
              <w:ind w:left="40"/>
              <w:rPr>
                <w:rFonts w:asciiTheme="minorHAnsi" w:hAnsiTheme="minorHAnsi" w:cstheme="minorHAnsi"/>
                <w:color w:val="auto"/>
                <w:sz w:val="22"/>
                <w:szCs w:val="22"/>
              </w:rPr>
            </w:pPr>
            <w:r>
              <w:rPr>
                <w:rFonts w:asciiTheme="minorHAnsi" w:hAnsiTheme="minorHAnsi" w:cstheme="minorHAnsi"/>
                <w:color w:val="auto"/>
                <w:sz w:val="22"/>
                <w:szCs w:val="22"/>
              </w:rPr>
              <w:t>Parent voice/students voice/Evidence for Learning/Engagement data</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5DB77" w14:textId="0FAF6344" w:rsidR="006C6F11" w:rsidRDefault="006C6F11">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3</w:t>
            </w:r>
          </w:p>
        </w:tc>
      </w:tr>
    </w:tbl>
    <w:p w14:paraId="5DC096C2" w14:textId="77777777" w:rsidR="0007371A" w:rsidRPr="00517C69" w:rsidRDefault="0007371A" w:rsidP="0007371A">
      <w:pPr>
        <w:spacing w:before="240" w:after="0"/>
        <w:rPr>
          <w:b/>
          <w:bCs/>
          <w:color w:val="104F75"/>
          <w:sz w:val="28"/>
          <w:szCs w:val="28"/>
        </w:rPr>
      </w:pPr>
    </w:p>
    <w:p w14:paraId="4043A6CE" w14:textId="1BCC670C" w:rsidR="00A056EE" w:rsidRPr="00245E29" w:rsidRDefault="0007371A" w:rsidP="00A056EE">
      <w:pPr>
        <w:rPr>
          <w:rFonts w:asciiTheme="minorHAnsi" w:hAnsiTheme="minorHAnsi" w:cstheme="minorHAnsi"/>
          <w:b/>
          <w:bCs/>
          <w:color w:val="auto"/>
          <w:sz w:val="22"/>
          <w:szCs w:val="22"/>
        </w:rPr>
      </w:pPr>
      <w:r w:rsidRPr="00517C69">
        <w:rPr>
          <w:rFonts w:asciiTheme="minorHAnsi" w:hAnsiTheme="minorHAnsi" w:cstheme="minorHAnsi"/>
          <w:b/>
          <w:bCs/>
          <w:color w:val="104F75"/>
          <w:sz w:val="22"/>
          <w:szCs w:val="22"/>
        </w:rPr>
        <w:t xml:space="preserve">Total budgeted cost: </w:t>
      </w:r>
      <w:r w:rsidR="00517C69" w:rsidRPr="00517C69">
        <w:rPr>
          <w:rFonts w:asciiTheme="minorHAnsi" w:hAnsiTheme="minorHAnsi" w:cstheme="minorHAnsi"/>
          <w:b/>
          <w:bCs/>
          <w:color w:val="auto"/>
          <w:sz w:val="22"/>
          <w:szCs w:val="22"/>
        </w:rPr>
        <w:t>£</w:t>
      </w:r>
      <w:r w:rsidR="008D4B2F">
        <w:rPr>
          <w:rFonts w:asciiTheme="minorHAnsi" w:hAnsiTheme="minorHAnsi" w:cstheme="minorHAnsi"/>
          <w:b/>
          <w:bCs/>
          <w:color w:val="auto"/>
          <w:sz w:val="22"/>
          <w:szCs w:val="22"/>
        </w:rPr>
        <w:t>83,638</w:t>
      </w:r>
      <w:bookmarkStart w:id="4" w:name="_GoBack"/>
      <w:bookmarkEnd w:id="4"/>
    </w:p>
    <w:p w14:paraId="57C48DF7" w14:textId="272E53F3" w:rsidR="00D73936" w:rsidRPr="00A056EE" w:rsidRDefault="00D73936" w:rsidP="00A056EE">
      <w:pPr>
        <w:tabs>
          <w:tab w:val="left" w:pos="4095"/>
        </w:tabs>
        <w:rPr>
          <w:rFonts w:asciiTheme="minorHAnsi" w:hAnsiTheme="minorHAnsi" w:cstheme="minorHAnsi"/>
          <w:sz w:val="22"/>
          <w:szCs w:val="22"/>
        </w:rPr>
      </w:pPr>
    </w:p>
    <w:bookmarkEnd w:id="3"/>
    <w:p w14:paraId="032D1829" w14:textId="77777777" w:rsidR="00A056EE" w:rsidRPr="00CE506A" w:rsidRDefault="00A056EE" w:rsidP="00A056EE">
      <w:pPr>
        <w:pStyle w:val="Heading1"/>
        <w:rPr>
          <w:rFonts w:asciiTheme="minorHAnsi" w:hAnsiTheme="minorHAnsi" w:cstheme="minorHAnsi"/>
          <w:sz w:val="28"/>
          <w:szCs w:val="28"/>
        </w:rPr>
      </w:pPr>
      <w:r w:rsidRPr="00CE506A">
        <w:rPr>
          <w:rFonts w:asciiTheme="minorHAnsi" w:hAnsiTheme="minorHAnsi" w:cstheme="minorHAnsi"/>
          <w:sz w:val="28"/>
          <w:szCs w:val="28"/>
        </w:rPr>
        <w:lastRenderedPageBreak/>
        <w:t>Part B: Review of the previous academic year</w:t>
      </w:r>
    </w:p>
    <w:p w14:paraId="740486A0" w14:textId="77777777" w:rsidR="00A056EE" w:rsidRPr="00CE506A" w:rsidRDefault="00A056EE" w:rsidP="00A056EE">
      <w:pPr>
        <w:pStyle w:val="Heading2"/>
        <w:rPr>
          <w:rFonts w:asciiTheme="minorHAnsi" w:hAnsiTheme="minorHAnsi" w:cstheme="minorHAnsi"/>
          <w:sz w:val="22"/>
          <w:szCs w:val="22"/>
        </w:rPr>
      </w:pPr>
      <w:r w:rsidRPr="00CE506A">
        <w:rPr>
          <w:rFonts w:asciiTheme="minorHAnsi" w:hAnsiTheme="minorHAnsi" w:cstheme="minorHAnsi"/>
          <w:sz w:val="22"/>
          <w:szCs w:val="22"/>
        </w:rPr>
        <w:t>Outcomes for disadvantaged pupils</w:t>
      </w:r>
    </w:p>
    <w:tbl>
      <w:tblPr>
        <w:tblStyle w:val="TableGrid"/>
        <w:tblW w:w="0" w:type="auto"/>
        <w:tblInd w:w="0" w:type="dxa"/>
        <w:tblLook w:val="04A0" w:firstRow="1" w:lastRow="0" w:firstColumn="1" w:lastColumn="0" w:noHBand="0" w:noVBand="1"/>
      </w:tblPr>
      <w:tblGrid>
        <w:gridCol w:w="14312"/>
      </w:tblGrid>
      <w:tr w:rsidR="00A056EE" w:rsidRPr="0007371A" w14:paraId="01564F9D" w14:textId="77777777" w:rsidTr="006C6F15">
        <w:tc>
          <w:tcPr>
            <w:tcW w:w="14312" w:type="dxa"/>
            <w:tcBorders>
              <w:top w:val="single" w:sz="4" w:space="0" w:color="auto"/>
              <w:left w:val="single" w:sz="4" w:space="0" w:color="auto"/>
              <w:bottom w:val="single" w:sz="4" w:space="0" w:color="auto"/>
              <w:right w:val="single" w:sz="4" w:space="0" w:color="auto"/>
            </w:tcBorders>
          </w:tcPr>
          <w:p w14:paraId="6CADAEFF" w14:textId="104D0D02" w:rsidR="00A056EE" w:rsidRDefault="00A056EE" w:rsidP="006C6F15">
            <w:pPr>
              <w:pStyle w:val="NormalWeb"/>
              <w:suppressAutoHyphens/>
              <w:autoSpaceDN w:val="0"/>
              <w:spacing w:before="0" w:beforeAutospacing="0" w:after="240" w:afterAutospacing="0"/>
              <w:rPr>
                <w:rFonts w:asciiTheme="minorHAnsi" w:hAnsiTheme="minorHAnsi" w:cstheme="minorHAnsi"/>
                <w:color w:val="0D0D0D"/>
                <w:sz w:val="22"/>
                <w:szCs w:val="22"/>
              </w:rPr>
            </w:pPr>
            <w:r>
              <w:rPr>
                <w:rFonts w:asciiTheme="minorHAnsi" w:hAnsiTheme="minorHAnsi" w:cstheme="minorHAnsi"/>
                <w:color w:val="0D0D0D"/>
                <w:sz w:val="22"/>
                <w:szCs w:val="22"/>
              </w:rPr>
              <w:t>We analysed the outcomes for</w:t>
            </w:r>
            <w:r w:rsidRPr="00CE506A">
              <w:rPr>
                <w:rFonts w:asciiTheme="minorHAnsi" w:hAnsiTheme="minorHAnsi" w:cstheme="minorHAnsi"/>
                <w:color w:val="0D0D0D"/>
                <w:sz w:val="22"/>
                <w:szCs w:val="22"/>
              </w:rPr>
              <w:t xml:space="preserve"> our school’s disa</w:t>
            </w:r>
            <w:r w:rsidR="006A38E8">
              <w:rPr>
                <w:rFonts w:asciiTheme="minorHAnsi" w:hAnsiTheme="minorHAnsi" w:cstheme="minorHAnsi"/>
                <w:color w:val="0D0D0D"/>
                <w:sz w:val="22"/>
                <w:szCs w:val="22"/>
              </w:rPr>
              <w:t>dvantaged pupils during the 2023/24</w:t>
            </w:r>
            <w:r w:rsidRPr="00CE506A">
              <w:rPr>
                <w:rFonts w:asciiTheme="minorHAnsi" w:hAnsiTheme="minorHAnsi" w:cstheme="minorHAnsi"/>
                <w:color w:val="0D0D0D"/>
                <w:sz w:val="22"/>
                <w:szCs w:val="22"/>
              </w:rPr>
              <w:t xml:space="preserve"> academic year using our own internal assessments</w:t>
            </w:r>
            <w:r>
              <w:rPr>
                <w:rFonts w:asciiTheme="minorHAnsi" w:hAnsiTheme="minorHAnsi" w:cstheme="minorHAnsi"/>
                <w:color w:val="0D0D0D"/>
                <w:sz w:val="22"/>
                <w:szCs w:val="22"/>
              </w:rPr>
              <w:t>, feedback gathered during parent/carer consultations, student voice and the annual review mechanism</w:t>
            </w:r>
            <w:r w:rsidRPr="00CE506A">
              <w:rPr>
                <w:rFonts w:asciiTheme="minorHAnsi" w:hAnsiTheme="minorHAnsi" w:cstheme="minorHAnsi"/>
                <w:color w:val="0D0D0D"/>
                <w:sz w:val="22"/>
                <w:szCs w:val="22"/>
              </w:rPr>
              <w:t>.</w:t>
            </w:r>
          </w:p>
          <w:p w14:paraId="5E1F5BC1" w14:textId="33271786" w:rsidR="00A056EE" w:rsidRDefault="00A056EE" w:rsidP="006C6F15">
            <w:pPr>
              <w:pStyle w:val="NormalWeb"/>
              <w:suppressAutoHyphens/>
              <w:autoSpaceDN w:val="0"/>
              <w:spacing w:before="0" w:beforeAutospacing="0" w:after="240" w:afterAutospacing="0"/>
              <w:rPr>
                <w:rFonts w:asciiTheme="minorHAnsi" w:hAnsiTheme="minorHAnsi" w:cstheme="minorHAnsi"/>
                <w:color w:val="0D0D0D"/>
                <w:sz w:val="22"/>
                <w:szCs w:val="22"/>
              </w:rPr>
            </w:pPr>
            <w:r w:rsidRPr="00CE506A">
              <w:rPr>
                <w:rFonts w:asciiTheme="minorHAnsi" w:hAnsiTheme="minorHAnsi" w:cstheme="minorHAnsi"/>
                <w:color w:val="0D0D0D"/>
                <w:sz w:val="22"/>
                <w:szCs w:val="22"/>
              </w:rPr>
              <w:t>Due to the nature of our students’ very individual needs</w:t>
            </w:r>
            <w:r>
              <w:rPr>
                <w:rFonts w:asciiTheme="minorHAnsi" w:hAnsiTheme="minorHAnsi" w:cstheme="minorHAnsi"/>
                <w:color w:val="0D0D0D"/>
                <w:sz w:val="22"/>
                <w:szCs w:val="22"/>
              </w:rPr>
              <w:t xml:space="preserve"> it is not always reliable to make judgements based on groupings such as age, gender or socio-economic factors. However, we do recognise that any barriers we can re</w:t>
            </w:r>
            <w:r w:rsidR="006C6F11">
              <w:rPr>
                <w:rFonts w:asciiTheme="minorHAnsi" w:hAnsiTheme="minorHAnsi" w:cstheme="minorHAnsi"/>
                <w:color w:val="0D0D0D"/>
                <w:sz w:val="22"/>
                <w:szCs w:val="22"/>
              </w:rPr>
              <w:t xml:space="preserve">move can only help our learners, </w:t>
            </w:r>
            <w:r>
              <w:rPr>
                <w:rFonts w:asciiTheme="minorHAnsi" w:hAnsiTheme="minorHAnsi" w:cstheme="minorHAnsi"/>
                <w:color w:val="0D0D0D"/>
                <w:sz w:val="22"/>
                <w:szCs w:val="22"/>
              </w:rPr>
              <w:t>and our disadvantaged students face more barriers than others.</w:t>
            </w:r>
          </w:p>
          <w:p w14:paraId="740FE356" w14:textId="088F3047" w:rsidR="00A056EE" w:rsidRDefault="00A056EE" w:rsidP="006C6F15">
            <w:pPr>
              <w:pStyle w:val="NormalWeb"/>
              <w:suppressAutoHyphens/>
              <w:autoSpaceDN w:val="0"/>
              <w:spacing w:before="0" w:beforeAutospacing="0" w:after="240" w:afterAutospacing="0"/>
              <w:rPr>
                <w:rFonts w:asciiTheme="minorHAnsi" w:hAnsiTheme="minorHAnsi" w:cstheme="minorHAnsi"/>
                <w:color w:val="0D0D0D"/>
                <w:sz w:val="22"/>
                <w:szCs w:val="22"/>
              </w:rPr>
            </w:pPr>
            <w:r>
              <w:rPr>
                <w:rFonts w:asciiTheme="minorHAnsi" w:hAnsiTheme="minorHAnsi" w:cstheme="minorHAnsi"/>
                <w:color w:val="0D0D0D"/>
                <w:sz w:val="22"/>
                <w:szCs w:val="22"/>
              </w:rPr>
              <w:t xml:space="preserve">Our students have </w:t>
            </w:r>
            <w:r w:rsidRPr="00564077">
              <w:rPr>
                <w:rFonts w:asciiTheme="minorHAnsi" w:hAnsiTheme="minorHAnsi" w:cstheme="minorHAnsi"/>
                <w:i/>
                <w:color w:val="0D0D0D"/>
                <w:sz w:val="22"/>
                <w:szCs w:val="22"/>
              </w:rPr>
              <w:t>such</w:t>
            </w:r>
            <w:r>
              <w:rPr>
                <w:rFonts w:asciiTheme="minorHAnsi" w:hAnsiTheme="minorHAnsi" w:cstheme="minorHAnsi"/>
                <w:color w:val="0D0D0D"/>
                <w:sz w:val="22"/>
                <w:szCs w:val="22"/>
              </w:rPr>
              <w:t xml:space="preserve"> a wide range of needs that we do not tend to evaluate them in terms of chronological age or “Primary” and “Secondary”. However, what we do see across </w:t>
            </w:r>
            <w:r w:rsidRPr="006C6F11">
              <w:rPr>
                <w:rFonts w:asciiTheme="minorHAnsi" w:hAnsiTheme="minorHAnsi" w:cstheme="minorHAnsi"/>
                <w:b/>
                <w:color w:val="0D0D0D"/>
                <w:sz w:val="22"/>
                <w:szCs w:val="22"/>
              </w:rPr>
              <w:t>all</w:t>
            </w:r>
            <w:r>
              <w:rPr>
                <w:rFonts w:asciiTheme="minorHAnsi" w:hAnsiTheme="minorHAnsi" w:cstheme="minorHAnsi"/>
                <w:color w:val="0D0D0D"/>
                <w:sz w:val="22"/>
                <w:szCs w:val="22"/>
              </w:rPr>
              <w:t xml:space="preserve"> age ranges are improved outcomes in communication; socialisation; physic</w:t>
            </w:r>
            <w:r w:rsidR="006C6F11">
              <w:rPr>
                <w:rFonts w:asciiTheme="minorHAnsi" w:hAnsiTheme="minorHAnsi" w:cstheme="minorHAnsi"/>
                <w:color w:val="0D0D0D"/>
                <w:sz w:val="22"/>
                <w:szCs w:val="22"/>
              </w:rPr>
              <w:t xml:space="preserve">al mobility, </w:t>
            </w:r>
            <w:r>
              <w:rPr>
                <w:rFonts w:asciiTheme="minorHAnsi" w:hAnsiTheme="minorHAnsi" w:cstheme="minorHAnsi"/>
                <w:color w:val="0D0D0D"/>
                <w:sz w:val="22"/>
                <w:szCs w:val="22"/>
              </w:rPr>
              <w:t>and knowledge, understanding and skills</w:t>
            </w:r>
            <w:r w:rsidR="00DE3837">
              <w:rPr>
                <w:rFonts w:asciiTheme="minorHAnsi" w:hAnsiTheme="minorHAnsi" w:cstheme="minorHAnsi"/>
                <w:color w:val="0D0D0D"/>
                <w:sz w:val="22"/>
                <w:szCs w:val="22"/>
              </w:rPr>
              <w:t>.</w:t>
            </w:r>
            <w:r>
              <w:rPr>
                <w:rFonts w:asciiTheme="minorHAnsi" w:hAnsiTheme="minorHAnsi" w:cstheme="minorHAnsi"/>
                <w:color w:val="0D0D0D"/>
                <w:sz w:val="22"/>
                <w:szCs w:val="22"/>
              </w:rPr>
              <w:t xml:space="preserve"> </w:t>
            </w:r>
          </w:p>
          <w:p w14:paraId="20914D7C" w14:textId="1C0135BD" w:rsidR="00A056EE" w:rsidRPr="00CE506A" w:rsidRDefault="00A056EE" w:rsidP="006C6F15">
            <w:pPr>
              <w:pStyle w:val="NormalWeb"/>
              <w:suppressAutoHyphens/>
              <w:autoSpaceDN w:val="0"/>
              <w:spacing w:before="0" w:beforeAutospacing="0" w:after="240" w:afterAutospacing="0"/>
              <w:rPr>
                <w:rFonts w:asciiTheme="minorHAnsi" w:hAnsiTheme="minorHAnsi" w:cstheme="minorHAnsi"/>
                <w:color w:val="0D0D0D"/>
                <w:sz w:val="22"/>
                <w:szCs w:val="22"/>
              </w:rPr>
            </w:pPr>
            <w:r>
              <w:rPr>
                <w:rFonts w:asciiTheme="minorHAnsi" w:hAnsiTheme="minorHAnsi" w:cstheme="minorHAnsi"/>
                <w:color w:val="0D0D0D"/>
                <w:sz w:val="22"/>
                <w:szCs w:val="22"/>
              </w:rPr>
              <w:t>We have found that disadvantaged students who experienced access to funding and interventions in our previous Pupil Premium strategy all made progress towards their outcomes at least as well as their non-disadvantaged peers. Almost all of our pupils go on to make excellent progress from their starting points and into adult life (we know this as we keep in touch with them). O</w:t>
            </w:r>
            <w:r w:rsidR="006C6F11">
              <w:rPr>
                <w:rFonts w:asciiTheme="minorHAnsi" w:hAnsiTheme="minorHAnsi" w:cstheme="minorHAnsi"/>
                <w:color w:val="0D0D0D"/>
                <w:sz w:val="22"/>
                <w:szCs w:val="22"/>
              </w:rPr>
              <w:t>ver the years, o</w:t>
            </w:r>
            <w:r>
              <w:rPr>
                <w:rFonts w:asciiTheme="minorHAnsi" w:hAnsiTheme="minorHAnsi" w:cstheme="minorHAnsi"/>
                <w:color w:val="0D0D0D"/>
                <w:sz w:val="22"/>
                <w:szCs w:val="22"/>
              </w:rPr>
              <w:t xml:space="preserve">nly a tiny number of learners become NEET and we work </w:t>
            </w:r>
            <w:r w:rsidR="006C6F11">
              <w:rPr>
                <w:rFonts w:asciiTheme="minorHAnsi" w:hAnsiTheme="minorHAnsi" w:cstheme="minorHAnsi"/>
                <w:color w:val="0D0D0D"/>
                <w:sz w:val="22"/>
                <w:szCs w:val="22"/>
              </w:rPr>
              <w:t>very hard to avoid this by spending our Pupil Premium effectively.</w:t>
            </w:r>
          </w:p>
        </w:tc>
      </w:tr>
    </w:tbl>
    <w:p w14:paraId="6EA78894" w14:textId="33EBA30E" w:rsidR="00B80345" w:rsidRPr="0007371A" w:rsidRDefault="00B80345">
      <w:pPr>
        <w:rPr>
          <w:rFonts w:asciiTheme="minorHAnsi" w:hAnsiTheme="minorHAnsi" w:cstheme="minorHAnsi"/>
          <w:sz w:val="22"/>
          <w:szCs w:val="22"/>
        </w:rPr>
      </w:pPr>
    </w:p>
    <w:sectPr w:rsidR="00B80345" w:rsidRPr="0007371A" w:rsidSect="000105FD">
      <w:footerReference w:type="default" r:id="rId9"/>
      <w:pgSz w:w="16838" w:h="11906" w:orient="landscape"/>
      <w:pgMar w:top="1134" w:right="1134" w:bottom="1276"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3F49" w14:textId="77777777" w:rsidR="00CE4B0B" w:rsidRDefault="00A9244D">
      <w:pPr>
        <w:spacing w:after="0" w:line="240" w:lineRule="auto"/>
      </w:pPr>
      <w:r>
        <w:separator/>
      </w:r>
    </w:p>
  </w:endnote>
  <w:endnote w:type="continuationSeparator" w:id="0">
    <w:p w14:paraId="0E273F4B" w14:textId="77777777" w:rsidR="00CE4B0B" w:rsidRDefault="00A9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3F4D" w14:textId="24C29BD8" w:rsidR="007A5B7A" w:rsidRDefault="00A9244D">
    <w:pPr>
      <w:pStyle w:val="Footer"/>
      <w:ind w:firstLine="4513"/>
    </w:pPr>
    <w:r>
      <w:fldChar w:fldCharType="begin"/>
    </w:r>
    <w:r>
      <w:instrText xml:space="preserve"> PAGE </w:instrText>
    </w:r>
    <w:r>
      <w:fldChar w:fldCharType="separate"/>
    </w:r>
    <w:r w:rsidR="008D4B2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3F45" w14:textId="77777777" w:rsidR="00CE4B0B" w:rsidRDefault="00A9244D">
      <w:pPr>
        <w:spacing w:after="0" w:line="240" w:lineRule="auto"/>
      </w:pPr>
      <w:r>
        <w:separator/>
      </w:r>
    </w:p>
  </w:footnote>
  <w:footnote w:type="continuationSeparator" w:id="0">
    <w:p w14:paraId="0E273F47" w14:textId="77777777" w:rsidR="00CE4B0B" w:rsidRDefault="00A92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761A"/>
    <w:multiLevelType w:val="multilevel"/>
    <w:tmpl w:val="49D869F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1CB18EC"/>
    <w:multiLevelType w:val="multilevel"/>
    <w:tmpl w:val="840E9BBE"/>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 w15:restartNumberingAfterBreak="0">
    <w:nsid w:val="252E160D"/>
    <w:multiLevelType w:val="multilevel"/>
    <w:tmpl w:val="441696B8"/>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A4E2BDE"/>
    <w:multiLevelType w:val="multilevel"/>
    <w:tmpl w:val="59068CEA"/>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D2F1753"/>
    <w:multiLevelType w:val="multilevel"/>
    <w:tmpl w:val="F8509E54"/>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3CA093B"/>
    <w:multiLevelType w:val="multilevel"/>
    <w:tmpl w:val="86C6F122"/>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33D06976"/>
    <w:multiLevelType w:val="multilevel"/>
    <w:tmpl w:val="515EEA9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766749"/>
    <w:multiLevelType w:val="multilevel"/>
    <w:tmpl w:val="608AE78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D77E95"/>
    <w:multiLevelType w:val="multilevel"/>
    <w:tmpl w:val="CC7EA0F4"/>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A265320"/>
    <w:multiLevelType w:val="multilevel"/>
    <w:tmpl w:val="70A0162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154EB4"/>
    <w:multiLevelType w:val="multilevel"/>
    <w:tmpl w:val="4C98ED8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9"/>
  </w:num>
  <w:num w:numId="7">
    <w:abstractNumId w:val="8"/>
  </w:num>
  <w:num w:numId="8">
    <w:abstractNumId w:val="3"/>
  </w:num>
  <w:num w:numId="9">
    <w:abstractNumId w:val="6"/>
  </w:num>
  <w:num w:numId="10">
    <w:abstractNumId w:val="5"/>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10"/>
    <w:rsid w:val="000105FD"/>
    <w:rsid w:val="00065EB9"/>
    <w:rsid w:val="0007371A"/>
    <w:rsid w:val="000B0F2A"/>
    <w:rsid w:val="00213881"/>
    <w:rsid w:val="002347BA"/>
    <w:rsid w:val="00245E29"/>
    <w:rsid w:val="002A7C01"/>
    <w:rsid w:val="00303E50"/>
    <w:rsid w:val="003120E8"/>
    <w:rsid w:val="003512E4"/>
    <w:rsid w:val="00406928"/>
    <w:rsid w:val="004D7E05"/>
    <w:rsid w:val="00517C69"/>
    <w:rsid w:val="00555D7D"/>
    <w:rsid w:val="00564077"/>
    <w:rsid w:val="00566733"/>
    <w:rsid w:val="005710D2"/>
    <w:rsid w:val="005843AC"/>
    <w:rsid w:val="00584A81"/>
    <w:rsid w:val="005D2E44"/>
    <w:rsid w:val="006113F1"/>
    <w:rsid w:val="00643D5D"/>
    <w:rsid w:val="006A38E8"/>
    <w:rsid w:val="006A7C6B"/>
    <w:rsid w:val="006B7B85"/>
    <w:rsid w:val="006C6F11"/>
    <w:rsid w:val="007574FA"/>
    <w:rsid w:val="007A7916"/>
    <w:rsid w:val="007B75C6"/>
    <w:rsid w:val="007C7E90"/>
    <w:rsid w:val="008763B1"/>
    <w:rsid w:val="00882C26"/>
    <w:rsid w:val="008A2A59"/>
    <w:rsid w:val="008A50C1"/>
    <w:rsid w:val="008B3906"/>
    <w:rsid w:val="008D4B2F"/>
    <w:rsid w:val="00907158"/>
    <w:rsid w:val="009146D5"/>
    <w:rsid w:val="00917AA1"/>
    <w:rsid w:val="00955031"/>
    <w:rsid w:val="00957EFB"/>
    <w:rsid w:val="00973D75"/>
    <w:rsid w:val="00A056EE"/>
    <w:rsid w:val="00A15338"/>
    <w:rsid w:val="00A54A83"/>
    <w:rsid w:val="00A736CE"/>
    <w:rsid w:val="00A8436A"/>
    <w:rsid w:val="00A9244D"/>
    <w:rsid w:val="00B2166F"/>
    <w:rsid w:val="00B3542B"/>
    <w:rsid w:val="00B741FA"/>
    <w:rsid w:val="00B80345"/>
    <w:rsid w:val="00BF4E98"/>
    <w:rsid w:val="00CB46E1"/>
    <w:rsid w:val="00CE4B0B"/>
    <w:rsid w:val="00CE506A"/>
    <w:rsid w:val="00CE543E"/>
    <w:rsid w:val="00CF7FA2"/>
    <w:rsid w:val="00D067FC"/>
    <w:rsid w:val="00D701B6"/>
    <w:rsid w:val="00D73936"/>
    <w:rsid w:val="00DD6152"/>
    <w:rsid w:val="00DE3837"/>
    <w:rsid w:val="00DF7128"/>
    <w:rsid w:val="00E018E3"/>
    <w:rsid w:val="00E460DF"/>
    <w:rsid w:val="00EC71AB"/>
    <w:rsid w:val="00F30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3F45"/>
  <w15:docId w15:val="{B93AD1E3-51F7-45B6-B05C-19A9CB1E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pPr>
  </w:style>
  <w:style w:type="paragraph" w:styleId="ListParagraph">
    <w:name w:val="List Paragraph"/>
    <w:basedOn w:val="Normal"/>
    <w:uiPriority w:val="34"/>
    <w:qFormat/>
    <w:pPr>
      <w:numPr>
        <w:numId w:val="9"/>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uiPriority w:val="99"/>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uiPriority w:val="99"/>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uiPriority w:val="99"/>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152"/>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pPr>
  </w:style>
  <w:style w:type="paragraph" w:customStyle="1" w:styleId="DfESOutNumbered">
    <w:name w:val="DfESOutNumbered"/>
    <w:basedOn w:val="Normal"/>
    <w:pPr>
      <w:widowControl w:val="0"/>
      <w:numPr>
        <w:numId w:val="10"/>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Spacing">
    <w:name w:val="No Spacing"/>
    <w:pPr>
      <w:suppressAutoHyphens/>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4"/>
    </w:rPr>
  </w:style>
  <w:style w:type="paragraph" w:customStyle="1" w:styleId="Default">
    <w:name w:val="Default"/>
    <w:pPr>
      <w:suppressAutoHyphens/>
      <w:autoSpaceDE w:val="0"/>
    </w:pPr>
    <w:rPr>
      <w:rFonts w:eastAsia="Calibri" w:cs="Arial"/>
      <w:color w:val="000000"/>
      <w:sz w:val="24"/>
      <w:szCs w:val="24"/>
      <w:lang w:eastAsia="en-US"/>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character" w:styleId="IntenseReference">
    <w:name w:val="Intense Reference"/>
    <w:basedOn w:val="DefaultParagraphFont"/>
    <w:uiPriority w:val="32"/>
    <w:qFormat/>
    <w:rsid w:val="0007371A"/>
    <w:rPr>
      <w:b/>
      <w:bCs/>
      <w:smallCaps/>
      <w:color w:val="5B9BD5" w:themeColor="accent1"/>
      <w:spacing w:val="5"/>
    </w:rPr>
  </w:style>
  <w:style w:type="paragraph" w:styleId="NormalWeb">
    <w:name w:val="Normal (Web)"/>
    <w:basedOn w:val="Normal"/>
    <w:uiPriority w:val="99"/>
    <w:semiHidden/>
    <w:unhideWhenUsed/>
    <w:rsid w:val="0007371A"/>
    <w:pPr>
      <w:suppressAutoHyphens w:val="0"/>
      <w:autoSpaceDN/>
      <w:spacing w:before="100" w:beforeAutospacing="1" w:after="100" w:afterAutospacing="1" w:line="240" w:lineRule="auto"/>
      <w:textAlignment w:val="auto"/>
    </w:pPr>
    <w:rPr>
      <w:rFonts w:ascii="Times New Roman" w:hAnsi="Times New Roman"/>
      <w:color w:val="auto"/>
    </w:rPr>
  </w:style>
  <w:style w:type="table" w:styleId="TableGrid">
    <w:name w:val="Table Grid"/>
    <w:basedOn w:val="TableNormal"/>
    <w:uiPriority w:val="39"/>
    <w:rsid w:val="0007371A"/>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60242">
      <w:bodyDiv w:val="1"/>
      <w:marLeft w:val="0"/>
      <w:marRight w:val="0"/>
      <w:marTop w:val="0"/>
      <w:marBottom w:val="0"/>
      <w:divBdr>
        <w:top w:val="none" w:sz="0" w:space="0" w:color="auto"/>
        <w:left w:val="none" w:sz="0" w:space="0" w:color="auto"/>
        <w:bottom w:val="none" w:sz="0" w:space="0" w:color="auto"/>
        <w:right w:val="none" w:sz="0" w:space="0" w:color="auto"/>
      </w:divBdr>
    </w:div>
    <w:div w:id="553273997">
      <w:bodyDiv w:val="1"/>
      <w:marLeft w:val="0"/>
      <w:marRight w:val="0"/>
      <w:marTop w:val="0"/>
      <w:marBottom w:val="0"/>
      <w:divBdr>
        <w:top w:val="none" w:sz="0" w:space="0" w:color="auto"/>
        <w:left w:val="none" w:sz="0" w:space="0" w:color="auto"/>
        <w:bottom w:val="none" w:sz="0" w:space="0" w:color="auto"/>
        <w:right w:val="none" w:sz="0" w:space="0" w:color="auto"/>
      </w:divBdr>
    </w:div>
    <w:div w:id="786389307">
      <w:bodyDiv w:val="1"/>
      <w:marLeft w:val="0"/>
      <w:marRight w:val="0"/>
      <w:marTop w:val="0"/>
      <w:marBottom w:val="0"/>
      <w:divBdr>
        <w:top w:val="none" w:sz="0" w:space="0" w:color="auto"/>
        <w:left w:val="none" w:sz="0" w:space="0" w:color="auto"/>
        <w:bottom w:val="none" w:sz="0" w:space="0" w:color="auto"/>
        <w:right w:val="none" w:sz="0" w:space="0" w:color="auto"/>
      </w:divBdr>
    </w:div>
    <w:div w:id="1451168429">
      <w:bodyDiv w:val="1"/>
      <w:marLeft w:val="0"/>
      <w:marRight w:val="0"/>
      <w:marTop w:val="0"/>
      <w:marBottom w:val="0"/>
      <w:divBdr>
        <w:top w:val="none" w:sz="0" w:space="0" w:color="auto"/>
        <w:left w:val="none" w:sz="0" w:space="0" w:color="auto"/>
        <w:bottom w:val="none" w:sz="0" w:space="0" w:color="auto"/>
        <w:right w:val="none" w:sz="0" w:space="0" w:color="auto"/>
      </w:divBdr>
    </w:div>
    <w:div w:id="200239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rdoff-robbins.org.uk/research/resources/" TargetMode="External"/><Relationship Id="rId3" Type="http://schemas.openxmlformats.org/officeDocument/2006/relationships/settings" Target="settings.xml"/><Relationship Id="rId7" Type="http://schemas.openxmlformats.org/officeDocument/2006/relationships/hyperlink" Target="https://www.ncbi.nlm.nih.gov/pmc/articles/PMC29898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6</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ALT</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
  <cp:lastModifiedBy>Adam Daw (HEA)</cp:lastModifiedBy>
  <cp:revision>39</cp:revision>
  <cp:lastPrinted>2022-11-10T13:05:00Z</cp:lastPrinted>
  <dcterms:created xsi:type="dcterms:W3CDTF">2021-05-13T11:29:00Z</dcterms:created>
  <dcterms:modified xsi:type="dcterms:W3CDTF">2025-01-13T11:25:00Z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