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F6" w:rsidRDefault="00E516EF">
      <w:pPr>
        <w:pStyle w:val="Heading1"/>
        <w:rPr>
          <w:sz w:val="32"/>
          <w:szCs w:val="32"/>
        </w:rPr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rPr>
          <w:sz w:val="32"/>
          <w:szCs w:val="32"/>
        </w:rPr>
        <w:t>Sports premium strategy statement 2020/21</w:t>
      </w:r>
    </w:p>
    <w:p w:rsidR="002902F6" w:rsidRDefault="00E516EF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Highfield Ely Academy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disadvantaged Primary pupils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premium allocation</w:t>
            </w:r>
            <w:r>
              <w:rPr>
                <w:sz w:val="22"/>
                <w:szCs w:val="22"/>
              </w:rPr>
              <w:t xml:space="preserve"> this academic year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£16,410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2020/21/22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2021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2022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Governing Body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Daw, Head of School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Lorna Robinson</w:t>
            </w:r>
          </w:p>
        </w:tc>
      </w:tr>
    </w:tbl>
    <w:p w:rsidR="002902F6" w:rsidRDefault="00E516E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Disadvantaged pupil barriers to success </w:t>
      </w: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literacy and disordered attachment needs, resulting in behaviour support needs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than national average social deprivation in families at Highfield Ely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 of opportunity to access appropriate </w:t>
            </w:r>
            <w:r>
              <w:rPr>
                <w:sz w:val="22"/>
                <w:szCs w:val="22"/>
              </w:rPr>
              <w:t>exercise opportunities</w:t>
            </w:r>
          </w:p>
        </w:tc>
      </w:tr>
    </w:tbl>
    <w:p w:rsidR="002902F6" w:rsidRDefault="00E516EF">
      <w:pPr>
        <w:pStyle w:val="Heading2"/>
      </w:pPr>
      <w:r>
        <w:rPr>
          <w:sz w:val="24"/>
          <w:szCs w:val="24"/>
        </w:rPr>
        <w:t xml:space="preserve">Sports Premium strategy </w:t>
      </w:r>
    </w:p>
    <w:p w:rsidR="002902F6" w:rsidRDefault="00E516EF">
      <w:pPr>
        <w:rPr>
          <w:sz w:val="22"/>
          <w:szCs w:val="22"/>
        </w:rPr>
      </w:pPr>
      <w:r>
        <w:rPr>
          <w:sz w:val="22"/>
          <w:szCs w:val="22"/>
        </w:rPr>
        <w:t xml:space="preserve">Schools must use the funding to make additional and sustainable improvements to the quality of PE and sport on offer. </w:t>
      </w:r>
    </w:p>
    <w:p w:rsidR="002902F6" w:rsidRDefault="00E516EF">
      <w:pPr>
        <w:rPr>
          <w:sz w:val="22"/>
          <w:szCs w:val="22"/>
        </w:rPr>
      </w:pPr>
      <w:r>
        <w:rPr>
          <w:sz w:val="22"/>
          <w:szCs w:val="22"/>
        </w:rPr>
        <w:t>This means that we should use the premium to 1. Develop or add to the PE and sport activ</w:t>
      </w:r>
      <w:r>
        <w:rPr>
          <w:sz w:val="22"/>
          <w:szCs w:val="22"/>
        </w:rPr>
        <w:t xml:space="preserve">ities that our school already offers and 2. Build capacity and capability within the school to ensure that improvements made now will benefit pupils joining the school in future years </w:t>
      </w:r>
    </w:p>
    <w:p w:rsidR="002902F6" w:rsidRDefault="00E516EF">
      <w:r>
        <w:rPr>
          <w:sz w:val="22"/>
          <w:szCs w:val="22"/>
        </w:rPr>
        <w:t xml:space="preserve">There are </w:t>
      </w:r>
      <w:r>
        <w:rPr>
          <w:b/>
          <w:sz w:val="22"/>
          <w:szCs w:val="22"/>
        </w:rPr>
        <w:t>5 key indicators</w:t>
      </w:r>
      <w:r>
        <w:rPr>
          <w:sz w:val="22"/>
          <w:szCs w:val="22"/>
        </w:rPr>
        <w:t xml:space="preserve"> that schools should expect to see </w:t>
      </w:r>
      <w:r>
        <w:rPr>
          <w:sz w:val="22"/>
          <w:szCs w:val="22"/>
        </w:rPr>
        <w:t xml:space="preserve">improvement across: </w:t>
      </w:r>
    </w:p>
    <w:p w:rsidR="002902F6" w:rsidRDefault="00E516EF"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the engagement of all pupils in regular physical activity - the Chief Medical Officer guidelines recommend that all children and young people aged 5 to 18 engage in at least 60 minutes of physical activity a day, of which 30 minutes </w:t>
      </w:r>
      <w:r>
        <w:rPr>
          <w:sz w:val="22"/>
          <w:szCs w:val="22"/>
        </w:rPr>
        <w:t xml:space="preserve">should be in school </w:t>
      </w:r>
    </w:p>
    <w:p w:rsidR="002902F6" w:rsidRDefault="00E516EF"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the profile of PE and sport is raised across the school as a tool for whole-school improvement </w:t>
      </w:r>
    </w:p>
    <w:p w:rsidR="002902F6" w:rsidRDefault="00E516EF"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increased confidence, knowledge and skills of all staff in teaching PE and sport </w:t>
      </w:r>
    </w:p>
    <w:p w:rsidR="002902F6" w:rsidRDefault="00E516EF"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broader experience of a range of sports and activit</w:t>
      </w:r>
      <w:r>
        <w:rPr>
          <w:sz w:val="22"/>
          <w:szCs w:val="22"/>
        </w:rPr>
        <w:t xml:space="preserve">ies offered to all pupils </w:t>
      </w:r>
    </w:p>
    <w:p w:rsidR="002902F6" w:rsidRDefault="00E516EF"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increased participation in competitive sport</w:t>
      </w:r>
    </w:p>
    <w:p w:rsidR="002902F6" w:rsidRDefault="00E516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We are required to report on the percentage of pupils within the Year 6 cohort who can:</w:t>
      </w:r>
    </w:p>
    <w:p w:rsidR="002902F6" w:rsidRDefault="00E516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“Swim competently, confidently and proficiently over a distance of at least 25 metres; use a r</w:t>
      </w:r>
      <w:r>
        <w:rPr>
          <w:sz w:val="22"/>
          <w:szCs w:val="22"/>
        </w:rPr>
        <w:t>ange of strokes effectively; perform safe self-rescue in different water-based situations”</w:t>
      </w:r>
    </w:p>
    <w:p w:rsidR="002902F6" w:rsidRDefault="00E516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 a Special School, our students follow a comprehensive, individually tailored swimming programme including swimming skills and water survival skills. Because of th</w:t>
      </w:r>
      <w:r>
        <w:rPr>
          <w:sz w:val="22"/>
          <w:szCs w:val="22"/>
        </w:rPr>
        <w:t>eir wide ranging needs, it would not be appropriate or helpful for us to measure progress based on chronological age. Hence, the answer for these questions is 0%.</w:t>
      </w:r>
    </w:p>
    <w:p w:rsidR="002902F6" w:rsidRDefault="00E516EF">
      <w:pPr>
        <w:rPr>
          <w:b/>
          <w:color w:val="0070C0"/>
        </w:rPr>
      </w:pPr>
      <w:r>
        <w:rPr>
          <w:b/>
          <w:color w:val="0070C0"/>
        </w:rPr>
        <w:t>Review: Use of Sports Premium 2020 – 2021</w:t>
      </w:r>
    </w:p>
    <w:p w:rsidR="002902F6" w:rsidRDefault="00E516EF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academic year, Highfield Ely was allocated £16</w:t>
      </w:r>
      <w:r>
        <w:rPr>
          <w:color w:val="auto"/>
          <w:sz w:val="22"/>
          <w:szCs w:val="22"/>
        </w:rPr>
        <w:t>,450 to benefit primary aged pupils. It is being used to fund the following provisions: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5670"/>
      </w:tblGrid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bookmarkEnd w:id="4"/>
          <w:p w:rsidR="002902F6" w:rsidRDefault="00E516EF">
            <w:pPr>
              <w:pStyle w:val="TableRow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Sport Premium indicator/s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Provision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Outcome/s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 provision for Green and Yellow Primary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walks showed pupil engagement was very good. Also saw </w:t>
            </w:r>
            <w:r>
              <w:rPr>
                <w:sz w:val="22"/>
                <w:szCs w:val="22"/>
              </w:rPr>
              <w:t>reduced anxiety in several students. Students gaining confidence in their ability.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Rebound and hydro sessions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 sessions limited by COVID but very successful once re-open. Improved or maintained physical health. Rebound very successful in term</w:t>
            </w:r>
            <w:r>
              <w:rPr>
                <w:sz w:val="22"/>
                <w:szCs w:val="22"/>
              </w:rPr>
              <w:t>s of physical and mental wellbeing and engagement.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Riding for the Disabled sessions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able to take place due to COVID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02F6" w:rsidRDefault="00E516EF">
            <w:pPr>
              <w:pStyle w:val="TableRo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 sessions at public pool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able to take place due to COVID</w:t>
            </w:r>
          </w:p>
        </w:tc>
      </w:tr>
    </w:tbl>
    <w:p w:rsidR="002902F6" w:rsidRDefault="002902F6">
      <w:pPr>
        <w:rPr>
          <w:b/>
          <w:color w:val="0070C0"/>
        </w:rPr>
      </w:pPr>
    </w:p>
    <w:p w:rsidR="002902F6" w:rsidRDefault="00E516EF">
      <w:pPr>
        <w:rPr>
          <w:b/>
          <w:color w:val="0070C0"/>
        </w:rPr>
      </w:pPr>
      <w:r>
        <w:rPr>
          <w:b/>
          <w:color w:val="0070C0"/>
        </w:rPr>
        <w:t xml:space="preserve">Planned use of Sports Premium 2021 – 2022 (inc </w:t>
      </w:r>
      <w:r>
        <w:rPr>
          <w:b/>
          <w:color w:val="0070C0"/>
        </w:rPr>
        <w:t>carry forward)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2777"/>
        <w:gridCol w:w="3024"/>
        <w:gridCol w:w="2646"/>
      </w:tblGrid>
      <w:tr w:rsidR="002902F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Sport Premium indicator/s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Provision (cost)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Impact / Rationale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F6" w:rsidRDefault="00E516EF">
            <w:pPr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Monitoring and evidence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Yoga provision for Green and Yellow Primary (approx. £4000)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Aim to improve fitness, wellbeing, engagement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Evidence for Learning data, feedback </w:t>
            </w:r>
            <w:r>
              <w:rPr>
                <w:color w:val="auto"/>
                <w:sz w:val="22"/>
                <w:szCs w:val="22"/>
              </w:rPr>
              <w:t>from stakeholders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Rebound and hydro sessions</w:t>
            </w:r>
          </w:p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(approx. £9300)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Maintain/improve mobility and balance. Increase engagement. Meet sensory needs.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Evidence for Learning data, feedback from stakeholders and medical professionals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Riding for the </w:t>
            </w:r>
            <w:r>
              <w:rPr>
                <w:sz w:val="22"/>
                <w:szCs w:val="22"/>
              </w:rPr>
              <w:t>Disabled sessions</w:t>
            </w:r>
          </w:p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(approx. £3100)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Maintain/improve mobility and balance. Increase engagement. Meet sensory needs. Social aspect of trip </w:t>
            </w:r>
            <w:r>
              <w:rPr>
                <w:color w:val="auto"/>
                <w:sz w:val="22"/>
                <w:szCs w:val="22"/>
              </w:rPr>
              <w:lastRenderedPageBreak/>
              <w:t>out meets needs of several learners.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Evidence for Learning data, feedback from stakeholders</w:t>
            </w:r>
          </w:p>
        </w:tc>
      </w:tr>
      <w:tr w:rsidR="002902F6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</w:pPr>
            <w:r>
              <w:rPr>
                <w:sz w:val="22"/>
                <w:szCs w:val="22"/>
              </w:rPr>
              <w:t>Swimming sessions a</w:t>
            </w:r>
            <w:r>
              <w:rPr>
                <w:sz w:val="22"/>
                <w:szCs w:val="22"/>
              </w:rPr>
              <w:t>t public pool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2902F6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F6" w:rsidRDefault="00E516EF">
            <w:pPr>
              <w:spacing w:before="60"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Annual review feedback from parents, EHCP outcomes, stakeholder feedback, Swimming progression awards</w:t>
            </w:r>
          </w:p>
        </w:tc>
      </w:tr>
    </w:tbl>
    <w:p w:rsidR="002902F6" w:rsidRDefault="002902F6"/>
    <w:sectPr w:rsidR="002902F6">
      <w:footerReference w:type="default" r:id="rId7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6EF">
      <w:pPr>
        <w:spacing w:after="0" w:line="240" w:lineRule="auto"/>
      </w:pPr>
      <w:r>
        <w:separator/>
      </w:r>
    </w:p>
  </w:endnote>
  <w:endnote w:type="continuationSeparator" w:id="0">
    <w:p w:rsidR="00000000" w:rsidRDefault="00E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CF" w:rsidRDefault="00E516EF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6EF">
      <w:pPr>
        <w:spacing w:after="0" w:line="240" w:lineRule="auto"/>
      </w:pPr>
      <w:r>
        <w:separator/>
      </w:r>
    </w:p>
  </w:footnote>
  <w:footnote w:type="continuationSeparator" w:id="0">
    <w:p w:rsidR="00000000" w:rsidRDefault="00E5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1F"/>
    <w:multiLevelType w:val="multilevel"/>
    <w:tmpl w:val="F9B415F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A1F80"/>
    <w:multiLevelType w:val="multilevel"/>
    <w:tmpl w:val="77661A1A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" w15:restartNumberingAfterBreak="0">
    <w:nsid w:val="11EF2EA3"/>
    <w:multiLevelType w:val="multilevel"/>
    <w:tmpl w:val="DA70A25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1768292C"/>
    <w:multiLevelType w:val="multilevel"/>
    <w:tmpl w:val="7C90150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9A06C4"/>
    <w:multiLevelType w:val="multilevel"/>
    <w:tmpl w:val="859A0F58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E974ACE"/>
    <w:multiLevelType w:val="multilevel"/>
    <w:tmpl w:val="1FF2FE1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C03D28"/>
    <w:multiLevelType w:val="multilevel"/>
    <w:tmpl w:val="C90094F6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BFA486A"/>
    <w:multiLevelType w:val="multilevel"/>
    <w:tmpl w:val="BFF0ECC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3B4372"/>
    <w:multiLevelType w:val="multilevel"/>
    <w:tmpl w:val="7D50F09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772CC3"/>
    <w:multiLevelType w:val="multilevel"/>
    <w:tmpl w:val="F9BC4748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5B0C1A9E"/>
    <w:multiLevelType w:val="multilevel"/>
    <w:tmpl w:val="92AC3BB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19D75C7"/>
    <w:multiLevelType w:val="multilevel"/>
    <w:tmpl w:val="4732DF8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8430715"/>
    <w:multiLevelType w:val="multilevel"/>
    <w:tmpl w:val="AE5A27A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9EB7A3A"/>
    <w:multiLevelType w:val="multilevel"/>
    <w:tmpl w:val="8EC0020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02F6"/>
    <w:rsid w:val="002902F6"/>
    <w:rsid w:val="00E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B97D-9048-454E-8C6F-38CECA9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9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8"/>
      </w:numPr>
    </w:pPr>
  </w:style>
  <w:style w:type="paragraph" w:styleId="ListParagraph">
    <w:name w:val="List Paragraph"/>
    <w:basedOn w:val="Normal"/>
    <w:pPr>
      <w:numPr>
        <w:numId w:val="12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7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0"/>
      </w:numPr>
      <w:tabs>
        <w:tab w:val="left" w:pos="-2081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1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3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4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LFO3">
    <w:name w:val="LFO3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9">
    <w:name w:val="LFO9"/>
    <w:basedOn w:val="NoList"/>
    <w:pPr>
      <w:numPr>
        <w:numId w:val="10"/>
      </w:numPr>
    </w:pPr>
  </w:style>
  <w:style w:type="numbering" w:customStyle="1" w:styleId="LFO10">
    <w:name w:val="LFO10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  <w:style w:type="numbering" w:customStyle="1" w:styleId="LFO28">
    <w:name w:val="LFO28"/>
    <w:basedOn w:val="NoList"/>
    <w:pPr>
      <w:numPr>
        <w:numId w:val="13"/>
      </w:numPr>
    </w:pPr>
  </w:style>
  <w:style w:type="numbering" w:customStyle="1" w:styleId="LFO30">
    <w:name w:val="LFO30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ALT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Adam Daw</cp:lastModifiedBy>
  <cp:revision>2</cp:revision>
  <cp:lastPrinted>2021-04-29T11:40:00Z</cp:lastPrinted>
  <dcterms:created xsi:type="dcterms:W3CDTF">2021-05-13T11:55:00Z</dcterms:created>
  <dcterms:modified xsi:type="dcterms:W3CDTF">2021-05-13T11:55:00Z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