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29" w:rsidRDefault="00574229" w:rsidP="00574229">
      <w:pPr>
        <w:jc w:val="center"/>
        <w:rPr>
          <w:b/>
          <w:sz w:val="22"/>
        </w:rPr>
      </w:pPr>
      <w:r>
        <w:rPr>
          <w:b/>
          <w:sz w:val="32"/>
          <w:szCs w:val="32"/>
        </w:rPr>
        <w:t>Year 7 Catch Up Funding</w:t>
      </w:r>
    </w:p>
    <w:p w:rsidR="00574229" w:rsidRDefault="00574229" w:rsidP="00574229">
      <w:pPr>
        <w:jc w:val="center"/>
        <w:rPr>
          <w:b/>
          <w:sz w:val="22"/>
        </w:rPr>
      </w:pPr>
    </w:p>
    <w:p w:rsidR="00574229" w:rsidRDefault="00EE5D6C" w:rsidP="00574229">
      <w:pPr>
        <w:jc w:val="center"/>
        <w:rPr>
          <w:b/>
          <w:sz w:val="22"/>
        </w:rPr>
      </w:pPr>
      <w:r>
        <w:rPr>
          <w:b/>
          <w:sz w:val="22"/>
        </w:rPr>
        <w:t>September 2019</w:t>
      </w:r>
    </w:p>
    <w:p w:rsidR="00574229" w:rsidRDefault="00574229" w:rsidP="00574229">
      <w:pPr>
        <w:jc w:val="center"/>
        <w:rPr>
          <w:b/>
          <w:sz w:val="22"/>
        </w:rPr>
      </w:pPr>
    </w:p>
    <w:p w:rsidR="00574229" w:rsidRPr="00953BBD" w:rsidRDefault="00574229" w:rsidP="00574229">
      <w:pPr>
        <w:jc w:val="center"/>
        <w:rPr>
          <w:b/>
          <w:sz w:val="22"/>
        </w:rPr>
      </w:pPr>
      <w:r>
        <w:rPr>
          <w:b/>
          <w:sz w:val="22"/>
        </w:rPr>
        <w:t>Highfield School</w:t>
      </w:r>
    </w:p>
    <w:p w:rsidR="00574229" w:rsidRDefault="00574229" w:rsidP="00574229">
      <w:pPr>
        <w:rPr>
          <w:sz w:val="22"/>
        </w:rPr>
      </w:pPr>
    </w:p>
    <w:tbl>
      <w:tblPr>
        <w:tblpPr w:leftFromText="180" w:rightFromText="180" w:vertAnchor="text" w:horzAnchor="margin" w:tblpXSpec="center" w:tblpY="169"/>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647"/>
      </w:tblGrid>
      <w:tr w:rsidR="0090540B" w:rsidRPr="00562BFE" w:rsidTr="0090540B">
        <w:tc>
          <w:tcPr>
            <w:tcW w:w="2410" w:type="dxa"/>
            <w:vAlign w:val="center"/>
          </w:tcPr>
          <w:p w:rsidR="0090540B" w:rsidRPr="008973ED" w:rsidRDefault="0090540B" w:rsidP="0090540B">
            <w:pPr>
              <w:rPr>
                <w:b/>
                <w:sz w:val="22"/>
              </w:rPr>
            </w:pPr>
            <w:r w:rsidRPr="00562BFE">
              <w:rPr>
                <w:b/>
                <w:sz w:val="22"/>
              </w:rPr>
              <w:t>Overview</w:t>
            </w:r>
            <w:r>
              <w:rPr>
                <w:b/>
                <w:sz w:val="22"/>
              </w:rPr>
              <w:t xml:space="preserve"> of Year 7 Catch Up funding</w:t>
            </w:r>
          </w:p>
        </w:tc>
        <w:tc>
          <w:tcPr>
            <w:tcW w:w="8647" w:type="dxa"/>
            <w:vAlign w:val="center"/>
          </w:tcPr>
          <w:p w:rsidR="0090540B" w:rsidRDefault="0090540B" w:rsidP="0090540B">
            <w:pPr>
              <w:rPr>
                <w:rFonts w:cs="Arial"/>
                <w:sz w:val="22"/>
                <w:szCs w:val="22"/>
              </w:rPr>
            </w:pPr>
          </w:p>
          <w:p w:rsidR="0090540B" w:rsidRDefault="0090540B" w:rsidP="0090540B">
            <w:pPr>
              <w:rPr>
                <w:rFonts w:cs="Arial"/>
                <w:sz w:val="22"/>
                <w:szCs w:val="22"/>
              </w:rPr>
            </w:pPr>
            <w:r>
              <w:rPr>
                <w:rFonts w:cs="Arial"/>
                <w:sz w:val="22"/>
                <w:szCs w:val="22"/>
              </w:rPr>
              <w:t xml:space="preserve">The Year 7 literacy and numeracy catch up premium grant is paid to year 7 pupils who did not achieve </w:t>
            </w:r>
            <w:r w:rsidR="00EE5D6C">
              <w:rPr>
                <w:rFonts w:cs="Arial"/>
                <w:sz w:val="22"/>
                <w:szCs w:val="22"/>
              </w:rPr>
              <w:t xml:space="preserve">expected progress </w:t>
            </w:r>
            <w:r>
              <w:rPr>
                <w:rFonts w:cs="Arial"/>
                <w:sz w:val="22"/>
                <w:szCs w:val="22"/>
              </w:rPr>
              <w:t xml:space="preserve">in reading and/or </w:t>
            </w:r>
            <w:proofErr w:type="spellStart"/>
            <w:r>
              <w:rPr>
                <w:rFonts w:cs="Arial"/>
                <w:sz w:val="22"/>
                <w:szCs w:val="22"/>
              </w:rPr>
              <w:t>maths</w:t>
            </w:r>
            <w:proofErr w:type="spellEnd"/>
            <w:r>
              <w:rPr>
                <w:rFonts w:cs="Arial"/>
                <w:sz w:val="22"/>
                <w:szCs w:val="22"/>
              </w:rPr>
              <w:t xml:space="preserve"> at the end of year 6. £500 is paid per pupil. As a Special School, this grant will usually apply to all students starting in year 7. </w:t>
            </w:r>
          </w:p>
          <w:p w:rsidR="0090540B" w:rsidRPr="008E4AB4" w:rsidRDefault="0090540B" w:rsidP="0090540B">
            <w:pPr>
              <w:rPr>
                <w:rFonts w:cs="Arial"/>
                <w:sz w:val="22"/>
                <w:szCs w:val="22"/>
                <w:shd w:val="clear" w:color="auto" w:fill="FFFFFF"/>
                <w:lang w:val="en-GB"/>
              </w:rPr>
            </w:pPr>
          </w:p>
        </w:tc>
      </w:tr>
      <w:tr w:rsidR="0090540B" w:rsidRPr="00562BFE" w:rsidTr="0090540B">
        <w:tc>
          <w:tcPr>
            <w:tcW w:w="2410" w:type="dxa"/>
            <w:vAlign w:val="center"/>
          </w:tcPr>
          <w:p w:rsidR="0090540B" w:rsidRPr="00562BFE" w:rsidRDefault="0090540B" w:rsidP="0090540B">
            <w:pPr>
              <w:rPr>
                <w:b/>
                <w:sz w:val="22"/>
              </w:rPr>
            </w:pPr>
            <w:r>
              <w:rPr>
                <w:b/>
                <w:sz w:val="22"/>
              </w:rPr>
              <w:t>How are we accountable?</w:t>
            </w:r>
          </w:p>
        </w:tc>
        <w:tc>
          <w:tcPr>
            <w:tcW w:w="8647" w:type="dxa"/>
            <w:vAlign w:val="center"/>
          </w:tcPr>
          <w:p w:rsidR="0090540B" w:rsidRDefault="0090540B" w:rsidP="0090540B">
            <w:pPr>
              <w:rPr>
                <w:rFonts w:cs="Arial"/>
                <w:sz w:val="22"/>
                <w:szCs w:val="22"/>
              </w:rPr>
            </w:pPr>
          </w:p>
          <w:p w:rsidR="0090540B" w:rsidRDefault="0090540B" w:rsidP="0090540B">
            <w:pPr>
              <w:rPr>
                <w:rFonts w:cs="Arial"/>
                <w:sz w:val="22"/>
                <w:szCs w:val="22"/>
              </w:rPr>
            </w:pPr>
            <w:r>
              <w:rPr>
                <w:rFonts w:cs="Arial"/>
                <w:sz w:val="22"/>
                <w:szCs w:val="22"/>
              </w:rPr>
              <w:t xml:space="preserve">Since September 2013 </w:t>
            </w:r>
            <w:proofErr w:type="spellStart"/>
            <w:r>
              <w:rPr>
                <w:rFonts w:cs="Arial"/>
                <w:sz w:val="22"/>
                <w:szCs w:val="22"/>
              </w:rPr>
              <w:t>Ofsted</w:t>
            </w:r>
            <w:proofErr w:type="spellEnd"/>
            <w:r>
              <w:rPr>
                <w:rFonts w:cs="Arial"/>
                <w:sz w:val="22"/>
                <w:szCs w:val="22"/>
              </w:rPr>
              <w:t xml:space="preserve"> insp</w:t>
            </w:r>
            <w:r w:rsidR="00894B1E">
              <w:rPr>
                <w:rFonts w:cs="Arial"/>
                <w:sz w:val="22"/>
                <w:szCs w:val="22"/>
              </w:rPr>
              <w:t>ections report on Year 7 catch u</w:t>
            </w:r>
            <w:r>
              <w:rPr>
                <w:rFonts w:cs="Arial"/>
                <w:sz w:val="22"/>
                <w:szCs w:val="22"/>
              </w:rPr>
              <w:t xml:space="preserve">p funding and on how schools spend their additional funding. </w:t>
            </w:r>
          </w:p>
          <w:p w:rsidR="0090540B" w:rsidRDefault="0090540B" w:rsidP="0090540B">
            <w:pPr>
              <w:rPr>
                <w:rFonts w:cs="Arial"/>
                <w:sz w:val="22"/>
                <w:szCs w:val="22"/>
              </w:rPr>
            </w:pPr>
          </w:p>
        </w:tc>
      </w:tr>
      <w:tr w:rsidR="0090540B" w:rsidRPr="00562BFE" w:rsidTr="0090540B">
        <w:tc>
          <w:tcPr>
            <w:tcW w:w="2410" w:type="dxa"/>
            <w:vAlign w:val="center"/>
          </w:tcPr>
          <w:p w:rsidR="0090540B" w:rsidRDefault="0090540B" w:rsidP="0090540B">
            <w:pPr>
              <w:rPr>
                <w:b/>
                <w:sz w:val="22"/>
              </w:rPr>
            </w:pPr>
            <w:r>
              <w:rPr>
                <w:b/>
                <w:sz w:val="22"/>
              </w:rPr>
              <w:t>Looking back:</w:t>
            </w:r>
          </w:p>
          <w:p w:rsidR="0090540B" w:rsidRDefault="0090540B" w:rsidP="0090540B">
            <w:pPr>
              <w:rPr>
                <w:b/>
                <w:sz w:val="22"/>
              </w:rPr>
            </w:pPr>
            <w:r w:rsidRPr="00562BFE">
              <w:rPr>
                <w:b/>
                <w:sz w:val="22"/>
              </w:rPr>
              <w:t>H</w:t>
            </w:r>
            <w:r>
              <w:rPr>
                <w:b/>
                <w:sz w:val="22"/>
              </w:rPr>
              <w:t>ow the previous</w:t>
            </w:r>
            <w:r w:rsidRPr="00562BFE">
              <w:rPr>
                <w:b/>
                <w:sz w:val="22"/>
              </w:rPr>
              <w:t xml:space="preserve"> year’s allocation was spent?</w:t>
            </w:r>
          </w:p>
          <w:p w:rsidR="0090540B" w:rsidRDefault="0090540B" w:rsidP="0090540B">
            <w:pPr>
              <w:rPr>
                <w:sz w:val="22"/>
              </w:rPr>
            </w:pPr>
          </w:p>
          <w:p w:rsidR="0090540B" w:rsidRPr="00562BFE" w:rsidRDefault="0090540B" w:rsidP="0090540B">
            <w:pPr>
              <w:rPr>
                <w:b/>
                <w:sz w:val="22"/>
              </w:rPr>
            </w:pPr>
          </w:p>
        </w:tc>
        <w:tc>
          <w:tcPr>
            <w:tcW w:w="8647" w:type="dxa"/>
            <w:vAlign w:val="center"/>
          </w:tcPr>
          <w:p w:rsidR="0090540B" w:rsidRDefault="00EE5D6C" w:rsidP="0090540B">
            <w:pPr>
              <w:rPr>
                <w:sz w:val="22"/>
              </w:rPr>
            </w:pPr>
            <w:r>
              <w:rPr>
                <w:sz w:val="22"/>
              </w:rPr>
              <w:t>In 2018/19</w:t>
            </w:r>
            <w:r w:rsidR="0090540B">
              <w:rPr>
                <w:sz w:val="22"/>
              </w:rPr>
              <w:t xml:space="preserve"> the school </w:t>
            </w:r>
            <w:r w:rsidR="0090540B" w:rsidRPr="00562BFE">
              <w:rPr>
                <w:sz w:val="22"/>
              </w:rPr>
              <w:t xml:space="preserve">received </w:t>
            </w:r>
            <w:r>
              <w:rPr>
                <w:b/>
                <w:sz w:val="22"/>
              </w:rPr>
              <w:t>£50</w:t>
            </w:r>
            <w:r w:rsidR="0090540B">
              <w:rPr>
                <w:b/>
                <w:sz w:val="22"/>
              </w:rPr>
              <w:t>00</w:t>
            </w:r>
            <w:r w:rsidR="0090540B" w:rsidRPr="00562BFE">
              <w:rPr>
                <w:sz w:val="22"/>
              </w:rPr>
              <w:t xml:space="preserve"> </w:t>
            </w:r>
            <w:r w:rsidR="0090540B">
              <w:rPr>
                <w:sz w:val="22"/>
              </w:rPr>
              <w:t xml:space="preserve">at the end of the financial year </w:t>
            </w:r>
            <w:r w:rsidR="0090540B" w:rsidRPr="00562BFE">
              <w:rPr>
                <w:sz w:val="22"/>
              </w:rPr>
              <w:t xml:space="preserve">and </w:t>
            </w:r>
            <w:r w:rsidR="0090540B">
              <w:rPr>
                <w:sz w:val="22"/>
              </w:rPr>
              <w:t xml:space="preserve">this was </w:t>
            </w:r>
            <w:r w:rsidR="0090540B" w:rsidRPr="00562BFE">
              <w:rPr>
                <w:sz w:val="22"/>
              </w:rPr>
              <w:t>allocated towards</w:t>
            </w:r>
            <w:r w:rsidR="0090540B">
              <w:rPr>
                <w:sz w:val="22"/>
              </w:rPr>
              <w:t>:</w:t>
            </w:r>
          </w:p>
          <w:p w:rsidR="0090540B" w:rsidRPr="008973ED" w:rsidRDefault="0090540B" w:rsidP="0090540B">
            <w:pPr>
              <w:numPr>
                <w:ilvl w:val="0"/>
                <w:numId w:val="2"/>
              </w:numPr>
              <w:rPr>
                <w:rFonts w:cs="Arial"/>
                <w:sz w:val="22"/>
                <w:szCs w:val="22"/>
              </w:rPr>
            </w:pPr>
            <w:r>
              <w:rPr>
                <w:sz w:val="22"/>
              </w:rPr>
              <w:t>Continuing to part fund the ASC Teaching Assistant (£5200)</w:t>
            </w:r>
          </w:p>
          <w:p w:rsidR="0090540B" w:rsidRPr="000C54EC" w:rsidRDefault="0090540B" w:rsidP="0090540B">
            <w:pPr>
              <w:pStyle w:val="ListParagraph"/>
              <w:numPr>
                <w:ilvl w:val="0"/>
                <w:numId w:val="2"/>
              </w:numPr>
              <w:rPr>
                <w:sz w:val="22"/>
              </w:rPr>
            </w:pPr>
            <w:r>
              <w:rPr>
                <w:sz w:val="22"/>
              </w:rPr>
              <w:t>Purchase new Reading Eggs online reading resources (£300)</w:t>
            </w:r>
          </w:p>
        </w:tc>
      </w:tr>
      <w:tr w:rsidR="0090540B" w:rsidRPr="00562BFE" w:rsidTr="0090540B">
        <w:tc>
          <w:tcPr>
            <w:tcW w:w="2410" w:type="dxa"/>
            <w:vAlign w:val="center"/>
          </w:tcPr>
          <w:p w:rsidR="0090540B" w:rsidRDefault="0090540B" w:rsidP="0090540B">
            <w:pPr>
              <w:rPr>
                <w:b/>
                <w:sz w:val="22"/>
              </w:rPr>
            </w:pPr>
            <w:r>
              <w:rPr>
                <w:b/>
                <w:sz w:val="22"/>
              </w:rPr>
              <w:t xml:space="preserve">What was the impact of this funding? </w:t>
            </w:r>
          </w:p>
        </w:tc>
        <w:tc>
          <w:tcPr>
            <w:tcW w:w="8647" w:type="dxa"/>
            <w:vAlign w:val="center"/>
          </w:tcPr>
          <w:p w:rsidR="0090540B" w:rsidRDefault="0090540B" w:rsidP="0090540B">
            <w:pPr>
              <w:rPr>
                <w:sz w:val="22"/>
              </w:rPr>
            </w:pPr>
          </w:p>
          <w:p w:rsidR="0090540B" w:rsidRDefault="0090540B" w:rsidP="0090540B">
            <w:pPr>
              <w:rPr>
                <w:sz w:val="22"/>
              </w:rPr>
            </w:pPr>
            <w:r>
              <w:rPr>
                <w:sz w:val="22"/>
              </w:rPr>
              <w:t xml:space="preserve">Reading Eggs is an online reading scheme which a range of years access, but is aimed at Year 7 especially. We use this intervention in classes, and parents can also use at home. The TEACCH post has also been very successful. There is clear evidence to show the impact for pupils, through Governor visit reports and </w:t>
            </w:r>
            <w:r w:rsidR="00EE5D6C">
              <w:rPr>
                <w:sz w:val="22"/>
              </w:rPr>
              <w:t>Evidence for Learning evidence. We hold Lego therapy clubs during the</w:t>
            </w:r>
            <w:r>
              <w:rPr>
                <w:sz w:val="22"/>
              </w:rPr>
              <w:t xml:space="preserve"> week for identified pupils</w:t>
            </w:r>
            <w:r w:rsidR="00EE5D6C">
              <w:rPr>
                <w:sz w:val="22"/>
              </w:rPr>
              <w:t xml:space="preserve"> to increase social skills and emotional literacy</w:t>
            </w:r>
            <w:r>
              <w:rPr>
                <w:sz w:val="22"/>
              </w:rPr>
              <w:t xml:space="preserve">. This post </w:t>
            </w:r>
            <w:r w:rsidR="00EE5D6C">
              <w:rPr>
                <w:sz w:val="22"/>
              </w:rPr>
              <w:t>continues to be a full time role.</w:t>
            </w:r>
          </w:p>
          <w:p w:rsidR="0090540B" w:rsidRPr="00A924EC" w:rsidRDefault="0090540B" w:rsidP="0090540B">
            <w:pPr>
              <w:rPr>
                <w:sz w:val="22"/>
              </w:rPr>
            </w:pPr>
          </w:p>
        </w:tc>
      </w:tr>
      <w:tr w:rsidR="0090540B" w:rsidRPr="00562BFE" w:rsidTr="0090540B">
        <w:tc>
          <w:tcPr>
            <w:tcW w:w="2410" w:type="dxa"/>
            <w:vAlign w:val="center"/>
          </w:tcPr>
          <w:p w:rsidR="0090540B" w:rsidRDefault="0090540B" w:rsidP="0090540B">
            <w:pPr>
              <w:rPr>
                <w:sz w:val="22"/>
              </w:rPr>
            </w:pPr>
            <w:r w:rsidRPr="00562BFE">
              <w:rPr>
                <w:b/>
                <w:sz w:val="22"/>
              </w:rPr>
              <w:t>Total amount allocated for the current academic year</w:t>
            </w:r>
            <w:r w:rsidRPr="00562BFE">
              <w:rPr>
                <w:sz w:val="22"/>
              </w:rPr>
              <w:t xml:space="preserve">. </w:t>
            </w:r>
            <w:r>
              <w:rPr>
                <w:sz w:val="22"/>
              </w:rPr>
              <w:t xml:space="preserve">     </w:t>
            </w:r>
          </w:p>
          <w:p w:rsidR="0090540B" w:rsidRPr="00562BFE" w:rsidRDefault="0090540B" w:rsidP="0090540B">
            <w:pPr>
              <w:rPr>
                <w:sz w:val="22"/>
              </w:rPr>
            </w:pPr>
          </w:p>
        </w:tc>
        <w:tc>
          <w:tcPr>
            <w:tcW w:w="8647" w:type="dxa"/>
            <w:vAlign w:val="center"/>
          </w:tcPr>
          <w:p w:rsidR="0090540B" w:rsidRPr="00562BFE" w:rsidRDefault="0090540B" w:rsidP="0090540B">
            <w:pPr>
              <w:rPr>
                <w:sz w:val="22"/>
              </w:rPr>
            </w:pPr>
            <w:r>
              <w:rPr>
                <w:sz w:val="22"/>
              </w:rPr>
              <w:t xml:space="preserve">In </w:t>
            </w:r>
            <w:r w:rsidR="00894B1E">
              <w:rPr>
                <w:sz w:val="22"/>
              </w:rPr>
              <w:t xml:space="preserve">the financial year </w:t>
            </w:r>
            <w:r w:rsidR="00EE5D6C">
              <w:rPr>
                <w:sz w:val="22"/>
              </w:rPr>
              <w:t>2019/20</w:t>
            </w:r>
            <w:r>
              <w:rPr>
                <w:sz w:val="22"/>
              </w:rPr>
              <w:t xml:space="preserve"> the school will receive </w:t>
            </w:r>
            <w:r w:rsidRPr="00DB22A9">
              <w:rPr>
                <w:b/>
                <w:sz w:val="22"/>
              </w:rPr>
              <w:t>£</w:t>
            </w:r>
            <w:r w:rsidR="003519B6">
              <w:rPr>
                <w:b/>
                <w:sz w:val="22"/>
              </w:rPr>
              <w:t>75</w:t>
            </w:r>
            <w:r>
              <w:rPr>
                <w:b/>
                <w:sz w:val="22"/>
              </w:rPr>
              <w:t>00</w:t>
            </w:r>
            <w:r w:rsidRPr="00674ABC">
              <w:rPr>
                <w:sz w:val="22"/>
              </w:rPr>
              <w:t xml:space="preserve"> </w:t>
            </w:r>
            <w:r>
              <w:rPr>
                <w:sz w:val="22"/>
              </w:rPr>
              <w:t>to benefit pupils in Year 7</w:t>
            </w:r>
          </w:p>
        </w:tc>
      </w:tr>
      <w:tr w:rsidR="0090540B" w:rsidRPr="00562BFE" w:rsidTr="0090540B">
        <w:tc>
          <w:tcPr>
            <w:tcW w:w="2410" w:type="dxa"/>
            <w:vAlign w:val="center"/>
          </w:tcPr>
          <w:p w:rsidR="0090540B" w:rsidRPr="00562BFE" w:rsidRDefault="0090540B" w:rsidP="0090540B">
            <w:pPr>
              <w:rPr>
                <w:b/>
                <w:sz w:val="22"/>
              </w:rPr>
            </w:pPr>
            <w:r>
              <w:rPr>
                <w:b/>
                <w:sz w:val="22"/>
              </w:rPr>
              <w:t xml:space="preserve">Looking forward: </w:t>
            </w:r>
          </w:p>
          <w:p w:rsidR="0090540B" w:rsidRPr="00313D21" w:rsidRDefault="0090540B" w:rsidP="0090540B">
            <w:pPr>
              <w:rPr>
                <w:b/>
                <w:sz w:val="22"/>
              </w:rPr>
            </w:pPr>
            <w:r>
              <w:rPr>
                <w:b/>
                <w:sz w:val="22"/>
              </w:rPr>
              <w:t>What are o</w:t>
            </w:r>
            <w:r w:rsidRPr="00562BFE">
              <w:rPr>
                <w:b/>
                <w:sz w:val="22"/>
              </w:rPr>
              <w:t xml:space="preserve">ur plans to spend the </w:t>
            </w:r>
            <w:r>
              <w:rPr>
                <w:b/>
                <w:sz w:val="22"/>
              </w:rPr>
              <w:t>Year 7 Catch Up premium</w:t>
            </w:r>
            <w:r w:rsidRPr="00562BFE">
              <w:rPr>
                <w:b/>
                <w:sz w:val="22"/>
              </w:rPr>
              <w:t xml:space="preserve"> this academic year?</w:t>
            </w:r>
          </w:p>
        </w:tc>
        <w:tc>
          <w:tcPr>
            <w:tcW w:w="8647" w:type="dxa"/>
            <w:vAlign w:val="center"/>
          </w:tcPr>
          <w:p w:rsidR="0090540B" w:rsidRDefault="0090540B" w:rsidP="003519B6">
            <w:pPr>
              <w:numPr>
                <w:ilvl w:val="0"/>
                <w:numId w:val="1"/>
              </w:numPr>
              <w:rPr>
                <w:sz w:val="22"/>
              </w:rPr>
            </w:pPr>
            <w:r>
              <w:rPr>
                <w:sz w:val="22"/>
              </w:rPr>
              <w:t>Continuing to fund the TEACCH post, topped up with the main school budget</w:t>
            </w:r>
          </w:p>
          <w:p w:rsidR="003519B6" w:rsidRPr="003519B6" w:rsidRDefault="003519B6" w:rsidP="003519B6">
            <w:pPr>
              <w:numPr>
                <w:ilvl w:val="0"/>
                <w:numId w:val="1"/>
              </w:numPr>
              <w:rPr>
                <w:sz w:val="22"/>
              </w:rPr>
            </w:pPr>
            <w:r>
              <w:rPr>
                <w:sz w:val="22"/>
              </w:rPr>
              <w:t xml:space="preserve">Fund </w:t>
            </w:r>
            <w:proofErr w:type="spellStart"/>
            <w:r>
              <w:rPr>
                <w:sz w:val="22"/>
              </w:rPr>
              <w:t>Mathletics</w:t>
            </w:r>
            <w:proofErr w:type="spellEnd"/>
            <w:r>
              <w:rPr>
                <w:sz w:val="22"/>
              </w:rPr>
              <w:t xml:space="preserve"> and </w:t>
            </w:r>
            <w:proofErr w:type="spellStart"/>
            <w:r>
              <w:rPr>
                <w:sz w:val="22"/>
              </w:rPr>
              <w:t>Spellodrome</w:t>
            </w:r>
            <w:proofErr w:type="spellEnd"/>
            <w:r>
              <w:rPr>
                <w:sz w:val="22"/>
              </w:rPr>
              <w:t xml:space="preserve"> </w:t>
            </w:r>
            <w:r w:rsidRPr="003519B6">
              <w:rPr>
                <w:b/>
                <w:sz w:val="22"/>
              </w:rPr>
              <w:t>£</w:t>
            </w:r>
            <w:r>
              <w:rPr>
                <w:b/>
                <w:sz w:val="22"/>
              </w:rPr>
              <w:t>1220</w:t>
            </w:r>
            <w:r>
              <w:rPr>
                <w:sz w:val="22"/>
              </w:rPr>
              <w:t xml:space="preserve"> total</w:t>
            </w:r>
            <w:bookmarkStart w:id="0" w:name="_GoBack"/>
            <w:bookmarkEnd w:id="0"/>
          </w:p>
        </w:tc>
      </w:tr>
    </w:tbl>
    <w:p w:rsidR="00574229" w:rsidRDefault="00574229" w:rsidP="00574229">
      <w:pPr>
        <w:rPr>
          <w:sz w:val="22"/>
        </w:rPr>
      </w:pPr>
    </w:p>
    <w:p w:rsidR="00574229" w:rsidRPr="00953BBD" w:rsidRDefault="00574229" w:rsidP="00574229">
      <w:pPr>
        <w:rPr>
          <w:sz w:val="22"/>
        </w:rPr>
      </w:pPr>
    </w:p>
    <w:p w:rsidR="00E76CFA" w:rsidRDefault="00E76CFA"/>
    <w:sectPr w:rsidR="00E76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B0801"/>
    <w:multiLevelType w:val="hybridMultilevel"/>
    <w:tmpl w:val="A1AE3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BE6878"/>
    <w:multiLevelType w:val="hybridMultilevel"/>
    <w:tmpl w:val="84727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29"/>
    <w:rsid w:val="003519B6"/>
    <w:rsid w:val="00574229"/>
    <w:rsid w:val="00894B1E"/>
    <w:rsid w:val="0090540B"/>
    <w:rsid w:val="00E76CFA"/>
    <w:rsid w:val="00EE5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35CC"/>
  <w15:chartTrackingRefBased/>
  <w15:docId w15:val="{3ED90918-154E-4D7A-A8B9-9AEE5243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229"/>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2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Daw</dc:creator>
  <cp:keywords/>
  <dc:description/>
  <cp:lastModifiedBy>Simon Bainbridge</cp:lastModifiedBy>
  <cp:revision>2</cp:revision>
  <dcterms:created xsi:type="dcterms:W3CDTF">2019-12-06T15:01:00Z</dcterms:created>
  <dcterms:modified xsi:type="dcterms:W3CDTF">2019-12-06T15:01:00Z</dcterms:modified>
</cp:coreProperties>
</file>