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kern w:val="2"/>
          <w:sz w:val="2"/>
          <w:lang w:val="en-GB"/>
          <w14:ligatures w14:val="standardContextual"/>
        </w:rPr>
        <w:id w:val="-1973350013"/>
        <w:docPartObj>
          <w:docPartGallery w:val="Cover Pages"/>
          <w:docPartUnique/>
        </w:docPartObj>
      </w:sdtPr>
      <w:sdtEndPr>
        <w:rPr>
          <w:sz w:val="22"/>
        </w:rPr>
      </w:sdtEndPr>
      <w:sdtContent>
        <w:p w14:paraId="45A9BAC2" w14:textId="6C4C7EA4" w:rsidR="00D5575D" w:rsidRDefault="00D5575D">
          <w:pPr>
            <w:pStyle w:val="NoSpacing"/>
            <w:rPr>
              <w:sz w:val="2"/>
            </w:rPr>
          </w:pPr>
        </w:p>
        <w:p w14:paraId="1B6E885C" w14:textId="1387DBA7" w:rsidR="00D5575D" w:rsidRDefault="00D5575D"/>
        <w:p w14:paraId="5231243A" w14:textId="7946C1FC" w:rsidR="00D5575D" w:rsidRDefault="00B05CF1">
          <w:r>
            <w:rPr>
              <w:noProof/>
            </w:rPr>
            <mc:AlternateContent>
              <mc:Choice Requires="wps">
                <w:drawing>
                  <wp:anchor distT="0" distB="0" distL="114300" distR="114300" simplePos="0" relativeHeight="251668480" behindDoc="0" locked="0" layoutInCell="1" allowOverlap="1" wp14:anchorId="7A71E9C4" wp14:editId="1325F456">
                    <wp:simplePos x="0" y="0"/>
                    <wp:positionH relativeFrom="margin">
                      <wp:align>left</wp:align>
                    </wp:positionH>
                    <wp:positionV relativeFrom="margin">
                      <wp:posOffset>1384935</wp:posOffset>
                    </wp:positionV>
                    <wp:extent cx="4238625" cy="914400"/>
                    <wp:effectExtent l="0" t="0" r="0" b="0"/>
                    <wp:wrapNone/>
                    <wp:docPr id="62" name="Text Box 15"/>
                    <wp:cNvGraphicFramePr/>
                    <a:graphic xmlns:a="http://schemas.openxmlformats.org/drawingml/2006/main">
                      <a:graphicData uri="http://schemas.microsoft.com/office/word/2010/wordprocessingShape">
                        <wps:wsp>
                          <wps:cNvSpPr txBox="1"/>
                          <wps:spPr>
                            <a:xfrm>
                              <a:off x="0" y="0"/>
                              <a:ext cx="423862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DD65A" w14:textId="77777777" w:rsidR="00D5575D" w:rsidRDefault="00D5575D" w:rsidP="00D5575D">
                                <w:pPr>
                                  <w:pStyle w:val="NoSpacing"/>
                                  <w:rPr>
                                    <w:rFonts w:asciiTheme="majorHAnsi" w:eastAsiaTheme="majorEastAsia" w:hAnsiTheme="majorHAnsi" w:cstheme="majorBidi"/>
                                    <w:caps/>
                                    <w:color w:val="873168"/>
                                    <w:sz w:val="68"/>
                                    <w:szCs w:val="68"/>
                                  </w:rPr>
                                </w:pPr>
                              </w:p>
                              <w:sdt>
                                <w:sdtPr>
                                  <w:rPr>
                                    <w:rFonts w:asciiTheme="majorHAnsi" w:eastAsiaTheme="majorEastAsia" w:hAnsiTheme="majorHAnsi" w:cstheme="majorBidi"/>
                                    <w:b/>
                                    <w:bCs/>
                                    <w:caps/>
                                    <w:color w:val="873168"/>
                                    <w:sz w:val="68"/>
                                    <w:szCs w:val="68"/>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41BF122C" w14:textId="612FC18D" w:rsidR="00D5575D" w:rsidRPr="00A70ABC" w:rsidRDefault="001A6684" w:rsidP="00D5575D">
                                    <w:pPr>
                                      <w:pStyle w:val="NoSpacing"/>
                                      <w:rPr>
                                        <w:rFonts w:asciiTheme="majorHAnsi" w:eastAsiaTheme="majorEastAsia" w:hAnsiTheme="majorHAnsi" w:cstheme="majorBidi"/>
                                        <w:b/>
                                        <w:bCs/>
                                        <w:caps/>
                                        <w:color w:val="8496B0" w:themeColor="text2" w:themeTint="99"/>
                                        <w:sz w:val="68"/>
                                        <w:szCs w:val="68"/>
                                      </w:rPr>
                                    </w:pPr>
                                    <w:r>
                                      <w:rPr>
                                        <w:rFonts w:asciiTheme="majorHAnsi" w:eastAsiaTheme="majorEastAsia" w:hAnsiTheme="majorHAnsi" w:cstheme="majorBidi"/>
                                        <w:b/>
                                        <w:bCs/>
                                        <w:caps/>
                                        <w:color w:val="873168"/>
                                        <w:sz w:val="68"/>
                                        <w:szCs w:val="68"/>
                                      </w:rPr>
                                      <w:t>CAPABILITY POLICY &amp; PROCEDURE – SUPPORT STAFF</w:t>
                                    </w:r>
                                  </w:p>
                                </w:sdtContent>
                              </w:sdt>
                              <w:p w14:paraId="5A290437" w14:textId="4C187A75" w:rsidR="00D5575D" w:rsidRDefault="00D557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type w14:anchorId="7A71E9C4" id="_x0000_t202" coordsize="21600,21600" o:spt="202" path="m,l,21600r21600,l21600,xe">
                    <v:stroke joinstyle="miter"/>
                    <v:path gradientshapeok="t" o:connecttype="rect"/>
                  </v:shapetype>
                  <v:shape id="Text Box 15" o:spid="_x0000_s1026" type="#_x0000_t202" style="position:absolute;margin-left:0;margin-top:109.05pt;width:333.75pt;height:1in;z-index:251668480;visibility:visible;mso-wrap-style:square;mso-width-percent:0;mso-wrap-distance-left:9pt;mso-wrap-distance-top:0;mso-wrap-distance-right:9pt;mso-wrap-distance-bottom:0;mso-position-horizontal:left;mso-position-horizontal-relative:margin;mso-position-vertical:absolute;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" filled="f" stroked="f" strokeweight=".5pt">
                    <v:textbox style="mso-fit-shape-to-text:t">
                      <w:txbxContent>
                        <w:p w14:paraId="4B8DD65A" w14:textId="77777777" w:rsidR="00D5575D" w:rsidRDefault="00D5575D" w:rsidP="00D5575D">
                          <w:pPr>
                            <w:pStyle w:val="NoSpacing"/>
                            <w:rPr>
                              <w:rFonts w:asciiTheme="majorHAnsi" w:eastAsiaTheme="majorEastAsia" w:hAnsiTheme="majorHAnsi" w:cstheme="majorBidi"/>
                              <w:caps/>
                              <w:color w:val="873168"/>
                              <w:sz w:val="68"/>
                              <w:szCs w:val="68"/>
                            </w:rPr>
                          </w:pPr>
                        </w:p>
                        <w:sdt>
                          <w:sdtPr>
                            <w:rPr>
                              <w:rFonts w:asciiTheme="majorHAnsi" w:eastAsiaTheme="majorEastAsia" w:hAnsiTheme="majorHAnsi" w:cstheme="majorBidi"/>
                              <w:b/>
                              <w:bCs/>
                              <w:caps/>
                              <w:color w:val="873168"/>
                              <w:sz w:val="68"/>
                              <w:szCs w:val="68"/>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sdtContent>
                            <w:p w14:paraId="41BF122C" w14:textId="612FC18D" w:rsidR="00D5575D" w:rsidRPr="00A70ABC" w:rsidRDefault="001A6684" w:rsidP="00D5575D">
                              <w:pPr>
                                <w:pStyle w:val="NoSpacing"/>
                                <w:rPr>
                                  <w:rFonts w:asciiTheme="majorHAnsi" w:eastAsiaTheme="majorEastAsia" w:hAnsiTheme="majorHAnsi" w:cstheme="majorBidi"/>
                                  <w:b/>
                                  <w:bCs/>
                                  <w:caps/>
                                  <w:color w:val="8496B0" w:themeColor="text2" w:themeTint="99"/>
                                  <w:sz w:val="68"/>
                                  <w:szCs w:val="68"/>
                                </w:rPr>
                              </w:pPr>
                              <w:r>
                                <w:rPr>
                                  <w:rFonts w:asciiTheme="majorHAnsi" w:eastAsiaTheme="majorEastAsia" w:hAnsiTheme="majorHAnsi" w:cstheme="majorBidi"/>
                                  <w:b/>
                                  <w:bCs/>
                                  <w:caps/>
                                  <w:color w:val="873168"/>
                                  <w:sz w:val="68"/>
                                  <w:szCs w:val="68"/>
                                </w:rPr>
                                <w:t>CAPABILITY POLICY &amp; PROCEDURE – SUPPORT STAFF</w:t>
                              </w:r>
                            </w:p>
                          </w:sdtContent>
                        </w:sdt>
                        <w:p w14:paraId="5A290437" w14:textId="4C187A75" w:rsidR="00D5575D" w:rsidRDefault="00D5575D"/>
                      </w:txbxContent>
                    </v:textbox>
                    <w10:wrap anchorx="margin" anchory="margin"/>
                  </v:shape>
                </w:pict>
              </mc:Fallback>
            </mc:AlternateContent>
          </w:r>
          <w:r w:rsidR="00DD59E8" w:rsidRPr="008A25B1">
            <w:rPr>
              <w:rFonts w:ascii="Calibri" w:eastAsia="Calibri" w:hAnsi="Calibri" w:cs="Times New Roman"/>
              <w:noProof/>
            </w:rPr>
            <mc:AlternateContent>
              <mc:Choice Requires="wps">
                <w:drawing>
                  <wp:anchor distT="0" distB="0" distL="114300" distR="114300" simplePos="0" relativeHeight="251670528" behindDoc="1" locked="0" layoutInCell="1" allowOverlap="1" wp14:anchorId="0B1C3E3D" wp14:editId="6ED66096">
                    <wp:simplePos x="0" y="0"/>
                    <wp:positionH relativeFrom="page">
                      <wp:posOffset>-666750</wp:posOffset>
                    </wp:positionH>
                    <wp:positionV relativeFrom="bottomMargin">
                      <wp:align>top</wp:align>
                    </wp:positionV>
                    <wp:extent cx="9140825" cy="2148205"/>
                    <wp:effectExtent l="0" t="0" r="3175" b="4445"/>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0825" cy="2148205"/>
                            </a:xfrm>
                            <a:prstGeom prst="rect">
                              <a:avLst/>
                            </a:prstGeom>
                            <a:solidFill>
                              <a:srgbClr val="8731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A4DD7" id="Rectangle 11" o:spid="_x0000_s1026" style="position:absolute;margin-left:-52.5pt;margin-top:0;width:719.75pt;height:169.15pt;z-index:-25164595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" fillcolor="#873168" stroked="f" strokeweight="1pt">
                    <o:lock v:ext="edit" aspectratio="t"/>
                    <w10:wrap anchorx="page" anchory="margin"/>
                  </v:rect>
                </w:pict>
              </mc:Fallback>
            </mc:AlternateContent>
          </w:r>
          <w:r w:rsidR="00DD59E8">
            <w:rPr>
              <w:noProof/>
            </w:rPr>
            <w:drawing>
              <wp:inline distT="0" distB="0" distL="0" distR="0" wp14:anchorId="4B4BFE52" wp14:editId="27EEED0D">
                <wp:extent cx="4638675" cy="1047750"/>
                <wp:effectExtent l="0" t="0" r="0" b="0"/>
                <wp:docPr id="369640392" name="Picture 1"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640392" name="Picture 1" descr="A black background with purple text&#10;&#10;Description automatically generated"/>
                        <pic:cNvPicPr/>
                      </pic:nvPicPr>
                      <pic:blipFill rotWithShape="1">
                        <a:blip r:embed="rId11">
                          <a:extLst>
                            <a:ext uri="{28A0092B-C50C-407E-A947-70E740481C1C}">
                              <a14:useLocalDpi xmlns:a14="http://schemas.microsoft.com/office/drawing/2010/main" val="0"/>
                            </a:ext>
                          </a:extLst>
                        </a:blip>
                        <a:srcRect l="2600"/>
                        <a:stretch/>
                      </pic:blipFill>
                      <pic:spPr bwMode="auto">
                        <a:xfrm>
                          <a:off x="0" y="0"/>
                          <a:ext cx="4639323" cy="1047896"/>
                        </a:xfrm>
                        <a:prstGeom prst="rect">
                          <a:avLst/>
                        </a:prstGeom>
                        <a:ln>
                          <a:noFill/>
                        </a:ln>
                        <a:extLst>
                          <a:ext uri="{53640926-AAD7-44D8-BBD7-CCE9431645EC}">
                            <a14:shadowObscured xmlns:a14="http://schemas.microsoft.com/office/drawing/2010/main"/>
                          </a:ext>
                        </a:extLst>
                      </pic:spPr>
                    </pic:pic>
                  </a:graphicData>
                </a:graphic>
              </wp:inline>
            </w:drawing>
          </w:r>
          <w:r w:rsidR="00DD59E8">
            <w:rPr>
              <w:noProof/>
            </w:rPr>
            <mc:AlternateContent>
              <mc:Choice Requires="wps">
                <w:drawing>
                  <wp:anchor distT="0" distB="0" distL="114300" distR="114300" simplePos="0" relativeHeight="251651072" behindDoc="1" locked="0" layoutInCell="1" allowOverlap="1" wp14:anchorId="72F6D3D6" wp14:editId="73F19B8C">
                    <wp:simplePos x="0" y="0"/>
                    <wp:positionH relativeFrom="column">
                      <wp:posOffset>2658479</wp:posOffset>
                    </wp:positionH>
                    <wp:positionV relativeFrom="paragraph">
                      <wp:posOffset>1994535</wp:posOffset>
                    </wp:positionV>
                    <wp:extent cx="3588365" cy="3596439"/>
                    <wp:effectExtent l="0" t="0" r="12700" b="23495"/>
                    <wp:wrapNone/>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8365" cy="3596439"/>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6394976E" id="Freeform 64" o:spid="_x0000_s1026" style="position:absolute;margin-left:209.35pt;margin-top:157.05pt;width:282.55pt;height:283.2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781,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" path="m4,1786l,1782,1776,r5,5l4,1786xe" fillcolor="#873168" strokecolor="#873168">
                    <v:path arrowok="t" o:connecttype="custom" o:connectlocs="8059,3596439;0,3588384;3578291,0;3588365,10068;8059,3596439" o:connectangles="0,0,0,0,0"/>
                  </v:shape>
                </w:pict>
              </mc:Fallback>
            </mc:AlternateContent>
          </w:r>
          <w:r w:rsidR="00DD59E8">
            <w:rPr>
              <w:noProof/>
            </w:rPr>
            <mc:AlternateContent>
              <mc:Choice Requires="wps">
                <w:drawing>
                  <wp:anchor distT="0" distB="0" distL="114300" distR="114300" simplePos="0" relativeHeight="251652096" behindDoc="1" locked="0" layoutInCell="1" allowOverlap="1" wp14:anchorId="4A49B7AD" wp14:editId="12313F3C">
                    <wp:simplePos x="0" y="0"/>
                    <wp:positionH relativeFrom="column">
                      <wp:posOffset>1745772</wp:posOffset>
                    </wp:positionH>
                    <wp:positionV relativeFrom="paragraph">
                      <wp:posOffset>2282492</wp:posOffset>
                    </wp:positionV>
                    <wp:extent cx="4501070" cy="4498570"/>
                    <wp:effectExtent l="0" t="0" r="13970" b="16510"/>
                    <wp:wrapNone/>
                    <wp:docPr id="65"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1070" cy="4498570"/>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60275BC" id="Freeform 65" o:spid="_x0000_s1026" style="position:absolute;margin-left:137.45pt;margin-top:179.7pt;width:354.4pt;height:354.2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23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" path="m5,2234l,2229,2229,r5,5l5,2234xe" fillcolor="#873168" strokecolor="#873168">
                    <v:path arrowok="t" o:connecttype="custom" o:connectlocs="10074,4498570;0,4488502;4490996,0;4501070,10068;10074,4498570" o:connectangles="0,0,0,0,0"/>
                  </v:shape>
                </w:pict>
              </mc:Fallback>
            </mc:AlternateContent>
          </w:r>
          <w:r w:rsidR="00DD59E8">
            <w:rPr>
              <w:noProof/>
            </w:rPr>
            <mc:AlternateContent>
              <mc:Choice Requires="wps">
                <w:drawing>
                  <wp:anchor distT="0" distB="0" distL="114300" distR="114300" simplePos="0" relativeHeight="251653120" behindDoc="1" locked="0" layoutInCell="1" allowOverlap="1" wp14:anchorId="5657C52E" wp14:editId="067AE015">
                    <wp:simplePos x="0" y="0"/>
                    <wp:positionH relativeFrom="column">
                      <wp:posOffset>1820321</wp:posOffset>
                    </wp:positionH>
                    <wp:positionV relativeFrom="paragraph">
                      <wp:posOffset>2133480</wp:posOffset>
                    </wp:positionV>
                    <wp:extent cx="4426523" cy="4424064"/>
                    <wp:effectExtent l="0" t="0" r="12700" b="14605"/>
                    <wp:wrapNone/>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6523" cy="4424064"/>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4CA414EE" id="Freeform 66" o:spid="_x0000_s1026" style="position:absolute;margin-left:143.35pt;margin-top:168pt;width:348.55pt;height:348.3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197,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" path="m9,2197l,2193,2188,r9,10l9,2197xe" fillcolor="#873168" strokecolor="#873168">
                    <v:path arrowok="t" o:connecttype="custom" o:connectlocs="18133,4424064;0,4416009;4408390,0;4426523,20137;18133,4424064" o:connectangles="0,0,0,0,0"/>
                  </v:shape>
                </w:pict>
              </mc:Fallback>
            </mc:AlternateContent>
          </w:r>
          <w:r w:rsidR="00DD59E8">
            <w:rPr>
              <w:noProof/>
            </w:rPr>
            <mc:AlternateContent>
              <mc:Choice Requires="wps">
                <w:drawing>
                  <wp:anchor distT="0" distB="0" distL="114300" distR="114300" simplePos="0" relativeHeight="251659264" behindDoc="1" locked="0" layoutInCell="1" allowOverlap="1" wp14:anchorId="7DE37142" wp14:editId="51C7B7F1">
                    <wp:simplePos x="0" y="0"/>
                    <wp:positionH relativeFrom="column">
                      <wp:posOffset>2295814</wp:posOffset>
                    </wp:positionH>
                    <wp:positionV relativeFrom="paragraph">
                      <wp:posOffset>2626832</wp:posOffset>
                    </wp:positionV>
                    <wp:extent cx="3951030" cy="3958902"/>
                    <wp:effectExtent l="0" t="0" r="11430" b="22860"/>
                    <wp:wrapNone/>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1030" cy="3958902"/>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4AEF1CF3" id="Freeform 67" o:spid="_x0000_s1026" style="position:absolute;margin-left:180.75pt;margin-top:206.85pt;width:311.1pt;height:311.7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961,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" path="m9,1966l,1957,1952,r9,9l9,1966xe" fillcolor="#873168" strokecolor="#873168">
                    <v:path arrowok="t" o:connecttype="custom" o:connectlocs="18133,3958902;0,3940779;3932897,0;3951030,18123;18133,3958902" o:connectangles="0,0,0,0,0"/>
                  </v:shape>
                </w:pict>
              </mc:Fallback>
            </mc:AlternateContent>
          </w:r>
          <w:r w:rsidR="00DD59E8">
            <w:rPr>
              <w:noProof/>
            </w:rPr>
            <mc:AlternateContent>
              <mc:Choice Requires="wps">
                <w:drawing>
                  <wp:anchor distT="0" distB="0" distL="114300" distR="114300" simplePos="0" relativeHeight="251664384" behindDoc="1" locked="0" layoutInCell="1" allowOverlap="1" wp14:anchorId="3C79EC00" wp14:editId="6D170388">
                    <wp:simplePos x="0" y="0"/>
                    <wp:positionH relativeFrom="column">
                      <wp:posOffset>752475</wp:posOffset>
                    </wp:positionH>
                    <wp:positionV relativeFrom="paragraph">
                      <wp:posOffset>2189863</wp:posOffset>
                    </wp:positionV>
                    <wp:extent cx="5494369" cy="5501384"/>
                    <wp:effectExtent l="0" t="0" r="11430" b="23495"/>
                    <wp:wrapNone/>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4369" cy="5501384"/>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solidFill>
                              <a:srgbClr val="873168"/>
                            </a:solidFill>
                            <a:ln w="9525">
                              <a:solidFill>
                                <a:srgbClr val="873168"/>
                              </a:solid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60B41F04" id="Freeform 68" o:spid="_x0000_s1026" style="position:absolute;margin-left:59.25pt;margin-top:172.45pt;width:432.65pt;height:433.2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2727,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" path="m,2732r,-4l2722,r5,5l,2732xe" fillcolor="#873168" strokecolor="#873168">
                    <v:path arrowok="t" o:connecttype="custom" o:connectlocs="0,5501384;0,5493329;5484295,0;5494369,10068;0,5501384" o:connectangles="0,0,0,0,0"/>
                  </v:shape>
                </w:pict>
              </mc:Fallback>
            </mc:AlternateContent>
          </w:r>
          <w:r w:rsidR="00D5575D">
            <w:br w:type="page"/>
          </w:r>
        </w:p>
      </w:sdtContent>
    </w:sdt>
    <w:sdt>
      <w:sdtPr>
        <w:rPr>
          <w:rFonts w:asciiTheme="minorHAnsi" w:eastAsiaTheme="minorHAnsi" w:hAnsiTheme="minorHAnsi" w:cstheme="minorBidi"/>
          <w:color w:val="auto"/>
          <w:kern w:val="2"/>
          <w:sz w:val="22"/>
          <w:szCs w:val="22"/>
          <w:lang w:val="en-GB"/>
          <w14:ligatures w14:val="standardContextual"/>
        </w:rPr>
        <w:id w:val="-471990737"/>
        <w:docPartObj>
          <w:docPartGallery w:val="Table of Contents"/>
          <w:docPartUnique/>
        </w:docPartObj>
      </w:sdtPr>
      <w:sdtEndPr>
        <w:rPr>
          <w:b/>
          <w:bCs/>
          <w:noProof/>
        </w:rPr>
      </w:sdtEndPr>
      <w:sdtContent>
        <w:p w14:paraId="670BBB04" w14:textId="7EA3EE05" w:rsidR="00DD59E8" w:rsidRDefault="00DD59E8" w:rsidP="00C245CB">
          <w:pPr>
            <w:pStyle w:val="TOCHeading"/>
            <w:numPr>
              <w:ilvl w:val="0"/>
              <w:numId w:val="0"/>
            </w:numPr>
            <w:ind w:left="432" w:hanging="432"/>
          </w:pPr>
          <w:r>
            <w:t>Contents</w:t>
          </w:r>
        </w:p>
        <w:p w14:paraId="04AA0897" w14:textId="43354B7B" w:rsidR="00E67EC3" w:rsidRDefault="00DD59E8">
          <w:pPr>
            <w:pStyle w:val="TOC1"/>
            <w:tabs>
              <w:tab w:val="left" w:pos="440"/>
              <w:tab w:val="right" w:leader="dot" w:pos="9571"/>
            </w:tabs>
            <w:rPr>
              <w:rFonts w:eastAsiaTheme="minorEastAsia"/>
              <w:noProof/>
              <w:lang w:eastAsia="en-GB"/>
            </w:rPr>
          </w:pPr>
          <w:r>
            <w:fldChar w:fldCharType="begin"/>
          </w:r>
          <w:r>
            <w:instrText xml:space="preserve"> TOC \o "1-3" \h \z \u </w:instrText>
          </w:r>
          <w:r>
            <w:fldChar w:fldCharType="separate"/>
          </w:r>
          <w:hyperlink w:anchor="_Toc160443277" w:history="1">
            <w:r w:rsidR="00E67EC3" w:rsidRPr="00B0780A">
              <w:rPr>
                <w:rStyle w:val="Hyperlink"/>
                <w:noProof/>
              </w:rPr>
              <w:t>1</w:t>
            </w:r>
            <w:r w:rsidR="00E67EC3">
              <w:rPr>
                <w:rFonts w:eastAsiaTheme="minorEastAsia"/>
                <w:noProof/>
                <w:lang w:eastAsia="en-GB"/>
              </w:rPr>
              <w:tab/>
            </w:r>
            <w:r w:rsidR="00E67EC3" w:rsidRPr="00B0780A">
              <w:rPr>
                <w:rStyle w:val="Hyperlink"/>
                <w:noProof/>
              </w:rPr>
              <w:t>Policy Overview</w:t>
            </w:r>
            <w:r w:rsidR="00E67EC3">
              <w:rPr>
                <w:noProof/>
                <w:webHidden/>
              </w:rPr>
              <w:tab/>
            </w:r>
            <w:r w:rsidR="00E67EC3">
              <w:rPr>
                <w:noProof/>
                <w:webHidden/>
              </w:rPr>
              <w:fldChar w:fldCharType="begin"/>
            </w:r>
            <w:r w:rsidR="00E67EC3">
              <w:rPr>
                <w:noProof/>
                <w:webHidden/>
              </w:rPr>
              <w:instrText xml:space="preserve"> PAGEREF _Toc160443277 \h </w:instrText>
            </w:r>
            <w:r w:rsidR="00E67EC3">
              <w:rPr>
                <w:noProof/>
                <w:webHidden/>
              </w:rPr>
            </w:r>
            <w:r w:rsidR="00E67EC3">
              <w:rPr>
                <w:noProof/>
                <w:webHidden/>
              </w:rPr>
              <w:fldChar w:fldCharType="separate"/>
            </w:r>
            <w:r w:rsidR="00E67EC3">
              <w:rPr>
                <w:noProof/>
                <w:webHidden/>
              </w:rPr>
              <w:t>2</w:t>
            </w:r>
            <w:r w:rsidR="00E67EC3">
              <w:rPr>
                <w:noProof/>
                <w:webHidden/>
              </w:rPr>
              <w:fldChar w:fldCharType="end"/>
            </w:r>
          </w:hyperlink>
        </w:p>
        <w:p w14:paraId="0A183DD5" w14:textId="1C119E85" w:rsidR="00E67EC3" w:rsidRDefault="00981632">
          <w:pPr>
            <w:pStyle w:val="TOC2"/>
            <w:tabs>
              <w:tab w:val="left" w:pos="880"/>
              <w:tab w:val="right" w:leader="dot" w:pos="9571"/>
            </w:tabs>
            <w:rPr>
              <w:rFonts w:eastAsiaTheme="minorEastAsia"/>
              <w:noProof/>
              <w:lang w:eastAsia="en-GB"/>
            </w:rPr>
          </w:pPr>
          <w:hyperlink w:anchor="_Toc160443278" w:history="1">
            <w:r w:rsidR="00E67EC3" w:rsidRPr="00B0780A">
              <w:rPr>
                <w:rStyle w:val="Hyperlink"/>
                <w:noProof/>
              </w:rPr>
              <w:t>1.1</w:t>
            </w:r>
            <w:r w:rsidR="00E67EC3">
              <w:rPr>
                <w:rFonts w:eastAsiaTheme="minorEastAsia"/>
                <w:noProof/>
                <w:lang w:eastAsia="en-GB"/>
              </w:rPr>
              <w:tab/>
            </w:r>
            <w:r w:rsidR="00E67EC3" w:rsidRPr="00B0780A">
              <w:rPr>
                <w:rStyle w:val="Hyperlink"/>
                <w:noProof/>
              </w:rPr>
              <w:t>Policy Details</w:t>
            </w:r>
            <w:r w:rsidR="00E67EC3">
              <w:rPr>
                <w:noProof/>
                <w:webHidden/>
              </w:rPr>
              <w:tab/>
            </w:r>
            <w:r w:rsidR="00E67EC3">
              <w:rPr>
                <w:noProof/>
                <w:webHidden/>
              </w:rPr>
              <w:fldChar w:fldCharType="begin"/>
            </w:r>
            <w:r w:rsidR="00E67EC3">
              <w:rPr>
                <w:noProof/>
                <w:webHidden/>
              </w:rPr>
              <w:instrText xml:space="preserve"> PAGEREF _Toc160443278 \h </w:instrText>
            </w:r>
            <w:r w:rsidR="00E67EC3">
              <w:rPr>
                <w:noProof/>
                <w:webHidden/>
              </w:rPr>
            </w:r>
            <w:r w:rsidR="00E67EC3">
              <w:rPr>
                <w:noProof/>
                <w:webHidden/>
              </w:rPr>
              <w:fldChar w:fldCharType="separate"/>
            </w:r>
            <w:r w:rsidR="00E67EC3">
              <w:rPr>
                <w:noProof/>
                <w:webHidden/>
              </w:rPr>
              <w:t>2</w:t>
            </w:r>
            <w:r w:rsidR="00E67EC3">
              <w:rPr>
                <w:noProof/>
                <w:webHidden/>
              </w:rPr>
              <w:fldChar w:fldCharType="end"/>
            </w:r>
          </w:hyperlink>
        </w:p>
        <w:p w14:paraId="5F08D7F6" w14:textId="3F8655EC" w:rsidR="00E67EC3" w:rsidRDefault="00981632">
          <w:pPr>
            <w:pStyle w:val="TOC2"/>
            <w:tabs>
              <w:tab w:val="left" w:pos="880"/>
              <w:tab w:val="right" w:leader="dot" w:pos="9571"/>
            </w:tabs>
            <w:rPr>
              <w:rFonts w:eastAsiaTheme="minorEastAsia"/>
              <w:noProof/>
              <w:lang w:eastAsia="en-GB"/>
            </w:rPr>
          </w:pPr>
          <w:hyperlink w:anchor="_Toc160443279" w:history="1">
            <w:r w:rsidR="00E67EC3" w:rsidRPr="00B0780A">
              <w:rPr>
                <w:rStyle w:val="Hyperlink"/>
                <w:noProof/>
              </w:rPr>
              <w:t>1.2</w:t>
            </w:r>
            <w:r w:rsidR="00E67EC3">
              <w:rPr>
                <w:rFonts w:eastAsiaTheme="minorEastAsia"/>
                <w:noProof/>
                <w:lang w:eastAsia="en-GB"/>
              </w:rPr>
              <w:tab/>
            </w:r>
            <w:r w:rsidR="00E67EC3" w:rsidRPr="00B0780A">
              <w:rPr>
                <w:rStyle w:val="Hyperlink"/>
                <w:noProof/>
              </w:rPr>
              <w:t>Record of Policy Amendments</w:t>
            </w:r>
            <w:r w:rsidR="00E67EC3">
              <w:rPr>
                <w:noProof/>
                <w:webHidden/>
              </w:rPr>
              <w:tab/>
            </w:r>
            <w:r w:rsidR="00E67EC3">
              <w:rPr>
                <w:noProof/>
                <w:webHidden/>
              </w:rPr>
              <w:fldChar w:fldCharType="begin"/>
            </w:r>
            <w:r w:rsidR="00E67EC3">
              <w:rPr>
                <w:noProof/>
                <w:webHidden/>
              </w:rPr>
              <w:instrText xml:space="preserve"> PAGEREF _Toc160443279 \h </w:instrText>
            </w:r>
            <w:r w:rsidR="00E67EC3">
              <w:rPr>
                <w:noProof/>
                <w:webHidden/>
              </w:rPr>
            </w:r>
            <w:r w:rsidR="00E67EC3">
              <w:rPr>
                <w:noProof/>
                <w:webHidden/>
              </w:rPr>
              <w:fldChar w:fldCharType="separate"/>
            </w:r>
            <w:r w:rsidR="00E67EC3">
              <w:rPr>
                <w:noProof/>
                <w:webHidden/>
              </w:rPr>
              <w:t>2</w:t>
            </w:r>
            <w:r w:rsidR="00E67EC3">
              <w:rPr>
                <w:noProof/>
                <w:webHidden/>
              </w:rPr>
              <w:fldChar w:fldCharType="end"/>
            </w:r>
          </w:hyperlink>
        </w:p>
        <w:p w14:paraId="7151F26C" w14:textId="15A523F7" w:rsidR="00E67EC3" w:rsidRDefault="00981632">
          <w:pPr>
            <w:pStyle w:val="TOC2"/>
            <w:tabs>
              <w:tab w:val="left" w:pos="880"/>
              <w:tab w:val="right" w:leader="dot" w:pos="9571"/>
            </w:tabs>
            <w:rPr>
              <w:rFonts w:eastAsiaTheme="minorEastAsia"/>
              <w:noProof/>
              <w:lang w:eastAsia="en-GB"/>
            </w:rPr>
          </w:pPr>
          <w:hyperlink w:anchor="_Toc160443280" w:history="1">
            <w:r w:rsidR="00E67EC3" w:rsidRPr="00B0780A">
              <w:rPr>
                <w:rStyle w:val="Hyperlink"/>
                <w:noProof/>
              </w:rPr>
              <w:t>1.3</w:t>
            </w:r>
            <w:r w:rsidR="00E67EC3">
              <w:rPr>
                <w:rFonts w:eastAsiaTheme="minorEastAsia"/>
                <w:noProof/>
                <w:lang w:eastAsia="en-GB"/>
              </w:rPr>
              <w:tab/>
            </w:r>
            <w:r w:rsidR="00E67EC3" w:rsidRPr="00B0780A">
              <w:rPr>
                <w:rStyle w:val="Hyperlink"/>
                <w:noProof/>
              </w:rPr>
              <w:t>Monitoring and Evaluation of the Policy</w:t>
            </w:r>
            <w:r w:rsidR="00E67EC3">
              <w:rPr>
                <w:noProof/>
                <w:webHidden/>
              </w:rPr>
              <w:tab/>
            </w:r>
            <w:r w:rsidR="00E67EC3">
              <w:rPr>
                <w:noProof/>
                <w:webHidden/>
              </w:rPr>
              <w:fldChar w:fldCharType="begin"/>
            </w:r>
            <w:r w:rsidR="00E67EC3">
              <w:rPr>
                <w:noProof/>
                <w:webHidden/>
              </w:rPr>
              <w:instrText xml:space="preserve"> PAGEREF _Toc160443280 \h </w:instrText>
            </w:r>
            <w:r w:rsidR="00E67EC3">
              <w:rPr>
                <w:noProof/>
                <w:webHidden/>
              </w:rPr>
            </w:r>
            <w:r w:rsidR="00E67EC3">
              <w:rPr>
                <w:noProof/>
                <w:webHidden/>
              </w:rPr>
              <w:fldChar w:fldCharType="separate"/>
            </w:r>
            <w:r w:rsidR="00E67EC3">
              <w:rPr>
                <w:noProof/>
                <w:webHidden/>
              </w:rPr>
              <w:t>2</w:t>
            </w:r>
            <w:r w:rsidR="00E67EC3">
              <w:rPr>
                <w:noProof/>
                <w:webHidden/>
              </w:rPr>
              <w:fldChar w:fldCharType="end"/>
            </w:r>
          </w:hyperlink>
        </w:p>
        <w:p w14:paraId="6FCE1550" w14:textId="4C89B7F3" w:rsidR="00E67EC3" w:rsidRDefault="00981632">
          <w:pPr>
            <w:pStyle w:val="TOC2"/>
            <w:tabs>
              <w:tab w:val="left" w:pos="880"/>
              <w:tab w:val="right" w:leader="dot" w:pos="9571"/>
            </w:tabs>
            <w:rPr>
              <w:rFonts w:eastAsiaTheme="minorEastAsia"/>
              <w:noProof/>
              <w:lang w:eastAsia="en-GB"/>
            </w:rPr>
          </w:pPr>
          <w:hyperlink w:anchor="_Toc160443281" w:history="1">
            <w:r w:rsidR="00E67EC3" w:rsidRPr="00B0780A">
              <w:rPr>
                <w:rStyle w:val="Hyperlink"/>
                <w:noProof/>
              </w:rPr>
              <w:t>1.4</w:t>
            </w:r>
            <w:r w:rsidR="00E67EC3">
              <w:rPr>
                <w:rFonts w:eastAsiaTheme="minorEastAsia"/>
                <w:noProof/>
                <w:lang w:eastAsia="en-GB"/>
              </w:rPr>
              <w:tab/>
            </w:r>
            <w:r w:rsidR="00E67EC3" w:rsidRPr="00B0780A">
              <w:rPr>
                <w:rStyle w:val="Hyperlink"/>
                <w:noProof/>
              </w:rPr>
              <w:t>Related School Policies and Documents</w:t>
            </w:r>
            <w:r w:rsidR="00E67EC3">
              <w:rPr>
                <w:noProof/>
                <w:webHidden/>
              </w:rPr>
              <w:tab/>
            </w:r>
            <w:r w:rsidR="00E67EC3">
              <w:rPr>
                <w:noProof/>
                <w:webHidden/>
              </w:rPr>
              <w:fldChar w:fldCharType="begin"/>
            </w:r>
            <w:r w:rsidR="00E67EC3">
              <w:rPr>
                <w:noProof/>
                <w:webHidden/>
              </w:rPr>
              <w:instrText xml:space="preserve"> PAGEREF _Toc160443281 \h </w:instrText>
            </w:r>
            <w:r w:rsidR="00E67EC3">
              <w:rPr>
                <w:noProof/>
                <w:webHidden/>
              </w:rPr>
            </w:r>
            <w:r w:rsidR="00E67EC3">
              <w:rPr>
                <w:noProof/>
                <w:webHidden/>
              </w:rPr>
              <w:fldChar w:fldCharType="separate"/>
            </w:r>
            <w:r w:rsidR="00E67EC3">
              <w:rPr>
                <w:noProof/>
                <w:webHidden/>
              </w:rPr>
              <w:t>3</w:t>
            </w:r>
            <w:r w:rsidR="00E67EC3">
              <w:rPr>
                <w:noProof/>
                <w:webHidden/>
              </w:rPr>
              <w:fldChar w:fldCharType="end"/>
            </w:r>
          </w:hyperlink>
        </w:p>
        <w:p w14:paraId="50149679" w14:textId="3BE21F9D" w:rsidR="00E67EC3" w:rsidRDefault="00981632">
          <w:pPr>
            <w:pStyle w:val="TOC2"/>
            <w:tabs>
              <w:tab w:val="left" w:pos="880"/>
              <w:tab w:val="right" w:leader="dot" w:pos="9571"/>
            </w:tabs>
            <w:rPr>
              <w:rFonts w:eastAsiaTheme="minorEastAsia"/>
              <w:noProof/>
              <w:lang w:eastAsia="en-GB"/>
            </w:rPr>
          </w:pPr>
          <w:hyperlink w:anchor="_Toc160443282" w:history="1">
            <w:r w:rsidR="00E67EC3" w:rsidRPr="00B0780A">
              <w:rPr>
                <w:rStyle w:val="Hyperlink"/>
                <w:noProof/>
              </w:rPr>
              <w:t>1.5</w:t>
            </w:r>
            <w:r w:rsidR="00E67EC3">
              <w:rPr>
                <w:rFonts w:eastAsiaTheme="minorEastAsia"/>
                <w:noProof/>
                <w:lang w:eastAsia="en-GB"/>
              </w:rPr>
              <w:tab/>
            </w:r>
            <w:r w:rsidR="00E67EC3" w:rsidRPr="00B0780A">
              <w:rPr>
                <w:rStyle w:val="Hyperlink"/>
                <w:noProof/>
              </w:rPr>
              <w:t>Equality And Diversity Statement</w:t>
            </w:r>
            <w:r w:rsidR="00E67EC3">
              <w:rPr>
                <w:noProof/>
                <w:webHidden/>
              </w:rPr>
              <w:tab/>
            </w:r>
            <w:r w:rsidR="00E67EC3">
              <w:rPr>
                <w:noProof/>
                <w:webHidden/>
              </w:rPr>
              <w:fldChar w:fldCharType="begin"/>
            </w:r>
            <w:r w:rsidR="00E67EC3">
              <w:rPr>
                <w:noProof/>
                <w:webHidden/>
              </w:rPr>
              <w:instrText xml:space="preserve"> PAGEREF _Toc160443282 \h </w:instrText>
            </w:r>
            <w:r w:rsidR="00E67EC3">
              <w:rPr>
                <w:noProof/>
                <w:webHidden/>
              </w:rPr>
            </w:r>
            <w:r w:rsidR="00E67EC3">
              <w:rPr>
                <w:noProof/>
                <w:webHidden/>
              </w:rPr>
              <w:fldChar w:fldCharType="separate"/>
            </w:r>
            <w:r w:rsidR="00E67EC3">
              <w:rPr>
                <w:noProof/>
                <w:webHidden/>
              </w:rPr>
              <w:t>3</w:t>
            </w:r>
            <w:r w:rsidR="00E67EC3">
              <w:rPr>
                <w:noProof/>
                <w:webHidden/>
              </w:rPr>
              <w:fldChar w:fldCharType="end"/>
            </w:r>
          </w:hyperlink>
        </w:p>
        <w:p w14:paraId="40DD75E6" w14:textId="5FC2F9B3" w:rsidR="00E67EC3" w:rsidRDefault="00981632">
          <w:pPr>
            <w:pStyle w:val="TOC2"/>
            <w:tabs>
              <w:tab w:val="left" w:pos="880"/>
              <w:tab w:val="right" w:leader="dot" w:pos="9571"/>
            </w:tabs>
            <w:rPr>
              <w:rFonts w:eastAsiaTheme="minorEastAsia"/>
              <w:noProof/>
              <w:lang w:eastAsia="en-GB"/>
            </w:rPr>
          </w:pPr>
          <w:hyperlink w:anchor="_Toc160443283" w:history="1">
            <w:r w:rsidR="00E67EC3" w:rsidRPr="00B0780A">
              <w:rPr>
                <w:rStyle w:val="Hyperlink"/>
                <w:noProof/>
              </w:rPr>
              <w:t>1.6</w:t>
            </w:r>
            <w:r w:rsidR="00E67EC3">
              <w:rPr>
                <w:rFonts w:eastAsiaTheme="minorEastAsia"/>
                <w:noProof/>
                <w:lang w:eastAsia="en-GB"/>
              </w:rPr>
              <w:tab/>
            </w:r>
            <w:r w:rsidR="00E67EC3" w:rsidRPr="00B0780A">
              <w:rPr>
                <w:rStyle w:val="Hyperlink"/>
                <w:noProof/>
              </w:rPr>
              <w:t>Policy References</w:t>
            </w:r>
            <w:r w:rsidR="00E67EC3">
              <w:rPr>
                <w:noProof/>
                <w:webHidden/>
              </w:rPr>
              <w:tab/>
            </w:r>
            <w:r w:rsidR="00E67EC3">
              <w:rPr>
                <w:noProof/>
                <w:webHidden/>
              </w:rPr>
              <w:fldChar w:fldCharType="begin"/>
            </w:r>
            <w:r w:rsidR="00E67EC3">
              <w:rPr>
                <w:noProof/>
                <w:webHidden/>
              </w:rPr>
              <w:instrText xml:space="preserve"> PAGEREF _Toc160443283 \h </w:instrText>
            </w:r>
            <w:r w:rsidR="00E67EC3">
              <w:rPr>
                <w:noProof/>
                <w:webHidden/>
              </w:rPr>
            </w:r>
            <w:r w:rsidR="00E67EC3">
              <w:rPr>
                <w:noProof/>
                <w:webHidden/>
              </w:rPr>
              <w:fldChar w:fldCharType="separate"/>
            </w:r>
            <w:r w:rsidR="00E67EC3">
              <w:rPr>
                <w:noProof/>
                <w:webHidden/>
              </w:rPr>
              <w:t>3</w:t>
            </w:r>
            <w:r w:rsidR="00E67EC3">
              <w:rPr>
                <w:noProof/>
                <w:webHidden/>
              </w:rPr>
              <w:fldChar w:fldCharType="end"/>
            </w:r>
          </w:hyperlink>
        </w:p>
        <w:p w14:paraId="0B00DF82" w14:textId="514C87C1" w:rsidR="00E67EC3" w:rsidRDefault="00981632">
          <w:pPr>
            <w:pStyle w:val="TOC2"/>
            <w:tabs>
              <w:tab w:val="left" w:pos="880"/>
              <w:tab w:val="right" w:leader="dot" w:pos="9571"/>
            </w:tabs>
            <w:rPr>
              <w:rFonts w:eastAsiaTheme="minorEastAsia"/>
              <w:noProof/>
              <w:lang w:eastAsia="en-GB"/>
            </w:rPr>
          </w:pPr>
          <w:hyperlink w:anchor="_Toc160443284" w:history="1">
            <w:r w:rsidR="00E67EC3" w:rsidRPr="00B0780A">
              <w:rPr>
                <w:rStyle w:val="Hyperlink"/>
                <w:noProof/>
              </w:rPr>
              <w:t>1.7</w:t>
            </w:r>
            <w:r w:rsidR="00E67EC3">
              <w:rPr>
                <w:rFonts w:eastAsiaTheme="minorEastAsia"/>
                <w:noProof/>
                <w:lang w:eastAsia="en-GB"/>
              </w:rPr>
              <w:tab/>
            </w:r>
            <w:r w:rsidR="00E67EC3" w:rsidRPr="00B0780A">
              <w:rPr>
                <w:rStyle w:val="Hyperlink"/>
                <w:noProof/>
              </w:rPr>
              <w:t>Policy Aims</w:t>
            </w:r>
            <w:r w:rsidR="00E67EC3">
              <w:rPr>
                <w:noProof/>
                <w:webHidden/>
              </w:rPr>
              <w:tab/>
            </w:r>
            <w:r w:rsidR="00E67EC3">
              <w:rPr>
                <w:noProof/>
                <w:webHidden/>
              </w:rPr>
              <w:fldChar w:fldCharType="begin"/>
            </w:r>
            <w:r w:rsidR="00E67EC3">
              <w:rPr>
                <w:noProof/>
                <w:webHidden/>
              </w:rPr>
              <w:instrText xml:space="preserve"> PAGEREF _Toc160443284 \h </w:instrText>
            </w:r>
            <w:r w:rsidR="00E67EC3">
              <w:rPr>
                <w:noProof/>
                <w:webHidden/>
              </w:rPr>
            </w:r>
            <w:r w:rsidR="00E67EC3">
              <w:rPr>
                <w:noProof/>
                <w:webHidden/>
              </w:rPr>
              <w:fldChar w:fldCharType="separate"/>
            </w:r>
            <w:r w:rsidR="00E67EC3">
              <w:rPr>
                <w:noProof/>
                <w:webHidden/>
              </w:rPr>
              <w:t>4</w:t>
            </w:r>
            <w:r w:rsidR="00E67EC3">
              <w:rPr>
                <w:noProof/>
                <w:webHidden/>
              </w:rPr>
              <w:fldChar w:fldCharType="end"/>
            </w:r>
          </w:hyperlink>
        </w:p>
        <w:p w14:paraId="3B8B47BB" w14:textId="5D45BF3A" w:rsidR="00E67EC3" w:rsidRDefault="00981632">
          <w:pPr>
            <w:pStyle w:val="TOC2"/>
            <w:tabs>
              <w:tab w:val="left" w:pos="880"/>
              <w:tab w:val="right" w:leader="dot" w:pos="9571"/>
            </w:tabs>
            <w:rPr>
              <w:rFonts w:eastAsiaTheme="minorEastAsia"/>
              <w:noProof/>
              <w:lang w:eastAsia="en-GB"/>
            </w:rPr>
          </w:pPr>
          <w:hyperlink w:anchor="_Toc160443285" w:history="1">
            <w:r w:rsidR="00E67EC3" w:rsidRPr="00B0780A">
              <w:rPr>
                <w:rStyle w:val="Hyperlink"/>
                <w:noProof/>
              </w:rPr>
              <w:t>1.8</w:t>
            </w:r>
            <w:r w:rsidR="00E67EC3">
              <w:rPr>
                <w:rFonts w:eastAsiaTheme="minorEastAsia"/>
                <w:noProof/>
                <w:lang w:eastAsia="en-GB"/>
              </w:rPr>
              <w:tab/>
            </w:r>
            <w:r w:rsidR="00E67EC3" w:rsidRPr="00B0780A">
              <w:rPr>
                <w:rStyle w:val="Hyperlink"/>
                <w:noProof/>
              </w:rPr>
              <w:t>Policy Link to School Vision, Mission and Aims</w:t>
            </w:r>
            <w:r w:rsidR="00E67EC3">
              <w:rPr>
                <w:noProof/>
                <w:webHidden/>
              </w:rPr>
              <w:tab/>
            </w:r>
            <w:r w:rsidR="00E67EC3">
              <w:rPr>
                <w:noProof/>
                <w:webHidden/>
              </w:rPr>
              <w:fldChar w:fldCharType="begin"/>
            </w:r>
            <w:r w:rsidR="00E67EC3">
              <w:rPr>
                <w:noProof/>
                <w:webHidden/>
              </w:rPr>
              <w:instrText xml:space="preserve"> PAGEREF _Toc160443285 \h </w:instrText>
            </w:r>
            <w:r w:rsidR="00E67EC3">
              <w:rPr>
                <w:noProof/>
                <w:webHidden/>
              </w:rPr>
            </w:r>
            <w:r w:rsidR="00E67EC3">
              <w:rPr>
                <w:noProof/>
                <w:webHidden/>
              </w:rPr>
              <w:fldChar w:fldCharType="separate"/>
            </w:r>
            <w:r w:rsidR="00E67EC3">
              <w:rPr>
                <w:noProof/>
                <w:webHidden/>
              </w:rPr>
              <w:t>4</w:t>
            </w:r>
            <w:r w:rsidR="00E67EC3">
              <w:rPr>
                <w:noProof/>
                <w:webHidden/>
              </w:rPr>
              <w:fldChar w:fldCharType="end"/>
            </w:r>
          </w:hyperlink>
        </w:p>
        <w:p w14:paraId="694BB20A" w14:textId="1F7BC67C" w:rsidR="00E67EC3" w:rsidRDefault="00981632">
          <w:pPr>
            <w:pStyle w:val="TOC2"/>
            <w:tabs>
              <w:tab w:val="left" w:pos="880"/>
              <w:tab w:val="right" w:leader="dot" w:pos="9571"/>
            </w:tabs>
            <w:rPr>
              <w:rFonts w:eastAsiaTheme="minorEastAsia"/>
              <w:noProof/>
              <w:lang w:eastAsia="en-GB"/>
            </w:rPr>
          </w:pPr>
          <w:hyperlink w:anchor="_Toc160443286" w:history="1">
            <w:r w:rsidR="00E67EC3" w:rsidRPr="00B0780A">
              <w:rPr>
                <w:rStyle w:val="Hyperlink"/>
                <w:noProof/>
              </w:rPr>
              <w:t>1.9</w:t>
            </w:r>
            <w:r w:rsidR="00E67EC3">
              <w:rPr>
                <w:rFonts w:eastAsiaTheme="minorEastAsia"/>
                <w:noProof/>
                <w:lang w:eastAsia="en-GB"/>
              </w:rPr>
              <w:tab/>
            </w:r>
            <w:r w:rsidR="00E67EC3" w:rsidRPr="00B0780A">
              <w:rPr>
                <w:rStyle w:val="Hyperlink"/>
                <w:noProof/>
              </w:rPr>
              <w:t>Abbreviations Used in Policy</w:t>
            </w:r>
            <w:r w:rsidR="00E67EC3">
              <w:rPr>
                <w:noProof/>
                <w:webHidden/>
              </w:rPr>
              <w:tab/>
            </w:r>
            <w:r w:rsidR="00E67EC3">
              <w:rPr>
                <w:noProof/>
                <w:webHidden/>
              </w:rPr>
              <w:fldChar w:fldCharType="begin"/>
            </w:r>
            <w:r w:rsidR="00E67EC3">
              <w:rPr>
                <w:noProof/>
                <w:webHidden/>
              </w:rPr>
              <w:instrText xml:space="preserve"> PAGEREF _Toc160443286 \h </w:instrText>
            </w:r>
            <w:r w:rsidR="00E67EC3">
              <w:rPr>
                <w:noProof/>
                <w:webHidden/>
              </w:rPr>
            </w:r>
            <w:r w:rsidR="00E67EC3">
              <w:rPr>
                <w:noProof/>
                <w:webHidden/>
              </w:rPr>
              <w:fldChar w:fldCharType="separate"/>
            </w:r>
            <w:r w:rsidR="00E67EC3">
              <w:rPr>
                <w:noProof/>
                <w:webHidden/>
              </w:rPr>
              <w:t>4</w:t>
            </w:r>
            <w:r w:rsidR="00E67EC3">
              <w:rPr>
                <w:noProof/>
                <w:webHidden/>
              </w:rPr>
              <w:fldChar w:fldCharType="end"/>
            </w:r>
          </w:hyperlink>
        </w:p>
        <w:p w14:paraId="17FA130F" w14:textId="0B8BA853" w:rsidR="00E67EC3" w:rsidRDefault="00981632">
          <w:pPr>
            <w:pStyle w:val="TOC1"/>
            <w:tabs>
              <w:tab w:val="left" w:pos="440"/>
              <w:tab w:val="right" w:leader="dot" w:pos="9571"/>
            </w:tabs>
            <w:rPr>
              <w:rFonts w:eastAsiaTheme="minorEastAsia"/>
              <w:noProof/>
              <w:lang w:eastAsia="en-GB"/>
            </w:rPr>
          </w:pPr>
          <w:hyperlink w:anchor="_Toc160443287" w:history="1">
            <w:r w:rsidR="00E67EC3" w:rsidRPr="00B0780A">
              <w:rPr>
                <w:rStyle w:val="Hyperlink"/>
                <w:noProof/>
              </w:rPr>
              <w:t>2</w:t>
            </w:r>
            <w:r w:rsidR="00E67EC3">
              <w:rPr>
                <w:rFonts w:eastAsiaTheme="minorEastAsia"/>
                <w:noProof/>
                <w:lang w:eastAsia="en-GB"/>
              </w:rPr>
              <w:tab/>
            </w:r>
            <w:r w:rsidR="00E67EC3" w:rsidRPr="00B0780A">
              <w:rPr>
                <w:rStyle w:val="Hyperlink"/>
                <w:noProof/>
              </w:rPr>
              <w:t>Policy and Procedure Introduction</w:t>
            </w:r>
            <w:r w:rsidR="00E67EC3">
              <w:rPr>
                <w:noProof/>
                <w:webHidden/>
              </w:rPr>
              <w:tab/>
            </w:r>
            <w:r w:rsidR="00E67EC3">
              <w:rPr>
                <w:noProof/>
                <w:webHidden/>
              </w:rPr>
              <w:fldChar w:fldCharType="begin"/>
            </w:r>
            <w:r w:rsidR="00E67EC3">
              <w:rPr>
                <w:noProof/>
                <w:webHidden/>
              </w:rPr>
              <w:instrText xml:space="preserve"> PAGEREF _Toc160443287 \h </w:instrText>
            </w:r>
            <w:r w:rsidR="00E67EC3">
              <w:rPr>
                <w:noProof/>
                <w:webHidden/>
              </w:rPr>
            </w:r>
            <w:r w:rsidR="00E67EC3">
              <w:rPr>
                <w:noProof/>
                <w:webHidden/>
              </w:rPr>
              <w:fldChar w:fldCharType="separate"/>
            </w:r>
            <w:r w:rsidR="00E67EC3">
              <w:rPr>
                <w:noProof/>
                <w:webHidden/>
              </w:rPr>
              <w:t>5</w:t>
            </w:r>
            <w:r w:rsidR="00E67EC3">
              <w:rPr>
                <w:noProof/>
                <w:webHidden/>
              </w:rPr>
              <w:fldChar w:fldCharType="end"/>
            </w:r>
          </w:hyperlink>
        </w:p>
        <w:p w14:paraId="6FB9EFBA" w14:textId="59FB656A" w:rsidR="00E67EC3" w:rsidRDefault="00981632">
          <w:pPr>
            <w:pStyle w:val="TOC1"/>
            <w:tabs>
              <w:tab w:val="left" w:pos="440"/>
              <w:tab w:val="right" w:leader="dot" w:pos="9571"/>
            </w:tabs>
            <w:rPr>
              <w:rFonts w:eastAsiaTheme="minorEastAsia"/>
              <w:noProof/>
              <w:lang w:eastAsia="en-GB"/>
            </w:rPr>
          </w:pPr>
          <w:hyperlink w:anchor="_Toc160443288" w:history="1">
            <w:r w:rsidR="00E67EC3" w:rsidRPr="00B0780A">
              <w:rPr>
                <w:rStyle w:val="Hyperlink"/>
                <w:noProof/>
              </w:rPr>
              <w:t>3</w:t>
            </w:r>
            <w:r w:rsidR="00E67EC3">
              <w:rPr>
                <w:rFonts w:eastAsiaTheme="minorEastAsia"/>
                <w:noProof/>
                <w:lang w:eastAsia="en-GB"/>
              </w:rPr>
              <w:tab/>
            </w:r>
            <w:r w:rsidR="00E67EC3" w:rsidRPr="00B0780A">
              <w:rPr>
                <w:rStyle w:val="Hyperlink"/>
                <w:noProof/>
              </w:rPr>
              <w:t>Introduction &amp; Purpose</w:t>
            </w:r>
            <w:r w:rsidR="00E67EC3">
              <w:rPr>
                <w:noProof/>
                <w:webHidden/>
              </w:rPr>
              <w:tab/>
            </w:r>
            <w:r w:rsidR="00E67EC3">
              <w:rPr>
                <w:noProof/>
                <w:webHidden/>
              </w:rPr>
              <w:fldChar w:fldCharType="begin"/>
            </w:r>
            <w:r w:rsidR="00E67EC3">
              <w:rPr>
                <w:noProof/>
                <w:webHidden/>
              </w:rPr>
              <w:instrText xml:space="preserve"> PAGEREF _Toc160443288 \h </w:instrText>
            </w:r>
            <w:r w:rsidR="00E67EC3">
              <w:rPr>
                <w:noProof/>
                <w:webHidden/>
              </w:rPr>
            </w:r>
            <w:r w:rsidR="00E67EC3">
              <w:rPr>
                <w:noProof/>
                <w:webHidden/>
              </w:rPr>
              <w:fldChar w:fldCharType="separate"/>
            </w:r>
            <w:r w:rsidR="00E67EC3">
              <w:rPr>
                <w:noProof/>
                <w:webHidden/>
              </w:rPr>
              <w:t>5</w:t>
            </w:r>
            <w:r w:rsidR="00E67EC3">
              <w:rPr>
                <w:noProof/>
                <w:webHidden/>
              </w:rPr>
              <w:fldChar w:fldCharType="end"/>
            </w:r>
          </w:hyperlink>
        </w:p>
        <w:p w14:paraId="4B2EA523" w14:textId="7341DA57" w:rsidR="00E67EC3" w:rsidRDefault="00981632">
          <w:pPr>
            <w:pStyle w:val="TOC1"/>
            <w:tabs>
              <w:tab w:val="left" w:pos="440"/>
              <w:tab w:val="right" w:leader="dot" w:pos="9571"/>
            </w:tabs>
            <w:rPr>
              <w:rFonts w:eastAsiaTheme="minorEastAsia"/>
              <w:noProof/>
              <w:lang w:eastAsia="en-GB"/>
            </w:rPr>
          </w:pPr>
          <w:hyperlink w:anchor="_Toc160443289" w:history="1">
            <w:r w:rsidR="00E67EC3" w:rsidRPr="00B0780A">
              <w:rPr>
                <w:rStyle w:val="Hyperlink"/>
                <w:noProof/>
              </w:rPr>
              <w:t>4</w:t>
            </w:r>
            <w:r w:rsidR="00E67EC3">
              <w:rPr>
                <w:rFonts w:eastAsiaTheme="minorEastAsia"/>
                <w:noProof/>
                <w:lang w:eastAsia="en-GB"/>
              </w:rPr>
              <w:tab/>
            </w:r>
            <w:r w:rsidR="00E67EC3" w:rsidRPr="00B0780A">
              <w:rPr>
                <w:rStyle w:val="Hyperlink"/>
                <w:noProof/>
              </w:rPr>
              <w:t>Confidentiality</w:t>
            </w:r>
            <w:r w:rsidR="00E67EC3">
              <w:rPr>
                <w:noProof/>
                <w:webHidden/>
              </w:rPr>
              <w:tab/>
            </w:r>
            <w:r w:rsidR="00E67EC3">
              <w:rPr>
                <w:noProof/>
                <w:webHidden/>
              </w:rPr>
              <w:fldChar w:fldCharType="begin"/>
            </w:r>
            <w:r w:rsidR="00E67EC3">
              <w:rPr>
                <w:noProof/>
                <w:webHidden/>
              </w:rPr>
              <w:instrText xml:space="preserve"> PAGEREF _Toc160443289 \h </w:instrText>
            </w:r>
            <w:r w:rsidR="00E67EC3">
              <w:rPr>
                <w:noProof/>
                <w:webHidden/>
              </w:rPr>
            </w:r>
            <w:r w:rsidR="00E67EC3">
              <w:rPr>
                <w:noProof/>
                <w:webHidden/>
              </w:rPr>
              <w:fldChar w:fldCharType="separate"/>
            </w:r>
            <w:r w:rsidR="00E67EC3">
              <w:rPr>
                <w:noProof/>
                <w:webHidden/>
              </w:rPr>
              <w:t>5</w:t>
            </w:r>
            <w:r w:rsidR="00E67EC3">
              <w:rPr>
                <w:noProof/>
                <w:webHidden/>
              </w:rPr>
              <w:fldChar w:fldCharType="end"/>
            </w:r>
          </w:hyperlink>
        </w:p>
        <w:p w14:paraId="5781FF36" w14:textId="606A741D" w:rsidR="00E67EC3" w:rsidRDefault="00981632">
          <w:pPr>
            <w:pStyle w:val="TOC1"/>
            <w:tabs>
              <w:tab w:val="left" w:pos="440"/>
              <w:tab w:val="right" w:leader="dot" w:pos="9571"/>
            </w:tabs>
            <w:rPr>
              <w:rFonts w:eastAsiaTheme="minorEastAsia"/>
              <w:noProof/>
              <w:lang w:eastAsia="en-GB"/>
            </w:rPr>
          </w:pPr>
          <w:hyperlink w:anchor="_Toc160443290" w:history="1">
            <w:r w:rsidR="00E67EC3" w:rsidRPr="00B0780A">
              <w:rPr>
                <w:rStyle w:val="Hyperlink"/>
                <w:noProof/>
              </w:rPr>
              <w:t>5</w:t>
            </w:r>
            <w:r w:rsidR="00E67EC3">
              <w:rPr>
                <w:rFonts w:eastAsiaTheme="minorEastAsia"/>
                <w:noProof/>
                <w:lang w:eastAsia="en-GB"/>
              </w:rPr>
              <w:tab/>
            </w:r>
            <w:r w:rsidR="00E67EC3" w:rsidRPr="00B0780A">
              <w:rPr>
                <w:rStyle w:val="Hyperlink"/>
                <w:noProof/>
              </w:rPr>
              <w:t>Procedure</w:t>
            </w:r>
            <w:r w:rsidR="00E67EC3">
              <w:rPr>
                <w:noProof/>
                <w:webHidden/>
              </w:rPr>
              <w:tab/>
            </w:r>
            <w:r w:rsidR="00E67EC3">
              <w:rPr>
                <w:noProof/>
                <w:webHidden/>
              </w:rPr>
              <w:fldChar w:fldCharType="begin"/>
            </w:r>
            <w:r w:rsidR="00E67EC3">
              <w:rPr>
                <w:noProof/>
                <w:webHidden/>
              </w:rPr>
              <w:instrText xml:space="preserve"> PAGEREF _Toc160443290 \h </w:instrText>
            </w:r>
            <w:r w:rsidR="00E67EC3">
              <w:rPr>
                <w:noProof/>
                <w:webHidden/>
              </w:rPr>
            </w:r>
            <w:r w:rsidR="00E67EC3">
              <w:rPr>
                <w:noProof/>
                <w:webHidden/>
              </w:rPr>
              <w:fldChar w:fldCharType="separate"/>
            </w:r>
            <w:r w:rsidR="00E67EC3">
              <w:rPr>
                <w:noProof/>
                <w:webHidden/>
              </w:rPr>
              <w:t>6</w:t>
            </w:r>
            <w:r w:rsidR="00E67EC3">
              <w:rPr>
                <w:noProof/>
                <w:webHidden/>
              </w:rPr>
              <w:fldChar w:fldCharType="end"/>
            </w:r>
          </w:hyperlink>
        </w:p>
        <w:p w14:paraId="3128B01B" w14:textId="7E296397" w:rsidR="00E67EC3" w:rsidRDefault="00981632">
          <w:pPr>
            <w:pStyle w:val="TOC2"/>
            <w:tabs>
              <w:tab w:val="left" w:pos="880"/>
              <w:tab w:val="right" w:leader="dot" w:pos="9571"/>
            </w:tabs>
            <w:rPr>
              <w:rFonts w:eastAsiaTheme="minorEastAsia"/>
              <w:noProof/>
              <w:lang w:eastAsia="en-GB"/>
            </w:rPr>
          </w:pPr>
          <w:hyperlink w:anchor="_Toc160443291" w:history="1">
            <w:r w:rsidR="00E67EC3" w:rsidRPr="00B0780A">
              <w:rPr>
                <w:rStyle w:val="Hyperlink"/>
                <w:noProof/>
              </w:rPr>
              <w:t>5.1</w:t>
            </w:r>
            <w:r w:rsidR="00E67EC3">
              <w:rPr>
                <w:rFonts w:eastAsiaTheme="minorEastAsia"/>
                <w:noProof/>
                <w:lang w:eastAsia="en-GB"/>
              </w:rPr>
              <w:tab/>
            </w:r>
            <w:r w:rsidR="00E67EC3" w:rsidRPr="00B0780A">
              <w:rPr>
                <w:rStyle w:val="Hyperlink"/>
                <w:noProof/>
              </w:rPr>
              <w:t>Stage 1 – Formal Performance Interview</w:t>
            </w:r>
            <w:r w:rsidR="00E67EC3">
              <w:rPr>
                <w:noProof/>
                <w:webHidden/>
              </w:rPr>
              <w:tab/>
            </w:r>
            <w:r w:rsidR="00E67EC3">
              <w:rPr>
                <w:noProof/>
                <w:webHidden/>
              </w:rPr>
              <w:fldChar w:fldCharType="begin"/>
            </w:r>
            <w:r w:rsidR="00E67EC3">
              <w:rPr>
                <w:noProof/>
                <w:webHidden/>
              </w:rPr>
              <w:instrText xml:space="preserve"> PAGEREF _Toc160443291 \h </w:instrText>
            </w:r>
            <w:r w:rsidR="00E67EC3">
              <w:rPr>
                <w:noProof/>
                <w:webHidden/>
              </w:rPr>
            </w:r>
            <w:r w:rsidR="00E67EC3">
              <w:rPr>
                <w:noProof/>
                <w:webHidden/>
              </w:rPr>
              <w:fldChar w:fldCharType="separate"/>
            </w:r>
            <w:r w:rsidR="00E67EC3">
              <w:rPr>
                <w:noProof/>
                <w:webHidden/>
              </w:rPr>
              <w:t>6</w:t>
            </w:r>
            <w:r w:rsidR="00E67EC3">
              <w:rPr>
                <w:noProof/>
                <w:webHidden/>
              </w:rPr>
              <w:fldChar w:fldCharType="end"/>
            </w:r>
          </w:hyperlink>
        </w:p>
        <w:p w14:paraId="00F8CE75" w14:textId="027EBFF0" w:rsidR="00E67EC3" w:rsidRDefault="00981632">
          <w:pPr>
            <w:pStyle w:val="TOC2"/>
            <w:tabs>
              <w:tab w:val="left" w:pos="880"/>
              <w:tab w:val="right" w:leader="dot" w:pos="9571"/>
            </w:tabs>
            <w:rPr>
              <w:rFonts w:eastAsiaTheme="minorEastAsia"/>
              <w:noProof/>
              <w:lang w:eastAsia="en-GB"/>
            </w:rPr>
          </w:pPr>
          <w:hyperlink w:anchor="_Toc160443292" w:history="1">
            <w:r w:rsidR="00E67EC3" w:rsidRPr="00B0780A">
              <w:rPr>
                <w:rStyle w:val="Hyperlink"/>
                <w:noProof/>
              </w:rPr>
              <w:t>5.2</w:t>
            </w:r>
            <w:r w:rsidR="00E67EC3">
              <w:rPr>
                <w:rFonts w:eastAsiaTheme="minorEastAsia"/>
                <w:noProof/>
                <w:lang w:eastAsia="en-GB"/>
              </w:rPr>
              <w:tab/>
            </w:r>
            <w:r w:rsidR="00E67EC3" w:rsidRPr="00B0780A">
              <w:rPr>
                <w:rStyle w:val="Hyperlink"/>
                <w:noProof/>
              </w:rPr>
              <w:t>Stage 2 - Second Performance Interview</w:t>
            </w:r>
            <w:r w:rsidR="00E67EC3">
              <w:rPr>
                <w:noProof/>
                <w:webHidden/>
              </w:rPr>
              <w:tab/>
            </w:r>
            <w:r w:rsidR="00E67EC3">
              <w:rPr>
                <w:noProof/>
                <w:webHidden/>
              </w:rPr>
              <w:fldChar w:fldCharType="begin"/>
            </w:r>
            <w:r w:rsidR="00E67EC3">
              <w:rPr>
                <w:noProof/>
                <w:webHidden/>
              </w:rPr>
              <w:instrText xml:space="preserve"> PAGEREF _Toc160443292 \h </w:instrText>
            </w:r>
            <w:r w:rsidR="00E67EC3">
              <w:rPr>
                <w:noProof/>
                <w:webHidden/>
              </w:rPr>
            </w:r>
            <w:r w:rsidR="00E67EC3">
              <w:rPr>
                <w:noProof/>
                <w:webHidden/>
              </w:rPr>
              <w:fldChar w:fldCharType="separate"/>
            </w:r>
            <w:r w:rsidR="00E67EC3">
              <w:rPr>
                <w:noProof/>
                <w:webHidden/>
              </w:rPr>
              <w:t>7</w:t>
            </w:r>
            <w:r w:rsidR="00E67EC3">
              <w:rPr>
                <w:noProof/>
                <w:webHidden/>
              </w:rPr>
              <w:fldChar w:fldCharType="end"/>
            </w:r>
          </w:hyperlink>
        </w:p>
        <w:p w14:paraId="64151F64" w14:textId="406CC213" w:rsidR="00E67EC3" w:rsidRDefault="00981632">
          <w:pPr>
            <w:pStyle w:val="TOC2"/>
            <w:tabs>
              <w:tab w:val="left" w:pos="880"/>
              <w:tab w:val="right" w:leader="dot" w:pos="9571"/>
            </w:tabs>
            <w:rPr>
              <w:rFonts w:eastAsiaTheme="minorEastAsia"/>
              <w:noProof/>
              <w:lang w:eastAsia="en-GB"/>
            </w:rPr>
          </w:pPr>
          <w:hyperlink w:anchor="_Toc160443293" w:history="1">
            <w:r w:rsidR="00E67EC3" w:rsidRPr="00B0780A">
              <w:rPr>
                <w:rStyle w:val="Hyperlink"/>
                <w:noProof/>
              </w:rPr>
              <w:t>5.3</w:t>
            </w:r>
            <w:r w:rsidR="00E67EC3">
              <w:rPr>
                <w:rFonts w:eastAsiaTheme="minorEastAsia"/>
                <w:noProof/>
                <w:lang w:eastAsia="en-GB"/>
              </w:rPr>
              <w:tab/>
            </w:r>
            <w:r w:rsidR="00E67EC3" w:rsidRPr="00B0780A">
              <w:rPr>
                <w:rStyle w:val="Hyperlink"/>
                <w:noProof/>
              </w:rPr>
              <w:t>Stage 3 - Capability Hearing</w:t>
            </w:r>
            <w:r w:rsidR="00E67EC3">
              <w:rPr>
                <w:noProof/>
                <w:webHidden/>
              </w:rPr>
              <w:tab/>
            </w:r>
            <w:r w:rsidR="00E67EC3">
              <w:rPr>
                <w:noProof/>
                <w:webHidden/>
              </w:rPr>
              <w:fldChar w:fldCharType="begin"/>
            </w:r>
            <w:r w:rsidR="00E67EC3">
              <w:rPr>
                <w:noProof/>
                <w:webHidden/>
              </w:rPr>
              <w:instrText xml:space="preserve"> PAGEREF _Toc160443293 \h </w:instrText>
            </w:r>
            <w:r w:rsidR="00E67EC3">
              <w:rPr>
                <w:noProof/>
                <w:webHidden/>
              </w:rPr>
            </w:r>
            <w:r w:rsidR="00E67EC3">
              <w:rPr>
                <w:noProof/>
                <w:webHidden/>
              </w:rPr>
              <w:fldChar w:fldCharType="separate"/>
            </w:r>
            <w:r w:rsidR="00E67EC3">
              <w:rPr>
                <w:noProof/>
                <w:webHidden/>
              </w:rPr>
              <w:t>8</w:t>
            </w:r>
            <w:r w:rsidR="00E67EC3">
              <w:rPr>
                <w:noProof/>
                <w:webHidden/>
              </w:rPr>
              <w:fldChar w:fldCharType="end"/>
            </w:r>
          </w:hyperlink>
        </w:p>
        <w:p w14:paraId="196224B6" w14:textId="6EEC32D7" w:rsidR="00E67EC3" w:rsidRDefault="00981632">
          <w:pPr>
            <w:pStyle w:val="TOC2"/>
            <w:tabs>
              <w:tab w:val="left" w:pos="880"/>
              <w:tab w:val="right" w:leader="dot" w:pos="9571"/>
            </w:tabs>
            <w:rPr>
              <w:rFonts w:eastAsiaTheme="minorEastAsia"/>
              <w:noProof/>
              <w:lang w:eastAsia="en-GB"/>
            </w:rPr>
          </w:pPr>
          <w:hyperlink w:anchor="_Toc160443294" w:history="1">
            <w:r w:rsidR="00E67EC3" w:rsidRPr="00B0780A">
              <w:rPr>
                <w:rStyle w:val="Hyperlink"/>
                <w:noProof/>
              </w:rPr>
              <w:t>5.4</w:t>
            </w:r>
            <w:r w:rsidR="00E67EC3">
              <w:rPr>
                <w:rFonts w:eastAsiaTheme="minorEastAsia"/>
                <w:noProof/>
                <w:lang w:eastAsia="en-GB"/>
              </w:rPr>
              <w:tab/>
            </w:r>
            <w:r w:rsidR="00E67EC3" w:rsidRPr="00B0780A">
              <w:rPr>
                <w:rStyle w:val="Hyperlink"/>
                <w:noProof/>
              </w:rPr>
              <w:t>Right of Appeal</w:t>
            </w:r>
            <w:r w:rsidR="00E67EC3">
              <w:rPr>
                <w:noProof/>
                <w:webHidden/>
              </w:rPr>
              <w:tab/>
            </w:r>
            <w:r w:rsidR="00E67EC3">
              <w:rPr>
                <w:noProof/>
                <w:webHidden/>
              </w:rPr>
              <w:fldChar w:fldCharType="begin"/>
            </w:r>
            <w:r w:rsidR="00E67EC3">
              <w:rPr>
                <w:noProof/>
                <w:webHidden/>
              </w:rPr>
              <w:instrText xml:space="preserve"> PAGEREF _Toc160443294 \h </w:instrText>
            </w:r>
            <w:r w:rsidR="00E67EC3">
              <w:rPr>
                <w:noProof/>
                <w:webHidden/>
              </w:rPr>
            </w:r>
            <w:r w:rsidR="00E67EC3">
              <w:rPr>
                <w:noProof/>
                <w:webHidden/>
              </w:rPr>
              <w:fldChar w:fldCharType="separate"/>
            </w:r>
            <w:r w:rsidR="00E67EC3">
              <w:rPr>
                <w:noProof/>
                <w:webHidden/>
              </w:rPr>
              <w:t>8</w:t>
            </w:r>
            <w:r w:rsidR="00E67EC3">
              <w:rPr>
                <w:noProof/>
                <w:webHidden/>
              </w:rPr>
              <w:fldChar w:fldCharType="end"/>
            </w:r>
          </w:hyperlink>
        </w:p>
        <w:p w14:paraId="65270FD7" w14:textId="7D0F5C91" w:rsidR="00E67EC3" w:rsidRDefault="00981632">
          <w:pPr>
            <w:pStyle w:val="TOC1"/>
            <w:tabs>
              <w:tab w:val="right" w:leader="dot" w:pos="9571"/>
            </w:tabs>
            <w:rPr>
              <w:rFonts w:eastAsiaTheme="minorEastAsia"/>
              <w:noProof/>
              <w:lang w:eastAsia="en-GB"/>
            </w:rPr>
          </w:pPr>
          <w:hyperlink w:anchor="_Toc160443295" w:history="1">
            <w:r w:rsidR="00E67EC3" w:rsidRPr="00B0780A">
              <w:rPr>
                <w:rStyle w:val="Hyperlink"/>
                <w:noProof/>
              </w:rPr>
              <w:t>Appendix A – Recording Capability Concerns</w:t>
            </w:r>
            <w:r w:rsidR="00E67EC3">
              <w:rPr>
                <w:noProof/>
                <w:webHidden/>
              </w:rPr>
              <w:tab/>
            </w:r>
            <w:r w:rsidR="00E67EC3">
              <w:rPr>
                <w:noProof/>
                <w:webHidden/>
              </w:rPr>
              <w:fldChar w:fldCharType="begin"/>
            </w:r>
            <w:r w:rsidR="00E67EC3">
              <w:rPr>
                <w:noProof/>
                <w:webHidden/>
              </w:rPr>
              <w:instrText xml:space="preserve"> PAGEREF _Toc160443295 \h </w:instrText>
            </w:r>
            <w:r w:rsidR="00E67EC3">
              <w:rPr>
                <w:noProof/>
                <w:webHidden/>
              </w:rPr>
            </w:r>
            <w:r w:rsidR="00E67EC3">
              <w:rPr>
                <w:noProof/>
                <w:webHidden/>
              </w:rPr>
              <w:fldChar w:fldCharType="separate"/>
            </w:r>
            <w:r w:rsidR="00E67EC3">
              <w:rPr>
                <w:noProof/>
                <w:webHidden/>
              </w:rPr>
              <w:t>10</w:t>
            </w:r>
            <w:r w:rsidR="00E67EC3">
              <w:rPr>
                <w:noProof/>
                <w:webHidden/>
              </w:rPr>
              <w:fldChar w:fldCharType="end"/>
            </w:r>
          </w:hyperlink>
        </w:p>
        <w:p w14:paraId="26978E03" w14:textId="2B50A566" w:rsidR="00E67EC3" w:rsidRDefault="00981632">
          <w:pPr>
            <w:pStyle w:val="TOC1"/>
            <w:tabs>
              <w:tab w:val="right" w:leader="dot" w:pos="9571"/>
            </w:tabs>
            <w:rPr>
              <w:rFonts w:eastAsiaTheme="minorEastAsia"/>
              <w:noProof/>
              <w:lang w:eastAsia="en-GB"/>
            </w:rPr>
          </w:pPr>
          <w:hyperlink w:anchor="_Toc160443296" w:history="1">
            <w:r w:rsidR="00E67EC3" w:rsidRPr="00B0780A">
              <w:rPr>
                <w:rStyle w:val="Hyperlink"/>
                <w:noProof/>
              </w:rPr>
              <w:t>Annex1 - Capability Hearing/Appeals Procedure</w:t>
            </w:r>
            <w:r w:rsidR="00E67EC3">
              <w:rPr>
                <w:noProof/>
                <w:webHidden/>
              </w:rPr>
              <w:tab/>
            </w:r>
            <w:r w:rsidR="00E67EC3">
              <w:rPr>
                <w:noProof/>
                <w:webHidden/>
              </w:rPr>
              <w:fldChar w:fldCharType="begin"/>
            </w:r>
            <w:r w:rsidR="00E67EC3">
              <w:rPr>
                <w:noProof/>
                <w:webHidden/>
              </w:rPr>
              <w:instrText xml:space="preserve"> PAGEREF _Toc160443296 \h </w:instrText>
            </w:r>
            <w:r w:rsidR="00E67EC3">
              <w:rPr>
                <w:noProof/>
                <w:webHidden/>
              </w:rPr>
            </w:r>
            <w:r w:rsidR="00E67EC3">
              <w:rPr>
                <w:noProof/>
                <w:webHidden/>
              </w:rPr>
              <w:fldChar w:fldCharType="separate"/>
            </w:r>
            <w:r w:rsidR="00E67EC3">
              <w:rPr>
                <w:noProof/>
                <w:webHidden/>
              </w:rPr>
              <w:t>11</w:t>
            </w:r>
            <w:r w:rsidR="00E67EC3">
              <w:rPr>
                <w:noProof/>
                <w:webHidden/>
              </w:rPr>
              <w:fldChar w:fldCharType="end"/>
            </w:r>
          </w:hyperlink>
        </w:p>
        <w:p w14:paraId="1F2FD9F1" w14:textId="5ADCD8A3" w:rsidR="00E67EC3" w:rsidRDefault="00981632">
          <w:pPr>
            <w:pStyle w:val="TOC1"/>
            <w:tabs>
              <w:tab w:val="right" w:leader="dot" w:pos="9571"/>
            </w:tabs>
            <w:rPr>
              <w:rFonts w:eastAsiaTheme="minorEastAsia"/>
              <w:noProof/>
              <w:lang w:eastAsia="en-GB"/>
            </w:rPr>
          </w:pPr>
          <w:hyperlink w:anchor="_Toc160443297" w:history="1">
            <w:r w:rsidR="00E67EC3" w:rsidRPr="00B0780A">
              <w:rPr>
                <w:rStyle w:val="Hyperlink"/>
                <w:noProof/>
              </w:rPr>
              <w:t>Annex2 - Addendum to Capability Procedure</w:t>
            </w:r>
            <w:r w:rsidR="00E67EC3">
              <w:rPr>
                <w:noProof/>
                <w:webHidden/>
              </w:rPr>
              <w:tab/>
            </w:r>
            <w:r w:rsidR="00E67EC3">
              <w:rPr>
                <w:noProof/>
                <w:webHidden/>
              </w:rPr>
              <w:fldChar w:fldCharType="begin"/>
            </w:r>
            <w:r w:rsidR="00E67EC3">
              <w:rPr>
                <w:noProof/>
                <w:webHidden/>
              </w:rPr>
              <w:instrText xml:space="preserve"> PAGEREF _Toc160443297 \h </w:instrText>
            </w:r>
            <w:r w:rsidR="00E67EC3">
              <w:rPr>
                <w:noProof/>
                <w:webHidden/>
              </w:rPr>
            </w:r>
            <w:r w:rsidR="00E67EC3">
              <w:rPr>
                <w:noProof/>
                <w:webHidden/>
              </w:rPr>
              <w:fldChar w:fldCharType="separate"/>
            </w:r>
            <w:r w:rsidR="00E67EC3">
              <w:rPr>
                <w:noProof/>
                <w:webHidden/>
              </w:rPr>
              <w:t>12</w:t>
            </w:r>
            <w:r w:rsidR="00E67EC3">
              <w:rPr>
                <w:noProof/>
                <w:webHidden/>
              </w:rPr>
              <w:fldChar w:fldCharType="end"/>
            </w:r>
          </w:hyperlink>
        </w:p>
        <w:p w14:paraId="4812838F" w14:textId="09C8A5A8" w:rsidR="00DD59E8" w:rsidRDefault="00DD59E8">
          <w:r>
            <w:rPr>
              <w:b/>
              <w:bCs/>
              <w:noProof/>
            </w:rPr>
            <w:fldChar w:fldCharType="end"/>
          </w:r>
        </w:p>
      </w:sdtContent>
    </w:sdt>
    <w:p w14:paraId="3C89544F" w14:textId="4CEE68B4" w:rsidR="00DD59E8" w:rsidRDefault="00DD59E8">
      <w:pPr>
        <w:rPr>
          <w:rFonts w:asciiTheme="majorHAnsi" w:eastAsiaTheme="majorEastAsia" w:hAnsiTheme="majorHAnsi" w:cstheme="majorBidi"/>
          <w:color w:val="873168"/>
          <w:sz w:val="32"/>
          <w:szCs w:val="32"/>
        </w:rPr>
      </w:pPr>
      <w:r>
        <w:rPr>
          <w:rFonts w:asciiTheme="majorHAnsi" w:eastAsiaTheme="majorEastAsia" w:hAnsiTheme="majorHAnsi" w:cstheme="majorBidi"/>
          <w:color w:val="873168"/>
          <w:sz w:val="32"/>
          <w:szCs w:val="32"/>
        </w:rPr>
        <w:br w:type="page"/>
      </w:r>
    </w:p>
    <w:p w14:paraId="35A4FA80" w14:textId="0C4920E0" w:rsidR="00D05062" w:rsidRPr="00DD59E8" w:rsidRDefault="00DD59E8" w:rsidP="00C245CB">
      <w:pPr>
        <w:pStyle w:val="Heading1"/>
      </w:pPr>
      <w:bookmarkStart w:id="0" w:name="_Toc160443277"/>
      <w:r w:rsidRPr="00DD59E8">
        <w:lastRenderedPageBreak/>
        <w:t>Policy Overview</w:t>
      </w:r>
      <w:bookmarkEnd w:id="0"/>
    </w:p>
    <w:p w14:paraId="49C0DC68" w14:textId="77777777" w:rsidR="00C245CB" w:rsidRDefault="00DD59E8" w:rsidP="00C245CB">
      <w:pPr>
        <w:pStyle w:val="Heading2"/>
      </w:pPr>
      <w:bookmarkStart w:id="1" w:name="_Toc160443278"/>
      <w:r w:rsidRPr="00DD59E8">
        <w:t xml:space="preserve">Policy </w:t>
      </w:r>
      <w:r w:rsidRPr="00C245CB">
        <w:t>Details</w:t>
      </w:r>
      <w:bookmarkEnd w:id="1"/>
      <w:r w:rsidR="00C245CB">
        <w:tab/>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9"/>
        <w:gridCol w:w="6382"/>
      </w:tblGrid>
      <w:tr w:rsidR="00D91C90" w14:paraId="4C74328F" w14:textId="77777777" w:rsidTr="00D91C90">
        <w:trPr>
          <w:trHeight w:val="505"/>
        </w:trPr>
        <w:tc>
          <w:tcPr>
            <w:tcW w:w="3409" w:type="dxa"/>
          </w:tcPr>
          <w:p w14:paraId="414D503F" w14:textId="77777777" w:rsidR="00D91C90" w:rsidRDefault="00D91C90" w:rsidP="00BB1971">
            <w:pPr>
              <w:pStyle w:val="TableParagraph"/>
              <w:spacing w:line="248" w:lineRule="exact"/>
              <w:rPr>
                <w:b/>
              </w:rPr>
            </w:pPr>
            <w:r>
              <w:rPr>
                <w:b/>
              </w:rPr>
              <w:t>Policy</w:t>
            </w:r>
            <w:r>
              <w:rPr>
                <w:b/>
                <w:spacing w:val="-3"/>
              </w:rPr>
              <w:t xml:space="preserve"> </w:t>
            </w:r>
            <w:r>
              <w:rPr>
                <w:b/>
                <w:spacing w:val="-2"/>
              </w:rPr>
              <w:t>Title:</w:t>
            </w:r>
          </w:p>
        </w:tc>
        <w:sdt>
          <w:sdtPr>
            <w:alias w:val="Title"/>
            <w:tag w:val=""/>
            <w:id w:val="-10764314"/>
            <w:placeholder>
              <w:docPart w:val="7354B16BDE624A14A32D651FDADF74AC"/>
            </w:placeholder>
            <w:dataBinding w:prefixMappings="xmlns:ns0='http://purl.org/dc/elements/1.1/' xmlns:ns1='http://schemas.openxmlformats.org/package/2006/metadata/core-properties' " w:xpath="/ns1:coreProperties[1]/ns0:title[1]" w:storeItemID="{6C3C8BC8-F283-45AE-878A-BAB7291924A1}"/>
            <w:text/>
          </w:sdtPr>
          <w:sdtEndPr/>
          <w:sdtContent>
            <w:tc>
              <w:tcPr>
                <w:tcW w:w="6382" w:type="dxa"/>
              </w:tcPr>
              <w:p w14:paraId="4E0C6464" w14:textId="25F7B84F" w:rsidR="00D91C90" w:rsidRDefault="001A6684" w:rsidP="00BB1971">
                <w:pPr>
                  <w:pStyle w:val="TableParagraph"/>
                  <w:spacing w:line="250" w:lineRule="exact"/>
                  <w:ind w:left="110"/>
                </w:pPr>
                <w:r>
                  <w:t>CAPABILITY POLICY &amp; PROCEDURE – SUPPORT STAFF</w:t>
                </w:r>
              </w:p>
            </w:tc>
          </w:sdtContent>
        </w:sdt>
      </w:tr>
      <w:tr w:rsidR="00D91C90" w14:paraId="4C37BD26" w14:textId="77777777" w:rsidTr="00D91C90">
        <w:trPr>
          <w:trHeight w:val="505"/>
        </w:trPr>
        <w:tc>
          <w:tcPr>
            <w:tcW w:w="3409" w:type="dxa"/>
          </w:tcPr>
          <w:p w14:paraId="20C476D0" w14:textId="77777777" w:rsidR="00D91C90" w:rsidRDefault="00D91C90" w:rsidP="00BB1971">
            <w:pPr>
              <w:pStyle w:val="TableParagraph"/>
              <w:spacing w:line="248" w:lineRule="exact"/>
              <w:rPr>
                <w:b/>
              </w:rPr>
            </w:pPr>
            <w:r>
              <w:rPr>
                <w:b/>
              </w:rPr>
              <w:t xml:space="preserve">Target </w:t>
            </w:r>
            <w:r>
              <w:rPr>
                <w:b/>
                <w:spacing w:val="-2"/>
              </w:rPr>
              <w:t>Audience:</w:t>
            </w:r>
          </w:p>
        </w:tc>
        <w:tc>
          <w:tcPr>
            <w:tcW w:w="6382" w:type="dxa"/>
          </w:tcPr>
          <w:p w14:paraId="2C0EBB64" w14:textId="3DAF1ADB" w:rsidR="00D91C90" w:rsidRDefault="00183C64" w:rsidP="00BB1971">
            <w:pPr>
              <w:pStyle w:val="TableParagraph"/>
              <w:spacing w:line="250" w:lineRule="exact"/>
              <w:ind w:left="110"/>
            </w:pPr>
            <w:r>
              <w:t>Support Staff</w:t>
            </w:r>
          </w:p>
        </w:tc>
      </w:tr>
      <w:tr w:rsidR="00D91C90" w14:paraId="0AD927BF" w14:textId="77777777" w:rsidTr="00D91C90">
        <w:trPr>
          <w:trHeight w:val="506"/>
        </w:trPr>
        <w:tc>
          <w:tcPr>
            <w:tcW w:w="3409" w:type="dxa"/>
          </w:tcPr>
          <w:p w14:paraId="11604222" w14:textId="77777777" w:rsidR="00D91C90" w:rsidRDefault="00D91C90" w:rsidP="00BB1971">
            <w:pPr>
              <w:pStyle w:val="TableParagraph"/>
              <w:spacing w:line="248" w:lineRule="exact"/>
              <w:rPr>
                <w:b/>
              </w:rPr>
            </w:pPr>
            <w:r>
              <w:rPr>
                <w:b/>
              </w:rPr>
              <w:t>Policy</w:t>
            </w:r>
            <w:r>
              <w:rPr>
                <w:b/>
                <w:spacing w:val="-11"/>
              </w:rPr>
              <w:t xml:space="preserve"> </w:t>
            </w:r>
            <w:r>
              <w:rPr>
                <w:b/>
              </w:rPr>
              <w:t>Review</w:t>
            </w:r>
            <w:r>
              <w:rPr>
                <w:b/>
                <w:spacing w:val="1"/>
              </w:rPr>
              <w:t xml:space="preserve"> </w:t>
            </w:r>
            <w:r>
              <w:rPr>
                <w:b/>
                <w:spacing w:val="-4"/>
              </w:rPr>
              <w:t>Date:</w:t>
            </w:r>
          </w:p>
        </w:tc>
        <w:tc>
          <w:tcPr>
            <w:tcW w:w="6382" w:type="dxa"/>
          </w:tcPr>
          <w:p w14:paraId="34D5D856" w14:textId="0A8AFFFF" w:rsidR="00D91C90" w:rsidRDefault="002813E6" w:rsidP="00BB1971">
            <w:pPr>
              <w:pStyle w:val="TableParagraph"/>
              <w:spacing w:line="250" w:lineRule="exact"/>
              <w:ind w:left="110"/>
            </w:pPr>
            <w:r>
              <w:t>On</w:t>
            </w:r>
            <w:r>
              <w:rPr>
                <w:spacing w:val="-3"/>
              </w:rPr>
              <w:t xml:space="preserve"> </w:t>
            </w:r>
            <w:r>
              <w:t>or</w:t>
            </w:r>
            <w:r>
              <w:rPr>
                <w:spacing w:val="-2"/>
              </w:rPr>
              <w:t xml:space="preserve"> </w:t>
            </w:r>
            <w:r>
              <w:t>before</w:t>
            </w:r>
            <w:r>
              <w:rPr>
                <w:spacing w:val="-4"/>
              </w:rPr>
              <w:t xml:space="preserve"> </w:t>
            </w:r>
            <w:r>
              <w:t>30</w:t>
            </w:r>
            <w:r>
              <w:rPr>
                <w:spacing w:val="-5"/>
              </w:rPr>
              <w:t xml:space="preserve"> </w:t>
            </w:r>
            <w:r>
              <w:t>July</w:t>
            </w:r>
            <w:r>
              <w:rPr>
                <w:spacing w:val="-2"/>
              </w:rPr>
              <w:t xml:space="preserve"> </w:t>
            </w:r>
            <w:r>
              <w:rPr>
                <w:spacing w:val="-4"/>
              </w:rPr>
              <w:t>2024</w:t>
            </w:r>
          </w:p>
        </w:tc>
      </w:tr>
      <w:tr w:rsidR="00D91C90" w14:paraId="2F22E8EB" w14:textId="77777777" w:rsidTr="00D91C90">
        <w:trPr>
          <w:trHeight w:val="505"/>
        </w:trPr>
        <w:tc>
          <w:tcPr>
            <w:tcW w:w="3409" w:type="dxa"/>
          </w:tcPr>
          <w:p w14:paraId="47D68F52" w14:textId="77777777" w:rsidR="00D91C90" w:rsidRDefault="00D91C90" w:rsidP="00BB1971">
            <w:pPr>
              <w:pStyle w:val="TableParagraph"/>
              <w:spacing w:line="248" w:lineRule="exact"/>
              <w:rPr>
                <w:b/>
              </w:rPr>
            </w:pPr>
            <w:r>
              <w:rPr>
                <w:b/>
              </w:rPr>
              <w:t>Policy</w:t>
            </w:r>
            <w:r>
              <w:rPr>
                <w:b/>
                <w:spacing w:val="-11"/>
              </w:rPr>
              <w:t xml:space="preserve"> </w:t>
            </w:r>
            <w:r>
              <w:rPr>
                <w:b/>
              </w:rPr>
              <w:t>Review</w:t>
            </w:r>
            <w:r>
              <w:rPr>
                <w:b/>
                <w:spacing w:val="1"/>
              </w:rPr>
              <w:t xml:space="preserve"> </w:t>
            </w:r>
            <w:r>
              <w:rPr>
                <w:b/>
                <w:spacing w:val="-4"/>
              </w:rPr>
              <w:t>Lead:</w:t>
            </w:r>
          </w:p>
        </w:tc>
        <w:tc>
          <w:tcPr>
            <w:tcW w:w="6382" w:type="dxa"/>
          </w:tcPr>
          <w:p w14:paraId="0D451AD4" w14:textId="2AB3CD1C" w:rsidR="00D91C90" w:rsidRDefault="004F1F0A" w:rsidP="00BB1971">
            <w:pPr>
              <w:pStyle w:val="TableParagraph"/>
              <w:spacing w:line="250" w:lineRule="exact"/>
              <w:ind w:left="110"/>
            </w:pPr>
            <w:r>
              <w:t>Helen Dunbavin</w:t>
            </w:r>
          </w:p>
        </w:tc>
      </w:tr>
      <w:tr w:rsidR="00D91C90" w14:paraId="7BBCC6E3" w14:textId="77777777" w:rsidTr="00D91C90">
        <w:trPr>
          <w:trHeight w:val="506"/>
        </w:trPr>
        <w:tc>
          <w:tcPr>
            <w:tcW w:w="3409" w:type="dxa"/>
          </w:tcPr>
          <w:p w14:paraId="694E5829" w14:textId="77777777" w:rsidR="00D91C90" w:rsidRDefault="00D91C90" w:rsidP="00BB1971">
            <w:pPr>
              <w:pStyle w:val="TableParagraph"/>
              <w:spacing w:line="248" w:lineRule="exact"/>
              <w:rPr>
                <w:b/>
              </w:rPr>
            </w:pPr>
            <w:r>
              <w:rPr>
                <w:b/>
              </w:rPr>
              <w:t>Personnel</w:t>
            </w:r>
            <w:r>
              <w:rPr>
                <w:b/>
                <w:spacing w:val="-5"/>
              </w:rPr>
              <w:t xml:space="preserve"> </w:t>
            </w:r>
            <w:r>
              <w:rPr>
                <w:b/>
              </w:rPr>
              <w:t>Involved</w:t>
            </w:r>
            <w:r>
              <w:rPr>
                <w:b/>
                <w:spacing w:val="-4"/>
              </w:rPr>
              <w:t xml:space="preserve"> </w:t>
            </w:r>
            <w:r>
              <w:rPr>
                <w:b/>
              </w:rPr>
              <w:t>in</w:t>
            </w:r>
            <w:r>
              <w:rPr>
                <w:b/>
                <w:spacing w:val="-3"/>
              </w:rPr>
              <w:t xml:space="preserve"> </w:t>
            </w:r>
            <w:r>
              <w:rPr>
                <w:b/>
                <w:spacing w:val="-5"/>
              </w:rPr>
              <w:t>the</w:t>
            </w:r>
          </w:p>
          <w:p w14:paraId="7D990019" w14:textId="77777777" w:rsidR="00D91C90" w:rsidRDefault="00D91C90" w:rsidP="00BB1971">
            <w:pPr>
              <w:pStyle w:val="TableParagraph"/>
              <w:spacing w:before="1" w:line="237" w:lineRule="exact"/>
              <w:rPr>
                <w:b/>
              </w:rPr>
            </w:pPr>
            <w:r>
              <w:rPr>
                <w:b/>
              </w:rPr>
              <w:t>Review</w:t>
            </w:r>
            <w:r>
              <w:rPr>
                <w:b/>
                <w:spacing w:val="-1"/>
              </w:rPr>
              <w:t xml:space="preserve"> </w:t>
            </w:r>
            <w:r>
              <w:rPr>
                <w:b/>
              </w:rPr>
              <w:t>of</w:t>
            </w:r>
            <w:r>
              <w:rPr>
                <w:b/>
                <w:spacing w:val="-5"/>
              </w:rPr>
              <w:t xml:space="preserve"> </w:t>
            </w:r>
            <w:r>
              <w:rPr>
                <w:b/>
              </w:rPr>
              <w:t>this</w:t>
            </w:r>
            <w:r>
              <w:rPr>
                <w:b/>
                <w:spacing w:val="-3"/>
              </w:rPr>
              <w:t xml:space="preserve"> </w:t>
            </w:r>
            <w:r>
              <w:rPr>
                <w:b/>
                <w:spacing w:val="-2"/>
              </w:rPr>
              <w:t>Policy:</w:t>
            </w:r>
          </w:p>
        </w:tc>
        <w:tc>
          <w:tcPr>
            <w:tcW w:w="6382" w:type="dxa"/>
          </w:tcPr>
          <w:p w14:paraId="71A5ABCD" w14:textId="7B55F519" w:rsidR="00D91C90" w:rsidRDefault="00D91C90" w:rsidP="00BB1971">
            <w:pPr>
              <w:pStyle w:val="TableParagraph"/>
              <w:spacing w:line="250" w:lineRule="exact"/>
              <w:ind w:left="110"/>
            </w:pPr>
            <w:r>
              <w:t>Headteacher,</w:t>
            </w:r>
            <w:r>
              <w:rPr>
                <w:spacing w:val="-9"/>
              </w:rPr>
              <w:t xml:space="preserve"> </w:t>
            </w:r>
            <w:r>
              <w:t>Deputy Headteacher,</w:t>
            </w:r>
            <w:r>
              <w:rPr>
                <w:spacing w:val="-11"/>
              </w:rPr>
              <w:t xml:space="preserve"> </w:t>
            </w:r>
            <w:r>
              <w:t>Senior</w:t>
            </w:r>
            <w:r>
              <w:rPr>
                <w:spacing w:val="-9"/>
              </w:rPr>
              <w:t xml:space="preserve"> </w:t>
            </w:r>
            <w:r>
              <w:t>Leadership</w:t>
            </w:r>
            <w:r>
              <w:rPr>
                <w:spacing w:val="-11"/>
              </w:rPr>
              <w:t xml:space="preserve"> </w:t>
            </w:r>
            <w:r>
              <w:rPr>
                <w:spacing w:val="-4"/>
              </w:rPr>
              <w:t>Team</w:t>
            </w:r>
          </w:p>
        </w:tc>
      </w:tr>
      <w:tr w:rsidR="00D91C90" w14:paraId="683FF5E2" w14:textId="77777777" w:rsidTr="00D91C90">
        <w:trPr>
          <w:trHeight w:val="506"/>
        </w:trPr>
        <w:tc>
          <w:tcPr>
            <w:tcW w:w="3409" w:type="dxa"/>
          </w:tcPr>
          <w:p w14:paraId="493D4560" w14:textId="77777777" w:rsidR="00D91C90" w:rsidRDefault="00D91C90" w:rsidP="00BB1971">
            <w:pPr>
              <w:pStyle w:val="TableParagraph"/>
              <w:spacing w:line="248" w:lineRule="exact"/>
              <w:rPr>
                <w:b/>
              </w:rPr>
            </w:pPr>
            <w:r>
              <w:rPr>
                <w:b/>
              </w:rPr>
              <w:t>This</w:t>
            </w:r>
            <w:r>
              <w:rPr>
                <w:b/>
                <w:spacing w:val="1"/>
              </w:rPr>
              <w:t xml:space="preserve"> </w:t>
            </w:r>
            <w:r>
              <w:rPr>
                <w:b/>
              </w:rPr>
              <w:t>policy</w:t>
            </w:r>
            <w:r>
              <w:rPr>
                <w:b/>
                <w:spacing w:val="-7"/>
              </w:rPr>
              <w:t xml:space="preserve"> </w:t>
            </w:r>
            <w:r>
              <w:rPr>
                <w:b/>
              </w:rPr>
              <w:t>was</w:t>
            </w:r>
            <w:r>
              <w:rPr>
                <w:b/>
                <w:spacing w:val="-2"/>
              </w:rPr>
              <w:t xml:space="preserve"> developed</w:t>
            </w:r>
          </w:p>
          <w:p w14:paraId="4E9B48B1" w14:textId="77777777" w:rsidR="00D91C90" w:rsidRDefault="00D91C90" w:rsidP="00BB1971">
            <w:pPr>
              <w:pStyle w:val="TableParagraph"/>
              <w:spacing w:before="2" w:line="237" w:lineRule="exact"/>
              <w:rPr>
                <w:b/>
              </w:rPr>
            </w:pPr>
            <w:r>
              <w:rPr>
                <w:b/>
              </w:rPr>
              <w:t>through</w:t>
            </w:r>
            <w:r>
              <w:rPr>
                <w:b/>
                <w:spacing w:val="-8"/>
              </w:rPr>
              <w:t xml:space="preserve"> </w:t>
            </w:r>
            <w:r>
              <w:rPr>
                <w:b/>
              </w:rPr>
              <w:t>consultation</w:t>
            </w:r>
            <w:r>
              <w:rPr>
                <w:b/>
                <w:spacing w:val="-11"/>
              </w:rPr>
              <w:t xml:space="preserve"> </w:t>
            </w:r>
            <w:r>
              <w:rPr>
                <w:b/>
                <w:spacing w:val="-2"/>
              </w:rPr>
              <w:t>with:</w:t>
            </w:r>
          </w:p>
        </w:tc>
        <w:tc>
          <w:tcPr>
            <w:tcW w:w="6382" w:type="dxa"/>
          </w:tcPr>
          <w:p w14:paraId="36409FD1" w14:textId="77777777" w:rsidR="00D91C90" w:rsidRDefault="00D91C90" w:rsidP="00BB1971">
            <w:pPr>
              <w:pStyle w:val="TableParagraph"/>
              <w:spacing w:line="250" w:lineRule="exact"/>
              <w:ind w:left="110"/>
            </w:pPr>
            <w:r>
              <w:t>Senior</w:t>
            </w:r>
            <w:r>
              <w:rPr>
                <w:spacing w:val="-9"/>
              </w:rPr>
              <w:t xml:space="preserve"> </w:t>
            </w:r>
            <w:r>
              <w:t>Leadership</w:t>
            </w:r>
            <w:r>
              <w:rPr>
                <w:spacing w:val="-8"/>
              </w:rPr>
              <w:t xml:space="preserve"> </w:t>
            </w:r>
            <w:r>
              <w:rPr>
                <w:spacing w:val="-4"/>
              </w:rPr>
              <w:t>Team</w:t>
            </w:r>
          </w:p>
        </w:tc>
      </w:tr>
      <w:tr w:rsidR="00D91C90" w14:paraId="05C704C6" w14:textId="77777777" w:rsidTr="00D91C90">
        <w:trPr>
          <w:trHeight w:val="505"/>
        </w:trPr>
        <w:tc>
          <w:tcPr>
            <w:tcW w:w="3409" w:type="dxa"/>
          </w:tcPr>
          <w:p w14:paraId="78C8BA96" w14:textId="77777777" w:rsidR="00D91C90" w:rsidRDefault="00D91C90" w:rsidP="00BB1971">
            <w:pPr>
              <w:pStyle w:val="TableParagraph"/>
              <w:spacing w:line="248" w:lineRule="exact"/>
              <w:rPr>
                <w:b/>
              </w:rPr>
            </w:pPr>
            <w:r>
              <w:rPr>
                <w:b/>
              </w:rPr>
              <w:t>This</w:t>
            </w:r>
            <w:r>
              <w:rPr>
                <w:b/>
                <w:spacing w:val="-1"/>
              </w:rPr>
              <w:t xml:space="preserve"> </w:t>
            </w:r>
            <w:r>
              <w:rPr>
                <w:b/>
              </w:rPr>
              <w:t>policy</w:t>
            </w:r>
            <w:r>
              <w:rPr>
                <w:b/>
                <w:spacing w:val="-8"/>
              </w:rPr>
              <w:t xml:space="preserve"> </w:t>
            </w:r>
            <w:r>
              <w:rPr>
                <w:b/>
              </w:rPr>
              <w:t>was</w:t>
            </w:r>
            <w:r>
              <w:rPr>
                <w:b/>
                <w:spacing w:val="-3"/>
              </w:rPr>
              <w:t xml:space="preserve"> </w:t>
            </w:r>
            <w:r>
              <w:rPr>
                <w:b/>
              </w:rPr>
              <w:t>presented</w:t>
            </w:r>
            <w:r>
              <w:rPr>
                <w:b/>
                <w:spacing w:val="-1"/>
              </w:rPr>
              <w:t xml:space="preserve"> </w:t>
            </w:r>
            <w:r>
              <w:rPr>
                <w:b/>
                <w:spacing w:val="-5"/>
              </w:rPr>
              <w:t>to</w:t>
            </w:r>
          </w:p>
          <w:p w14:paraId="47AB0461" w14:textId="77777777" w:rsidR="00D91C90" w:rsidRDefault="00D91C90" w:rsidP="00BB1971">
            <w:pPr>
              <w:pStyle w:val="TableParagraph"/>
              <w:spacing w:before="1" w:line="237" w:lineRule="exact"/>
              <w:rPr>
                <w:b/>
              </w:rPr>
            </w:pPr>
            <w:r>
              <w:rPr>
                <w:b/>
              </w:rPr>
              <w:t>the</w:t>
            </w:r>
            <w:r>
              <w:rPr>
                <w:b/>
                <w:spacing w:val="-3"/>
              </w:rPr>
              <w:t xml:space="preserve"> </w:t>
            </w:r>
            <w:r>
              <w:rPr>
                <w:b/>
              </w:rPr>
              <w:t>Board</w:t>
            </w:r>
            <w:r>
              <w:rPr>
                <w:b/>
                <w:spacing w:val="-4"/>
              </w:rPr>
              <w:t xml:space="preserve"> </w:t>
            </w:r>
            <w:r>
              <w:rPr>
                <w:b/>
              </w:rPr>
              <w:t>of</w:t>
            </w:r>
            <w:r>
              <w:rPr>
                <w:b/>
                <w:spacing w:val="-4"/>
              </w:rPr>
              <w:t xml:space="preserve"> </w:t>
            </w:r>
            <w:r>
              <w:rPr>
                <w:b/>
              </w:rPr>
              <w:t>Governors</w:t>
            </w:r>
            <w:r>
              <w:rPr>
                <w:b/>
                <w:spacing w:val="-2"/>
              </w:rPr>
              <w:t xml:space="preserve"> </w:t>
            </w:r>
            <w:r>
              <w:rPr>
                <w:b/>
                <w:spacing w:val="-5"/>
              </w:rPr>
              <w:t>on:</w:t>
            </w:r>
          </w:p>
        </w:tc>
        <w:tc>
          <w:tcPr>
            <w:tcW w:w="6382" w:type="dxa"/>
          </w:tcPr>
          <w:p w14:paraId="06D3C8B2" w14:textId="5EFF1AF6" w:rsidR="00D91C90" w:rsidRDefault="004F1F0A" w:rsidP="00BB1971">
            <w:pPr>
              <w:pStyle w:val="TableParagraph"/>
              <w:spacing w:line="250" w:lineRule="exact"/>
              <w:ind w:left="110"/>
            </w:pPr>
            <w:r>
              <w:t xml:space="preserve">Autumn Term </w:t>
            </w:r>
            <w:r w:rsidR="00046117">
              <w:t>2023</w:t>
            </w:r>
          </w:p>
        </w:tc>
      </w:tr>
      <w:tr w:rsidR="00D91C90" w14:paraId="42AE6B2E" w14:textId="77777777" w:rsidTr="00D91C90">
        <w:trPr>
          <w:trHeight w:val="505"/>
        </w:trPr>
        <w:tc>
          <w:tcPr>
            <w:tcW w:w="3409" w:type="dxa"/>
          </w:tcPr>
          <w:p w14:paraId="3F0EC492" w14:textId="77777777" w:rsidR="00D91C90" w:rsidRDefault="00D91C90" w:rsidP="00BB1971">
            <w:pPr>
              <w:pStyle w:val="TableParagraph"/>
              <w:spacing w:line="252" w:lineRule="exact"/>
              <w:ind w:right="60"/>
              <w:rPr>
                <w:b/>
              </w:rPr>
            </w:pPr>
            <w:r>
              <w:rPr>
                <w:b/>
              </w:rPr>
              <w:t>This policy was ratified by the</w:t>
            </w:r>
            <w:r>
              <w:rPr>
                <w:b/>
                <w:spacing w:val="-9"/>
              </w:rPr>
              <w:t xml:space="preserve"> </w:t>
            </w:r>
            <w:r>
              <w:rPr>
                <w:b/>
              </w:rPr>
              <w:t>Board</w:t>
            </w:r>
            <w:r>
              <w:rPr>
                <w:b/>
                <w:spacing w:val="-10"/>
              </w:rPr>
              <w:t xml:space="preserve"> </w:t>
            </w:r>
            <w:r>
              <w:rPr>
                <w:b/>
              </w:rPr>
              <w:t>of</w:t>
            </w:r>
            <w:r>
              <w:rPr>
                <w:b/>
                <w:spacing w:val="-10"/>
              </w:rPr>
              <w:t xml:space="preserve"> </w:t>
            </w:r>
            <w:r>
              <w:rPr>
                <w:b/>
              </w:rPr>
              <w:t>Governors</w:t>
            </w:r>
            <w:r>
              <w:rPr>
                <w:b/>
                <w:spacing w:val="-9"/>
              </w:rPr>
              <w:t xml:space="preserve"> </w:t>
            </w:r>
            <w:r>
              <w:rPr>
                <w:b/>
              </w:rPr>
              <w:t>on:</w:t>
            </w:r>
          </w:p>
        </w:tc>
        <w:tc>
          <w:tcPr>
            <w:tcW w:w="6382" w:type="dxa"/>
          </w:tcPr>
          <w:p w14:paraId="3497E810" w14:textId="0FCAB4BC" w:rsidR="00D91C90" w:rsidRDefault="00D91C90" w:rsidP="00BB1971">
            <w:pPr>
              <w:pStyle w:val="TableParagraph"/>
              <w:spacing w:line="250" w:lineRule="exact"/>
              <w:ind w:left="110"/>
            </w:pPr>
            <w:r>
              <w:t>1</w:t>
            </w:r>
            <w:r w:rsidR="00110A97">
              <w:t>8</w:t>
            </w:r>
            <w:r w:rsidR="00110A97" w:rsidRPr="00110A97">
              <w:rPr>
                <w:vertAlign w:val="superscript"/>
              </w:rPr>
              <w:t>th</w:t>
            </w:r>
            <w:r w:rsidR="00110A97">
              <w:t xml:space="preserve"> </w:t>
            </w:r>
            <w:r>
              <w:t>October</w:t>
            </w:r>
            <w:r>
              <w:rPr>
                <w:spacing w:val="-3"/>
              </w:rPr>
              <w:t xml:space="preserve"> </w:t>
            </w:r>
            <w:r>
              <w:rPr>
                <w:spacing w:val="-4"/>
              </w:rPr>
              <w:t>2</w:t>
            </w:r>
            <w:r w:rsidR="00110A97">
              <w:rPr>
                <w:spacing w:val="-4"/>
              </w:rPr>
              <w:t>023</w:t>
            </w:r>
          </w:p>
        </w:tc>
      </w:tr>
      <w:tr w:rsidR="00D91C90" w14:paraId="3AEE4CD0" w14:textId="77777777" w:rsidTr="00D91C90">
        <w:trPr>
          <w:trHeight w:val="506"/>
        </w:trPr>
        <w:tc>
          <w:tcPr>
            <w:tcW w:w="3409" w:type="dxa"/>
          </w:tcPr>
          <w:p w14:paraId="3852947C" w14:textId="77777777" w:rsidR="00D91C90" w:rsidRDefault="00D91C90" w:rsidP="00BB1971">
            <w:pPr>
              <w:pStyle w:val="TableParagraph"/>
              <w:spacing w:line="248" w:lineRule="exact"/>
              <w:rPr>
                <w:b/>
              </w:rPr>
            </w:pPr>
            <w:r>
              <w:rPr>
                <w:b/>
              </w:rPr>
              <w:t>This</w:t>
            </w:r>
            <w:r>
              <w:rPr>
                <w:b/>
                <w:spacing w:val="-3"/>
              </w:rPr>
              <w:t xml:space="preserve"> </w:t>
            </w:r>
            <w:r>
              <w:rPr>
                <w:b/>
              </w:rPr>
              <w:t>policy</w:t>
            </w:r>
            <w:r>
              <w:rPr>
                <w:b/>
                <w:spacing w:val="-8"/>
              </w:rPr>
              <w:t xml:space="preserve"> </w:t>
            </w:r>
            <w:r>
              <w:rPr>
                <w:b/>
              </w:rPr>
              <w:t>is</w:t>
            </w:r>
            <w:r>
              <w:rPr>
                <w:b/>
                <w:spacing w:val="-3"/>
              </w:rPr>
              <w:t xml:space="preserve"> </w:t>
            </w:r>
            <w:r>
              <w:rPr>
                <w:b/>
              </w:rPr>
              <w:t>effective</w:t>
            </w:r>
            <w:r>
              <w:rPr>
                <w:b/>
                <w:spacing w:val="-3"/>
              </w:rPr>
              <w:t xml:space="preserve"> </w:t>
            </w:r>
            <w:r>
              <w:rPr>
                <w:b/>
                <w:spacing w:val="-2"/>
              </w:rPr>
              <w:t>from:</w:t>
            </w:r>
          </w:p>
        </w:tc>
        <w:tc>
          <w:tcPr>
            <w:tcW w:w="6382" w:type="dxa"/>
          </w:tcPr>
          <w:p w14:paraId="53172B8B" w14:textId="1D32C621" w:rsidR="00D91C90" w:rsidRDefault="00726AA5" w:rsidP="00BB1971">
            <w:pPr>
              <w:pStyle w:val="TableParagraph"/>
              <w:spacing w:line="250" w:lineRule="exact"/>
              <w:ind w:left="110"/>
            </w:pPr>
            <w:r>
              <w:t>1</w:t>
            </w:r>
            <w:r w:rsidRPr="00726AA5">
              <w:rPr>
                <w:vertAlign w:val="superscript"/>
              </w:rPr>
              <w:t>st</w:t>
            </w:r>
            <w:r>
              <w:t xml:space="preserve"> of September 2023</w:t>
            </w:r>
          </w:p>
        </w:tc>
      </w:tr>
      <w:tr w:rsidR="00D91C90" w14:paraId="580BBCDC" w14:textId="77777777" w:rsidTr="00D91C90">
        <w:trPr>
          <w:trHeight w:val="506"/>
        </w:trPr>
        <w:tc>
          <w:tcPr>
            <w:tcW w:w="3409" w:type="dxa"/>
          </w:tcPr>
          <w:p w14:paraId="63058ED1" w14:textId="77777777" w:rsidR="00D91C90" w:rsidRDefault="00D91C90" w:rsidP="00BB1971">
            <w:pPr>
              <w:pStyle w:val="TableParagraph"/>
              <w:spacing w:line="248" w:lineRule="exact"/>
              <w:rPr>
                <w:b/>
              </w:rPr>
            </w:pPr>
            <w:r>
              <w:rPr>
                <w:b/>
              </w:rPr>
              <w:t>Frequency</w:t>
            </w:r>
            <w:r>
              <w:rPr>
                <w:b/>
                <w:spacing w:val="-6"/>
              </w:rPr>
              <w:t xml:space="preserve"> </w:t>
            </w:r>
            <w:r>
              <w:rPr>
                <w:b/>
              </w:rPr>
              <w:t>of Policy</w:t>
            </w:r>
            <w:r>
              <w:rPr>
                <w:b/>
                <w:spacing w:val="-6"/>
              </w:rPr>
              <w:t xml:space="preserve"> </w:t>
            </w:r>
            <w:r>
              <w:rPr>
                <w:b/>
                <w:spacing w:val="-2"/>
              </w:rPr>
              <w:t>Review:</w:t>
            </w:r>
          </w:p>
        </w:tc>
        <w:tc>
          <w:tcPr>
            <w:tcW w:w="6382" w:type="dxa"/>
          </w:tcPr>
          <w:p w14:paraId="6744DE29" w14:textId="704B3B5C" w:rsidR="00D91C90" w:rsidRDefault="00D91C90" w:rsidP="00BB1971">
            <w:pPr>
              <w:pStyle w:val="TableParagraph"/>
              <w:spacing w:line="250" w:lineRule="exact"/>
              <w:ind w:left="110"/>
            </w:pPr>
            <w:r>
              <w:t>This</w:t>
            </w:r>
            <w:r>
              <w:rPr>
                <w:spacing w:val="-3"/>
              </w:rPr>
              <w:t xml:space="preserve"> </w:t>
            </w:r>
            <w:r>
              <w:t>policy</w:t>
            </w:r>
            <w:r>
              <w:rPr>
                <w:spacing w:val="-5"/>
              </w:rPr>
              <w:t xml:space="preserve"> </w:t>
            </w:r>
            <w:r>
              <w:t>should</w:t>
            </w:r>
            <w:r>
              <w:rPr>
                <w:spacing w:val="-4"/>
              </w:rPr>
              <w:t xml:space="preserve"> </w:t>
            </w:r>
            <w:r>
              <w:t>be</w:t>
            </w:r>
            <w:r>
              <w:rPr>
                <w:spacing w:val="-5"/>
              </w:rPr>
              <w:t xml:space="preserve"> </w:t>
            </w:r>
            <w:r>
              <w:t>reviewed</w:t>
            </w:r>
            <w:r>
              <w:rPr>
                <w:spacing w:val="-3"/>
              </w:rPr>
              <w:t xml:space="preserve"> </w:t>
            </w:r>
            <w:r w:rsidR="00D12F76">
              <w:t>annually</w:t>
            </w:r>
          </w:p>
        </w:tc>
      </w:tr>
      <w:tr w:rsidR="00D91C90" w14:paraId="70949056" w14:textId="77777777" w:rsidTr="00D91C90">
        <w:trPr>
          <w:trHeight w:val="506"/>
        </w:trPr>
        <w:tc>
          <w:tcPr>
            <w:tcW w:w="3409" w:type="dxa"/>
          </w:tcPr>
          <w:p w14:paraId="1CEC5500" w14:textId="34207A88" w:rsidR="00D91C90" w:rsidRDefault="00D91C90" w:rsidP="00BB1971">
            <w:pPr>
              <w:pStyle w:val="TableParagraph"/>
              <w:spacing w:line="248" w:lineRule="exact"/>
              <w:rPr>
                <w:b/>
              </w:rPr>
            </w:pPr>
            <w:r>
              <w:rPr>
                <w:b/>
                <w:spacing w:val="-2"/>
              </w:rPr>
              <w:t>Headteacher</w:t>
            </w:r>
          </w:p>
        </w:tc>
        <w:tc>
          <w:tcPr>
            <w:tcW w:w="6382" w:type="dxa"/>
          </w:tcPr>
          <w:p w14:paraId="3185AEED" w14:textId="552C3547" w:rsidR="00D91C90" w:rsidRDefault="00D91C90" w:rsidP="00BB1971">
            <w:pPr>
              <w:pStyle w:val="TableParagraph"/>
              <w:spacing w:line="250" w:lineRule="exact"/>
              <w:ind w:left="110"/>
            </w:pPr>
            <w:r>
              <w:t>Helen Dunbavin</w:t>
            </w:r>
          </w:p>
        </w:tc>
      </w:tr>
      <w:tr w:rsidR="00D91C90" w14:paraId="2D2E554C" w14:textId="77777777" w:rsidTr="00D91C90">
        <w:trPr>
          <w:trHeight w:val="506"/>
        </w:trPr>
        <w:tc>
          <w:tcPr>
            <w:tcW w:w="3409" w:type="dxa"/>
          </w:tcPr>
          <w:p w14:paraId="0E723612" w14:textId="77777777" w:rsidR="00D91C90" w:rsidRDefault="00D91C90" w:rsidP="00BB1971">
            <w:pPr>
              <w:pStyle w:val="TableParagraph"/>
              <w:spacing w:line="248" w:lineRule="exact"/>
              <w:rPr>
                <w:b/>
              </w:rPr>
            </w:pPr>
            <w:r>
              <w:rPr>
                <w:b/>
              </w:rPr>
              <w:t>Chair</w:t>
            </w:r>
            <w:r>
              <w:rPr>
                <w:b/>
                <w:spacing w:val="-2"/>
              </w:rPr>
              <w:t xml:space="preserve"> </w:t>
            </w:r>
            <w:r>
              <w:rPr>
                <w:b/>
              </w:rPr>
              <w:t>of</w:t>
            </w:r>
            <w:r>
              <w:rPr>
                <w:b/>
                <w:spacing w:val="-1"/>
              </w:rPr>
              <w:t xml:space="preserve"> </w:t>
            </w:r>
            <w:r>
              <w:rPr>
                <w:b/>
              </w:rPr>
              <w:t>Board</w:t>
            </w:r>
            <w:r>
              <w:rPr>
                <w:b/>
                <w:spacing w:val="-4"/>
              </w:rPr>
              <w:t xml:space="preserve"> </w:t>
            </w:r>
            <w:r>
              <w:rPr>
                <w:b/>
              </w:rPr>
              <w:t>of</w:t>
            </w:r>
            <w:r>
              <w:rPr>
                <w:b/>
                <w:spacing w:val="-6"/>
              </w:rPr>
              <w:t xml:space="preserve"> </w:t>
            </w:r>
            <w:r>
              <w:rPr>
                <w:b/>
                <w:spacing w:val="-2"/>
              </w:rPr>
              <w:t>Governors</w:t>
            </w:r>
          </w:p>
        </w:tc>
        <w:tc>
          <w:tcPr>
            <w:tcW w:w="6382" w:type="dxa"/>
          </w:tcPr>
          <w:p w14:paraId="4E9109B5" w14:textId="0E277B6C" w:rsidR="00D91C90" w:rsidRDefault="00D91C90" w:rsidP="00BB1971">
            <w:pPr>
              <w:pStyle w:val="TableParagraph"/>
              <w:spacing w:line="250" w:lineRule="exact"/>
              <w:ind w:left="110"/>
            </w:pPr>
            <w:r>
              <w:t>Matthew Walker</w:t>
            </w:r>
          </w:p>
        </w:tc>
      </w:tr>
    </w:tbl>
    <w:p w14:paraId="3C4F17B5" w14:textId="77777777" w:rsidR="00D91C90" w:rsidRPr="00D91C90" w:rsidRDefault="00D91C90" w:rsidP="00D91C90"/>
    <w:p w14:paraId="5D5FC57E" w14:textId="7EBD9317" w:rsidR="00C245CB" w:rsidRDefault="00C245CB" w:rsidP="00C245CB">
      <w:pPr>
        <w:pStyle w:val="Heading2"/>
      </w:pPr>
      <w:bookmarkStart w:id="2" w:name="_Toc160443279"/>
      <w:r w:rsidRPr="00C245CB">
        <w:t>Record of Policy Amendments</w:t>
      </w:r>
      <w:bookmarkEnd w:id="2"/>
    </w:p>
    <w:p w14:paraId="0A50CC82" w14:textId="3F75067C" w:rsidR="00190C14" w:rsidRDefault="00190C14" w:rsidP="00190C14">
      <w:r w:rsidRPr="00190C14">
        <w:t>The following table outlines any significant changes/amendments made to this policy since it was</w:t>
      </w:r>
      <w:r>
        <w:t xml:space="preserve"> last </w:t>
      </w:r>
      <w:r w:rsidRPr="00190C14">
        <w:t xml:space="preserve"> ratified by the Board of Governor</w:t>
      </w:r>
      <w:r w:rsidR="005B6EBB">
        <w:t>s</w:t>
      </w:r>
      <w:r>
        <w:t>.</w:t>
      </w:r>
    </w:p>
    <w:tbl>
      <w:tblPr>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8"/>
        <w:gridCol w:w="6400"/>
        <w:gridCol w:w="1533"/>
      </w:tblGrid>
      <w:tr w:rsidR="00190C14" w14:paraId="34C399CB" w14:textId="77777777" w:rsidTr="00190C14">
        <w:trPr>
          <w:trHeight w:val="757"/>
        </w:trPr>
        <w:tc>
          <w:tcPr>
            <w:tcW w:w="1858" w:type="dxa"/>
          </w:tcPr>
          <w:p w14:paraId="6248C5D5" w14:textId="77777777" w:rsidR="00190C14" w:rsidRDefault="00190C14" w:rsidP="00BB1971">
            <w:pPr>
              <w:pStyle w:val="TableParagraph"/>
              <w:ind w:left="160" w:right="148" w:firstLine="2"/>
              <w:jc w:val="center"/>
              <w:rPr>
                <w:b/>
              </w:rPr>
            </w:pPr>
            <w:r>
              <w:rPr>
                <w:b/>
              </w:rPr>
              <w:t>DATE OF REVIEW</w:t>
            </w:r>
            <w:r>
              <w:rPr>
                <w:b/>
                <w:spacing w:val="56"/>
              </w:rPr>
              <w:t xml:space="preserve"> </w:t>
            </w:r>
            <w:r>
              <w:rPr>
                <w:b/>
                <w:spacing w:val="-5"/>
              </w:rPr>
              <w:t>OR</w:t>
            </w:r>
          </w:p>
          <w:p w14:paraId="1CDA795D" w14:textId="77777777" w:rsidR="00190C14" w:rsidRDefault="00190C14" w:rsidP="00BB1971">
            <w:pPr>
              <w:pStyle w:val="TableParagraph"/>
              <w:spacing w:line="237" w:lineRule="exact"/>
              <w:ind w:left="96" w:right="85"/>
              <w:jc w:val="center"/>
              <w:rPr>
                <w:b/>
              </w:rPr>
            </w:pPr>
            <w:r>
              <w:rPr>
                <w:b/>
                <w:spacing w:val="-2"/>
              </w:rPr>
              <w:t>AMENDMENT</w:t>
            </w:r>
          </w:p>
        </w:tc>
        <w:tc>
          <w:tcPr>
            <w:tcW w:w="6400" w:type="dxa"/>
          </w:tcPr>
          <w:p w14:paraId="046E975E" w14:textId="77777777" w:rsidR="00190C14" w:rsidRDefault="00190C14" w:rsidP="00BB1971">
            <w:pPr>
              <w:pStyle w:val="TableParagraph"/>
              <w:spacing w:line="248" w:lineRule="exact"/>
              <w:ind w:left="364"/>
              <w:rPr>
                <w:b/>
              </w:rPr>
            </w:pPr>
            <w:r>
              <w:rPr>
                <w:b/>
              </w:rPr>
              <w:t>SUMMARY</w:t>
            </w:r>
            <w:r>
              <w:rPr>
                <w:b/>
                <w:spacing w:val="-9"/>
              </w:rPr>
              <w:t xml:space="preserve"> </w:t>
            </w:r>
            <w:r>
              <w:rPr>
                <w:b/>
              </w:rPr>
              <w:t>OF</w:t>
            </w:r>
            <w:r>
              <w:rPr>
                <w:b/>
                <w:spacing w:val="-6"/>
              </w:rPr>
              <w:t xml:space="preserve"> </w:t>
            </w:r>
            <w:r>
              <w:rPr>
                <w:b/>
              </w:rPr>
              <w:t>CHANGES</w:t>
            </w:r>
            <w:r>
              <w:rPr>
                <w:b/>
                <w:spacing w:val="-6"/>
              </w:rPr>
              <w:t xml:space="preserve"> </w:t>
            </w:r>
            <w:r>
              <w:rPr>
                <w:b/>
              </w:rPr>
              <w:t>/</w:t>
            </w:r>
            <w:r>
              <w:rPr>
                <w:b/>
                <w:spacing w:val="-2"/>
              </w:rPr>
              <w:t xml:space="preserve"> </w:t>
            </w:r>
            <w:r>
              <w:rPr>
                <w:b/>
              </w:rPr>
              <w:t>AMENDMENTS</w:t>
            </w:r>
            <w:r>
              <w:rPr>
                <w:b/>
                <w:spacing w:val="-6"/>
              </w:rPr>
              <w:t xml:space="preserve"> </w:t>
            </w:r>
            <w:r>
              <w:rPr>
                <w:b/>
              </w:rPr>
              <w:t>TO</w:t>
            </w:r>
            <w:r>
              <w:rPr>
                <w:b/>
                <w:spacing w:val="-4"/>
              </w:rPr>
              <w:t xml:space="preserve"> </w:t>
            </w:r>
            <w:r>
              <w:rPr>
                <w:b/>
                <w:spacing w:val="-2"/>
              </w:rPr>
              <w:t>POLICY</w:t>
            </w:r>
          </w:p>
        </w:tc>
        <w:tc>
          <w:tcPr>
            <w:tcW w:w="1533" w:type="dxa"/>
          </w:tcPr>
          <w:p w14:paraId="21B19591" w14:textId="77777777" w:rsidR="00190C14" w:rsidRDefault="00190C14" w:rsidP="00BB1971">
            <w:pPr>
              <w:pStyle w:val="TableParagraph"/>
              <w:ind w:left="594" w:right="176" w:hanging="401"/>
              <w:rPr>
                <w:b/>
              </w:rPr>
            </w:pPr>
            <w:r>
              <w:rPr>
                <w:b/>
                <w:spacing w:val="-2"/>
              </w:rPr>
              <w:t xml:space="preserve">AMENDED </w:t>
            </w:r>
            <w:r>
              <w:rPr>
                <w:b/>
                <w:spacing w:val="-6"/>
              </w:rPr>
              <w:t>BY</w:t>
            </w:r>
          </w:p>
        </w:tc>
      </w:tr>
      <w:tr w:rsidR="00190C14" w14:paraId="302C54F0" w14:textId="77777777" w:rsidTr="00190C14">
        <w:trPr>
          <w:trHeight w:val="254"/>
        </w:trPr>
        <w:tc>
          <w:tcPr>
            <w:tcW w:w="1858" w:type="dxa"/>
          </w:tcPr>
          <w:p w14:paraId="4EEFCA7A" w14:textId="77777777" w:rsidR="00190C14" w:rsidRDefault="00190C14" w:rsidP="00BB1971">
            <w:pPr>
              <w:pStyle w:val="TableParagraph"/>
              <w:ind w:left="0"/>
              <w:rPr>
                <w:rFonts w:ascii="Times New Roman"/>
                <w:sz w:val="18"/>
              </w:rPr>
            </w:pPr>
          </w:p>
        </w:tc>
        <w:tc>
          <w:tcPr>
            <w:tcW w:w="6400" w:type="dxa"/>
          </w:tcPr>
          <w:p w14:paraId="603779F8" w14:textId="77777777" w:rsidR="00190C14" w:rsidRDefault="00190C14" w:rsidP="00BB1971">
            <w:pPr>
              <w:pStyle w:val="TableParagraph"/>
              <w:ind w:left="0"/>
              <w:rPr>
                <w:rFonts w:ascii="Times New Roman"/>
                <w:sz w:val="18"/>
              </w:rPr>
            </w:pPr>
          </w:p>
        </w:tc>
        <w:tc>
          <w:tcPr>
            <w:tcW w:w="1533" w:type="dxa"/>
          </w:tcPr>
          <w:p w14:paraId="4B4EFC28" w14:textId="77777777" w:rsidR="00190C14" w:rsidRDefault="00190C14" w:rsidP="00BB1971">
            <w:pPr>
              <w:pStyle w:val="TableParagraph"/>
              <w:ind w:left="0"/>
              <w:rPr>
                <w:rFonts w:ascii="Times New Roman"/>
                <w:sz w:val="18"/>
              </w:rPr>
            </w:pPr>
          </w:p>
        </w:tc>
      </w:tr>
      <w:tr w:rsidR="00190C14" w14:paraId="1EE72B65" w14:textId="77777777" w:rsidTr="00190C14">
        <w:trPr>
          <w:trHeight w:val="251"/>
        </w:trPr>
        <w:tc>
          <w:tcPr>
            <w:tcW w:w="1858" w:type="dxa"/>
          </w:tcPr>
          <w:p w14:paraId="2FC33CD3" w14:textId="77777777" w:rsidR="00190C14" w:rsidRDefault="00190C14" w:rsidP="00BB1971">
            <w:pPr>
              <w:pStyle w:val="TableParagraph"/>
              <w:ind w:left="0"/>
              <w:rPr>
                <w:rFonts w:ascii="Times New Roman"/>
                <w:sz w:val="18"/>
              </w:rPr>
            </w:pPr>
          </w:p>
        </w:tc>
        <w:tc>
          <w:tcPr>
            <w:tcW w:w="6400" w:type="dxa"/>
          </w:tcPr>
          <w:p w14:paraId="700148FC" w14:textId="77777777" w:rsidR="00190C14" w:rsidRDefault="00190C14" w:rsidP="00BB1971">
            <w:pPr>
              <w:pStyle w:val="TableParagraph"/>
              <w:ind w:left="0"/>
              <w:rPr>
                <w:rFonts w:ascii="Times New Roman"/>
                <w:sz w:val="18"/>
              </w:rPr>
            </w:pPr>
          </w:p>
        </w:tc>
        <w:tc>
          <w:tcPr>
            <w:tcW w:w="1533" w:type="dxa"/>
          </w:tcPr>
          <w:p w14:paraId="7C59DFAF" w14:textId="77777777" w:rsidR="00190C14" w:rsidRDefault="00190C14" w:rsidP="00BB1971">
            <w:pPr>
              <w:pStyle w:val="TableParagraph"/>
              <w:ind w:left="0"/>
              <w:rPr>
                <w:rFonts w:ascii="Times New Roman"/>
                <w:sz w:val="18"/>
              </w:rPr>
            </w:pPr>
          </w:p>
        </w:tc>
      </w:tr>
      <w:tr w:rsidR="00190C14" w14:paraId="0A7A20C3" w14:textId="77777777" w:rsidTr="00190C14">
        <w:trPr>
          <w:trHeight w:val="254"/>
        </w:trPr>
        <w:tc>
          <w:tcPr>
            <w:tcW w:w="1858" w:type="dxa"/>
          </w:tcPr>
          <w:p w14:paraId="25788E0C" w14:textId="77777777" w:rsidR="00190C14" w:rsidRDefault="00190C14" w:rsidP="00BB1971">
            <w:pPr>
              <w:pStyle w:val="TableParagraph"/>
              <w:ind w:left="0"/>
              <w:rPr>
                <w:rFonts w:ascii="Times New Roman"/>
                <w:sz w:val="18"/>
              </w:rPr>
            </w:pPr>
          </w:p>
        </w:tc>
        <w:tc>
          <w:tcPr>
            <w:tcW w:w="6400" w:type="dxa"/>
          </w:tcPr>
          <w:p w14:paraId="1CEE195C" w14:textId="77777777" w:rsidR="00190C14" w:rsidRDefault="00190C14" w:rsidP="00BB1971">
            <w:pPr>
              <w:pStyle w:val="TableParagraph"/>
              <w:ind w:left="0"/>
              <w:rPr>
                <w:rFonts w:ascii="Times New Roman"/>
                <w:sz w:val="18"/>
              </w:rPr>
            </w:pPr>
          </w:p>
        </w:tc>
        <w:tc>
          <w:tcPr>
            <w:tcW w:w="1533" w:type="dxa"/>
          </w:tcPr>
          <w:p w14:paraId="754F9E55" w14:textId="77777777" w:rsidR="00190C14" w:rsidRDefault="00190C14" w:rsidP="00BB1971">
            <w:pPr>
              <w:pStyle w:val="TableParagraph"/>
              <w:ind w:left="0"/>
              <w:rPr>
                <w:rFonts w:ascii="Times New Roman"/>
                <w:sz w:val="18"/>
              </w:rPr>
            </w:pPr>
          </w:p>
        </w:tc>
      </w:tr>
      <w:tr w:rsidR="00190C14" w14:paraId="69CE517A" w14:textId="77777777" w:rsidTr="00190C14">
        <w:trPr>
          <w:trHeight w:val="253"/>
        </w:trPr>
        <w:tc>
          <w:tcPr>
            <w:tcW w:w="1858" w:type="dxa"/>
          </w:tcPr>
          <w:p w14:paraId="0A479250" w14:textId="77777777" w:rsidR="00190C14" w:rsidRDefault="00190C14" w:rsidP="00BB1971">
            <w:pPr>
              <w:pStyle w:val="TableParagraph"/>
              <w:ind w:left="0"/>
              <w:rPr>
                <w:rFonts w:ascii="Times New Roman"/>
                <w:sz w:val="18"/>
              </w:rPr>
            </w:pPr>
          </w:p>
        </w:tc>
        <w:tc>
          <w:tcPr>
            <w:tcW w:w="6400" w:type="dxa"/>
          </w:tcPr>
          <w:p w14:paraId="76C4C6C0" w14:textId="77777777" w:rsidR="00190C14" w:rsidRDefault="00190C14" w:rsidP="00BB1971">
            <w:pPr>
              <w:pStyle w:val="TableParagraph"/>
              <w:ind w:left="0"/>
              <w:rPr>
                <w:rFonts w:ascii="Times New Roman"/>
                <w:sz w:val="18"/>
              </w:rPr>
            </w:pPr>
          </w:p>
        </w:tc>
        <w:tc>
          <w:tcPr>
            <w:tcW w:w="1533" w:type="dxa"/>
          </w:tcPr>
          <w:p w14:paraId="76099CB9" w14:textId="77777777" w:rsidR="00190C14" w:rsidRDefault="00190C14" w:rsidP="00BB1971">
            <w:pPr>
              <w:pStyle w:val="TableParagraph"/>
              <w:ind w:left="0"/>
              <w:rPr>
                <w:rFonts w:ascii="Times New Roman"/>
                <w:sz w:val="18"/>
              </w:rPr>
            </w:pPr>
          </w:p>
        </w:tc>
      </w:tr>
      <w:tr w:rsidR="00190C14" w14:paraId="666EE08B" w14:textId="77777777" w:rsidTr="00190C14">
        <w:trPr>
          <w:trHeight w:val="251"/>
        </w:trPr>
        <w:tc>
          <w:tcPr>
            <w:tcW w:w="1858" w:type="dxa"/>
          </w:tcPr>
          <w:p w14:paraId="2B18A14B" w14:textId="77777777" w:rsidR="00190C14" w:rsidRDefault="00190C14" w:rsidP="00BB1971">
            <w:pPr>
              <w:pStyle w:val="TableParagraph"/>
              <w:ind w:left="0"/>
              <w:rPr>
                <w:rFonts w:ascii="Times New Roman"/>
                <w:sz w:val="18"/>
              </w:rPr>
            </w:pPr>
          </w:p>
        </w:tc>
        <w:tc>
          <w:tcPr>
            <w:tcW w:w="6400" w:type="dxa"/>
          </w:tcPr>
          <w:p w14:paraId="6AF08A44" w14:textId="77777777" w:rsidR="00190C14" w:rsidRDefault="00190C14" w:rsidP="00BB1971">
            <w:pPr>
              <w:pStyle w:val="TableParagraph"/>
              <w:ind w:left="0"/>
              <w:rPr>
                <w:rFonts w:ascii="Times New Roman"/>
                <w:sz w:val="18"/>
              </w:rPr>
            </w:pPr>
          </w:p>
        </w:tc>
        <w:tc>
          <w:tcPr>
            <w:tcW w:w="1533" w:type="dxa"/>
          </w:tcPr>
          <w:p w14:paraId="28F5529C" w14:textId="77777777" w:rsidR="00190C14" w:rsidRDefault="00190C14" w:rsidP="00BB1971">
            <w:pPr>
              <w:pStyle w:val="TableParagraph"/>
              <w:ind w:left="0"/>
              <w:rPr>
                <w:rFonts w:ascii="Times New Roman"/>
                <w:sz w:val="18"/>
              </w:rPr>
            </w:pPr>
          </w:p>
        </w:tc>
      </w:tr>
      <w:tr w:rsidR="00190C14" w14:paraId="1813E188" w14:textId="77777777" w:rsidTr="00190C14">
        <w:trPr>
          <w:trHeight w:val="254"/>
        </w:trPr>
        <w:tc>
          <w:tcPr>
            <w:tcW w:w="1858" w:type="dxa"/>
          </w:tcPr>
          <w:p w14:paraId="46A92557" w14:textId="77777777" w:rsidR="00190C14" w:rsidRDefault="00190C14" w:rsidP="00BB1971">
            <w:pPr>
              <w:pStyle w:val="TableParagraph"/>
              <w:ind w:left="0"/>
              <w:rPr>
                <w:rFonts w:ascii="Times New Roman"/>
                <w:sz w:val="18"/>
              </w:rPr>
            </w:pPr>
          </w:p>
        </w:tc>
        <w:tc>
          <w:tcPr>
            <w:tcW w:w="6400" w:type="dxa"/>
          </w:tcPr>
          <w:p w14:paraId="620A4336" w14:textId="77777777" w:rsidR="00190C14" w:rsidRDefault="00190C14" w:rsidP="00BB1971">
            <w:pPr>
              <w:pStyle w:val="TableParagraph"/>
              <w:ind w:left="0"/>
              <w:rPr>
                <w:rFonts w:ascii="Times New Roman"/>
                <w:sz w:val="18"/>
              </w:rPr>
            </w:pPr>
          </w:p>
        </w:tc>
        <w:tc>
          <w:tcPr>
            <w:tcW w:w="1533" w:type="dxa"/>
          </w:tcPr>
          <w:p w14:paraId="3EC148D5" w14:textId="77777777" w:rsidR="00190C14" w:rsidRDefault="00190C14" w:rsidP="00BB1971">
            <w:pPr>
              <w:pStyle w:val="TableParagraph"/>
              <w:ind w:left="0"/>
              <w:rPr>
                <w:rFonts w:ascii="Times New Roman"/>
                <w:sz w:val="18"/>
              </w:rPr>
            </w:pPr>
          </w:p>
        </w:tc>
      </w:tr>
      <w:tr w:rsidR="00190C14" w14:paraId="460743DA" w14:textId="77777777" w:rsidTr="00190C14">
        <w:trPr>
          <w:trHeight w:val="251"/>
        </w:trPr>
        <w:tc>
          <w:tcPr>
            <w:tcW w:w="1858" w:type="dxa"/>
          </w:tcPr>
          <w:p w14:paraId="4DBFE331" w14:textId="77777777" w:rsidR="00190C14" w:rsidRDefault="00190C14" w:rsidP="00BB1971">
            <w:pPr>
              <w:pStyle w:val="TableParagraph"/>
              <w:ind w:left="0"/>
              <w:rPr>
                <w:rFonts w:ascii="Times New Roman"/>
                <w:sz w:val="18"/>
              </w:rPr>
            </w:pPr>
          </w:p>
        </w:tc>
        <w:tc>
          <w:tcPr>
            <w:tcW w:w="6400" w:type="dxa"/>
          </w:tcPr>
          <w:p w14:paraId="557B9EE6" w14:textId="77777777" w:rsidR="00190C14" w:rsidRDefault="00190C14" w:rsidP="00BB1971">
            <w:pPr>
              <w:pStyle w:val="TableParagraph"/>
              <w:ind w:left="0"/>
              <w:rPr>
                <w:rFonts w:ascii="Times New Roman"/>
                <w:sz w:val="18"/>
              </w:rPr>
            </w:pPr>
          </w:p>
        </w:tc>
        <w:tc>
          <w:tcPr>
            <w:tcW w:w="1533" w:type="dxa"/>
          </w:tcPr>
          <w:p w14:paraId="028BBE11" w14:textId="77777777" w:rsidR="00190C14" w:rsidRDefault="00190C14" w:rsidP="00BB1971">
            <w:pPr>
              <w:pStyle w:val="TableParagraph"/>
              <w:ind w:left="0"/>
              <w:rPr>
                <w:rFonts w:ascii="Times New Roman"/>
                <w:sz w:val="18"/>
              </w:rPr>
            </w:pPr>
          </w:p>
        </w:tc>
      </w:tr>
      <w:tr w:rsidR="00190C14" w14:paraId="0907289E" w14:textId="77777777" w:rsidTr="00190C14">
        <w:trPr>
          <w:trHeight w:val="254"/>
        </w:trPr>
        <w:tc>
          <w:tcPr>
            <w:tcW w:w="1858" w:type="dxa"/>
          </w:tcPr>
          <w:p w14:paraId="1FC2EC73" w14:textId="77777777" w:rsidR="00190C14" w:rsidRDefault="00190C14" w:rsidP="00BB1971">
            <w:pPr>
              <w:pStyle w:val="TableParagraph"/>
              <w:ind w:left="0"/>
              <w:rPr>
                <w:rFonts w:ascii="Times New Roman"/>
                <w:sz w:val="18"/>
              </w:rPr>
            </w:pPr>
          </w:p>
        </w:tc>
        <w:tc>
          <w:tcPr>
            <w:tcW w:w="6400" w:type="dxa"/>
          </w:tcPr>
          <w:p w14:paraId="13F5B1A0" w14:textId="77777777" w:rsidR="00190C14" w:rsidRDefault="00190C14" w:rsidP="00BB1971">
            <w:pPr>
              <w:pStyle w:val="TableParagraph"/>
              <w:ind w:left="0"/>
              <w:rPr>
                <w:rFonts w:ascii="Times New Roman"/>
                <w:sz w:val="18"/>
              </w:rPr>
            </w:pPr>
          </w:p>
        </w:tc>
        <w:tc>
          <w:tcPr>
            <w:tcW w:w="1533" w:type="dxa"/>
          </w:tcPr>
          <w:p w14:paraId="53AC034B" w14:textId="77777777" w:rsidR="00190C14" w:rsidRDefault="00190C14" w:rsidP="00BB1971">
            <w:pPr>
              <w:pStyle w:val="TableParagraph"/>
              <w:ind w:left="0"/>
              <w:rPr>
                <w:rFonts w:ascii="Times New Roman"/>
                <w:sz w:val="18"/>
              </w:rPr>
            </w:pPr>
          </w:p>
        </w:tc>
      </w:tr>
      <w:tr w:rsidR="00190C14" w14:paraId="220AB8A6" w14:textId="77777777" w:rsidTr="00190C14">
        <w:trPr>
          <w:trHeight w:val="254"/>
        </w:trPr>
        <w:tc>
          <w:tcPr>
            <w:tcW w:w="1858" w:type="dxa"/>
          </w:tcPr>
          <w:p w14:paraId="3C2AB113" w14:textId="77777777" w:rsidR="00190C14" w:rsidRDefault="00190C14" w:rsidP="00BB1971">
            <w:pPr>
              <w:pStyle w:val="TableParagraph"/>
              <w:ind w:left="0"/>
              <w:rPr>
                <w:rFonts w:ascii="Times New Roman"/>
                <w:sz w:val="18"/>
              </w:rPr>
            </w:pPr>
          </w:p>
        </w:tc>
        <w:tc>
          <w:tcPr>
            <w:tcW w:w="6400" w:type="dxa"/>
          </w:tcPr>
          <w:p w14:paraId="4CD80164" w14:textId="77777777" w:rsidR="00190C14" w:rsidRDefault="00190C14" w:rsidP="00BB1971">
            <w:pPr>
              <w:pStyle w:val="TableParagraph"/>
              <w:ind w:left="0"/>
              <w:rPr>
                <w:rFonts w:ascii="Times New Roman"/>
                <w:sz w:val="18"/>
              </w:rPr>
            </w:pPr>
          </w:p>
        </w:tc>
        <w:tc>
          <w:tcPr>
            <w:tcW w:w="1533" w:type="dxa"/>
          </w:tcPr>
          <w:p w14:paraId="15BA2ADA" w14:textId="77777777" w:rsidR="00190C14" w:rsidRDefault="00190C14" w:rsidP="00BB1971">
            <w:pPr>
              <w:pStyle w:val="TableParagraph"/>
              <w:ind w:left="0"/>
              <w:rPr>
                <w:rFonts w:ascii="Times New Roman"/>
                <w:sz w:val="18"/>
              </w:rPr>
            </w:pPr>
          </w:p>
        </w:tc>
      </w:tr>
    </w:tbl>
    <w:p w14:paraId="0EC4E3F9" w14:textId="77777777" w:rsidR="00190C14" w:rsidRPr="00190C14" w:rsidRDefault="00190C14" w:rsidP="00190C14"/>
    <w:p w14:paraId="6148A3A7" w14:textId="2674638B" w:rsidR="00D91C90" w:rsidRDefault="00D91C90" w:rsidP="00D91C90">
      <w:pPr>
        <w:pStyle w:val="Heading2"/>
      </w:pPr>
      <w:bookmarkStart w:id="3" w:name="_Toc160443280"/>
      <w:r w:rsidRPr="00D91C90">
        <w:t xml:space="preserve">Monitoring </w:t>
      </w:r>
      <w:r w:rsidR="00190C14">
        <w:t>a</w:t>
      </w:r>
      <w:r w:rsidRPr="00D91C90">
        <w:t xml:space="preserve">nd Evaluation </w:t>
      </w:r>
      <w:r w:rsidR="00190C14">
        <w:t>o</w:t>
      </w:r>
      <w:r w:rsidRPr="00D91C90">
        <w:t xml:space="preserve">f </w:t>
      </w:r>
      <w:r w:rsidR="00190C14">
        <w:t>t</w:t>
      </w:r>
      <w:r w:rsidRPr="00D91C90">
        <w:t>he Policy</w:t>
      </w:r>
      <w:bookmarkEnd w:id="3"/>
    </w:p>
    <w:p w14:paraId="6952E804" w14:textId="04DA82F5" w:rsidR="00190C14" w:rsidRDefault="00190C14" w:rsidP="00190C14">
      <w:r>
        <w:t xml:space="preserve">It is the responsibility of the Board of Governors, in liaison with the Headteacher, to monitor the effectiveness of this policy. This policy will be </w:t>
      </w:r>
      <w:r w:rsidR="0003121B">
        <w:t xml:space="preserve">reviewed </w:t>
      </w:r>
      <w:r w:rsidR="00F27D7E">
        <w:t xml:space="preserve">annually </w:t>
      </w:r>
      <w:r>
        <w:t>but may be updated sooner in response to:</w:t>
      </w:r>
    </w:p>
    <w:p w14:paraId="03D5969D" w14:textId="050C15DB" w:rsidR="00190C14" w:rsidRDefault="00190C14" w:rsidP="00190C14">
      <w:pPr>
        <w:pStyle w:val="ListParagraph"/>
        <w:numPr>
          <w:ilvl w:val="0"/>
          <w:numId w:val="3"/>
        </w:numPr>
      </w:pPr>
      <w:r>
        <w:t>relevant circulars and publications provided by the Department of Education (DFE) / Education Authority (</w:t>
      </w:r>
      <w:r w:rsidR="00FC67E7">
        <w:t>L</w:t>
      </w:r>
      <w:r>
        <w:t>EA);</w:t>
      </w:r>
    </w:p>
    <w:p w14:paraId="4685D5C9" w14:textId="77777777" w:rsidR="00190C14" w:rsidRDefault="00190C14" w:rsidP="00190C14">
      <w:pPr>
        <w:pStyle w:val="ListParagraph"/>
        <w:numPr>
          <w:ilvl w:val="0"/>
          <w:numId w:val="3"/>
        </w:numPr>
      </w:pPr>
      <w:r>
        <w:lastRenderedPageBreak/>
        <w:t xml:space="preserve">a recommendation by </w:t>
      </w:r>
      <w:r w:rsidRPr="00190C14">
        <w:t xml:space="preserve">Ofsted </w:t>
      </w:r>
    </w:p>
    <w:p w14:paraId="76393588" w14:textId="51B5CCFD" w:rsidR="00190C14" w:rsidRDefault="00190C14" w:rsidP="00190C14">
      <w:pPr>
        <w:pStyle w:val="ListParagraph"/>
        <w:numPr>
          <w:ilvl w:val="0"/>
          <w:numId w:val="3"/>
        </w:numPr>
      </w:pPr>
      <w:r>
        <w:t>learning which emerges from issues/situations which arise; or</w:t>
      </w:r>
    </w:p>
    <w:p w14:paraId="6691B060" w14:textId="084A53AD" w:rsidR="00190C14" w:rsidRDefault="00190C14" w:rsidP="00190C14">
      <w:pPr>
        <w:pStyle w:val="ListParagraph"/>
        <w:numPr>
          <w:ilvl w:val="0"/>
          <w:numId w:val="3"/>
        </w:numPr>
      </w:pPr>
      <w:r>
        <w:t>a review of other related school policies that impact this policy.</w:t>
      </w:r>
    </w:p>
    <w:p w14:paraId="133D8C89" w14:textId="17E407F4" w:rsidR="006B6A05" w:rsidRDefault="00E813A8" w:rsidP="00727E67">
      <w:r>
        <w:t xml:space="preserve">To ensure that this policy is relevant and up to date, comments and suggestions for additions or amendments are sought from users of this document.  To contribute towards the process of review, please contact the </w:t>
      </w:r>
      <w:r w:rsidRPr="00E813A8">
        <w:t>Policy Review Lead</w:t>
      </w:r>
      <w:r>
        <w:t xml:space="preserve"> listed </w:t>
      </w:r>
      <w:r w:rsidR="00963017">
        <w:t>with this document or an SLT member.</w:t>
      </w:r>
    </w:p>
    <w:p w14:paraId="280F731F" w14:textId="77777777" w:rsidR="00727E67" w:rsidRPr="00190C14" w:rsidRDefault="00727E67" w:rsidP="00727E67">
      <w:pPr>
        <w:pStyle w:val="BodyText"/>
      </w:pPr>
    </w:p>
    <w:p w14:paraId="0866C69E" w14:textId="77777777" w:rsidR="00C245CB" w:rsidRDefault="00C245CB" w:rsidP="00C245CB">
      <w:pPr>
        <w:pStyle w:val="Heading2"/>
      </w:pPr>
      <w:bookmarkStart w:id="4" w:name="_Toc160443281"/>
      <w:r w:rsidRPr="00C245CB">
        <w:t>Related School Policies and Documents</w:t>
      </w:r>
      <w:bookmarkEnd w:id="4"/>
    </w:p>
    <w:p w14:paraId="6B10FFD8" w14:textId="174AF702" w:rsidR="00190C14" w:rsidRDefault="00190C14" w:rsidP="00190C14">
      <w:r w:rsidRPr="00190C14">
        <w:t>This policy is related to the following school policies and documents:</w:t>
      </w:r>
    </w:p>
    <w:tbl>
      <w:tblPr>
        <w:tblStyle w:val="TableGrid"/>
        <w:tblW w:w="9791" w:type="dxa"/>
        <w:tblLayout w:type="fixed"/>
        <w:tblLook w:val="01E0" w:firstRow="1" w:lastRow="1" w:firstColumn="1" w:lastColumn="1" w:noHBand="0" w:noVBand="0"/>
      </w:tblPr>
      <w:tblGrid>
        <w:gridCol w:w="9791"/>
      </w:tblGrid>
      <w:tr w:rsidR="00DD257E" w14:paraId="43167FA4" w14:textId="77777777" w:rsidTr="006B6A05">
        <w:trPr>
          <w:trHeight w:val="248"/>
        </w:trPr>
        <w:tc>
          <w:tcPr>
            <w:tcW w:w="9791" w:type="dxa"/>
          </w:tcPr>
          <w:p w14:paraId="1E65D12D" w14:textId="77777777" w:rsidR="00DD257E" w:rsidRDefault="00DD257E" w:rsidP="00BB4865">
            <w:pPr>
              <w:pStyle w:val="TableParagraph"/>
              <w:ind w:left="0" w:right="176"/>
              <w:rPr>
                <w:b/>
              </w:rPr>
            </w:pPr>
            <w:r>
              <w:rPr>
                <w:b/>
              </w:rPr>
              <w:t>Document/Policy name</w:t>
            </w:r>
          </w:p>
        </w:tc>
      </w:tr>
      <w:tr w:rsidR="00DD257E" w14:paraId="114CF3A8" w14:textId="77777777" w:rsidTr="006B6A05">
        <w:trPr>
          <w:trHeight w:val="254"/>
        </w:trPr>
        <w:tc>
          <w:tcPr>
            <w:tcW w:w="9791" w:type="dxa"/>
          </w:tcPr>
          <w:p w14:paraId="512B9DAE" w14:textId="5932E861" w:rsidR="00DD257E" w:rsidRDefault="001719CB" w:rsidP="00BB1971">
            <w:pPr>
              <w:pStyle w:val="NoSpacing"/>
            </w:pPr>
            <w:r w:rsidRPr="001719CB">
              <w:t xml:space="preserve">Pay Policy </w:t>
            </w:r>
            <w:r w:rsidR="00A20A83">
              <w:t>–</w:t>
            </w:r>
            <w:r w:rsidR="00893144">
              <w:t xml:space="preserve"> </w:t>
            </w:r>
            <w:r w:rsidR="00A20A83">
              <w:t>Support Staff</w:t>
            </w:r>
          </w:p>
        </w:tc>
      </w:tr>
      <w:tr w:rsidR="00DD257E" w14:paraId="48CF1994" w14:textId="77777777" w:rsidTr="006B6A05">
        <w:trPr>
          <w:trHeight w:val="254"/>
        </w:trPr>
        <w:tc>
          <w:tcPr>
            <w:tcW w:w="9791" w:type="dxa"/>
          </w:tcPr>
          <w:p w14:paraId="502C2688" w14:textId="56259E8F" w:rsidR="00DD257E" w:rsidRDefault="00530BB4" w:rsidP="00BB1971">
            <w:pPr>
              <w:pStyle w:val="NoSpacing"/>
            </w:pPr>
            <w:r>
              <w:t xml:space="preserve">Appraisal </w:t>
            </w:r>
            <w:r w:rsidR="00F71685" w:rsidRPr="00F71685">
              <w:t>Policy</w:t>
            </w:r>
            <w:r w:rsidR="00893144">
              <w:t xml:space="preserve"> </w:t>
            </w:r>
            <w:r w:rsidR="00A20A83">
              <w:t>–</w:t>
            </w:r>
            <w:r w:rsidR="00893144">
              <w:t xml:space="preserve"> </w:t>
            </w:r>
            <w:r w:rsidR="00A20A83">
              <w:t>Support Staff</w:t>
            </w:r>
          </w:p>
        </w:tc>
      </w:tr>
    </w:tbl>
    <w:p w14:paraId="3F2A6166" w14:textId="77777777" w:rsidR="00727E67" w:rsidRDefault="00727E67" w:rsidP="00727E67">
      <w:pPr>
        <w:pStyle w:val="BodyText"/>
      </w:pPr>
    </w:p>
    <w:p w14:paraId="0601E866" w14:textId="01C6B56A" w:rsidR="003455C9" w:rsidRDefault="003455C9" w:rsidP="003455C9">
      <w:pPr>
        <w:pStyle w:val="Heading2"/>
      </w:pPr>
      <w:bookmarkStart w:id="5" w:name="_Toc160443282"/>
      <w:r>
        <w:t>Equality And Diversity Statement</w:t>
      </w:r>
      <w:bookmarkEnd w:id="5"/>
    </w:p>
    <w:p w14:paraId="0F0DCD9A" w14:textId="509868B8" w:rsidR="003455C9" w:rsidRDefault="003455C9" w:rsidP="003455C9">
      <w: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2414B0BB" w14:textId="77777777" w:rsidR="00727E67" w:rsidRPr="00190C14" w:rsidRDefault="00727E67" w:rsidP="00727E67">
      <w:pPr>
        <w:pStyle w:val="BodyText"/>
      </w:pPr>
    </w:p>
    <w:p w14:paraId="376314D0" w14:textId="77777777" w:rsidR="00C245CB" w:rsidRDefault="00C245CB" w:rsidP="00C245CB">
      <w:pPr>
        <w:pStyle w:val="Heading2"/>
      </w:pPr>
      <w:bookmarkStart w:id="6" w:name="_Toc160443283"/>
      <w:r w:rsidRPr="00C245CB">
        <w:t>Policy References</w:t>
      </w:r>
      <w:bookmarkEnd w:id="6"/>
    </w:p>
    <w:p w14:paraId="0DD46015" w14:textId="696AD1C5" w:rsidR="00DD257E" w:rsidRPr="00DD257E" w:rsidRDefault="00DD257E" w:rsidP="00DD257E">
      <w:r w:rsidRPr="00DD257E">
        <w:t>This policy has been developed with reference to the following relevant sources and publications:</w:t>
      </w:r>
    </w:p>
    <w:tbl>
      <w:tblPr>
        <w:tblStyle w:val="TableGrid"/>
        <w:tblW w:w="9791" w:type="dxa"/>
        <w:tblLayout w:type="fixed"/>
        <w:tblLook w:val="01E0" w:firstRow="1" w:lastRow="1" w:firstColumn="1" w:lastColumn="1" w:noHBand="0" w:noVBand="0"/>
      </w:tblPr>
      <w:tblGrid>
        <w:gridCol w:w="9791"/>
      </w:tblGrid>
      <w:tr w:rsidR="00DD257E" w14:paraId="7AA1C590" w14:textId="77777777" w:rsidTr="00EB567E">
        <w:trPr>
          <w:trHeight w:val="248"/>
        </w:trPr>
        <w:tc>
          <w:tcPr>
            <w:tcW w:w="9791" w:type="dxa"/>
          </w:tcPr>
          <w:p w14:paraId="081DCF2E" w14:textId="77777777" w:rsidR="00DD257E" w:rsidRDefault="00DD257E" w:rsidP="00BB4865">
            <w:pPr>
              <w:pStyle w:val="TableParagraph"/>
              <w:ind w:left="0" w:right="176"/>
              <w:rPr>
                <w:b/>
              </w:rPr>
            </w:pPr>
            <w:r>
              <w:rPr>
                <w:b/>
              </w:rPr>
              <w:t>Document/Policy name</w:t>
            </w:r>
          </w:p>
        </w:tc>
      </w:tr>
      <w:tr w:rsidR="00DD257E" w14:paraId="4C0E7FD6" w14:textId="77777777" w:rsidTr="00EB567E">
        <w:trPr>
          <w:trHeight w:val="254"/>
        </w:trPr>
        <w:tc>
          <w:tcPr>
            <w:tcW w:w="9791" w:type="dxa"/>
          </w:tcPr>
          <w:p w14:paraId="2B252BCF" w14:textId="4DE1160E" w:rsidR="00DD257E" w:rsidRPr="00EB0D2D" w:rsidRDefault="00EB0D2D" w:rsidP="00EB0D2D">
            <w:pPr>
              <w:widowControl/>
              <w:autoSpaceDE/>
              <w:autoSpaceDN/>
              <w:spacing w:after="160" w:line="259" w:lineRule="auto"/>
              <w:rPr>
                <w:kern w:val="2"/>
                <w:lang w:val="en-GB"/>
                <w14:ligatures w14:val="standardContextual"/>
              </w:rPr>
            </w:pPr>
            <w:r w:rsidRPr="00EB0D2D">
              <w:t>Lancashire County Council</w:t>
            </w:r>
            <w:r>
              <w:t xml:space="preserve"> | </w:t>
            </w:r>
            <w:r w:rsidRPr="00EB0D2D">
              <w:t xml:space="preserve">School Support Staff </w:t>
            </w:r>
            <w:r>
              <w:rPr>
                <w:kern w:val="2"/>
                <w:lang w:val="en-GB"/>
                <w14:ligatures w14:val="standardContextual"/>
              </w:rPr>
              <w:t xml:space="preserve">| </w:t>
            </w:r>
            <w:r w:rsidRPr="00EB0D2D">
              <w:t xml:space="preserve">Model Capability Procedure (Revised May 2023)  </w:t>
            </w:r>
          </w:p>
        </w:tc>
      </w:tr>
      <w:tr w:rsidR="00DD257E" w14:paraId="5252D21A" w14:textId="77777777" w:rsidTr="00EB567E">
        <w:trPr>
          <w:trHeight w:val="254"/>
        </w:trPr>
        <w:tc>
          <w:tcPr>
            <w:tcW w:w="9791" w:type="dxa"/>
          </w:tcPr>
          <w:p w14:paraId="634B1433" w14:textId="14EE8EF1" w:rsidR="00DD257E" w:rsidRDefault="00DD257E" w:rsidP="00DD257E">
            <w:pPr>
              <w:pStyle w:val="NoSpacing"/>
            </w:pPr>
          </w:p>
        </w:tc>
      </w:tr>
    </w:tbl>
    <w:p w14:paraId="64BE449E" w14:textId="77777777" w:rsidR="00DD257E" w:rsidRDefault="00DD257E" w:rsidP="00DD257E"/>
    <w:p w14:paraId="77D14E97" w14:textId="77777777" w:rsidR="00727E67" w:rsidRDefault="00727E67">
      <w:pPr>
        <w:rPr>
          <w:rFonts w:asciiTheme="majorHAnsi" w:eastAsiaTheme="majorEastAsia" w:hAnsiTheme="majorHAnsi" w:cstheme="majorBidi"/>
          <w:color w:val="873168"/>
          <w:sz w:val="26"/>
          <w:szCs w:val="26"/>
        </w:rPr>
      </w:pPr>
      <w:r>
        <w:br w:type="page"/>
      </w:r>
    </w:p>
    <w:p w14:paraId="437CD655" w14:textId="784E8856" w:rsidR="00C245CB" w:rsidRDefault="00C245CB" w:rsidP="00DD257E">
      <w:pPr>
        <w:pStyle w:val="Heading2"/>
      </w:pPr>
      <w:bookmarkStart w:id="7" w:name="_Toc160443284"/>
      <w:r w:rsidRPr="00C245CB">
        <w:lastRenderedPageBreak/>
        <w:t>Policy Aims</w:t>
      </w:r>
      <w:bookmarkEnd w:id="7"/>
    </w:p>
    <w:p w14:paraId="5C6CC610" w14:textId="77777777" w:rsidR="00DD257E" w:rsidRDefault="00DD257E" w:rsidP="00727E67">
      <w:r w:rsidRPr="007B3044">
        <w:t>This policy and its associated procedures aim to:</w:t>
      </w:r>
    </w:p>
    <w:p w14:paraId="054EA6D9" w14:textId="0066FD53" w:rsidR="005F2A29" w:rsidRDefault="005F2A29" w:rsidP="00727E67">
      <w:r w:rsidRPr="005F2A29">
        <w:t xml:space="preserve">This policy sets out the arrangements that will apply when </w:t>
      </w:r>
      <w:r w:rsidR="001E4F0F">
        <w:t>support staff</w:t>
      </w:r>
      <w:r w:rsidRPr="005F2A29">
        <w:t>, fall below the level of performance that is expected of them.</w:t>
      </w:r>
    </w:p>
    <w:p w14:paraId="22E48404" w14:textId="77777777" w:rsidR="00C245CB" w:rsidRDefault="00C245CB" w:rsidP="00C245CB">
      <w:pPr>
        <w:pStyle w:val="Heading2"/>
      </w:pPr>
      <w:bookmarkStart w:id="8" w:name="_Toc160443285"/>
      <w:r w:rsidRPr="00C245CB">
        <w:t>Policy Link to School Vision, Mission and Aims</w:t>
      </w:r>
      <w:bookmarkEnd w:id="8"/>
    </w:p>
    <w:p w14:paraId="1F8F9B6A" w14:textId="3A47FEA7" w:rsidR="00DD257E" w:rsidRDefault="00DD257E" w:rsidP="00DD257E">
      <w:r>
        <w:t xml:space="preserve">This policy reflects the Hope High Schools vision for Inspiring Excellence, Fulfilling </w:t>
      </w:r>
      <w:r w:rsidR="00796A61">
        <w:t>Potential,</w:t>
      </w:r>
      <w:r>
        <w:t xml:space="preserve"> and the school’s mission to provide a stimulating, challenging and caring environment that allows each individual to develop to his/her full potential.</w:t>
      </w:r>
    </w:p>
    <w:p w14:paraId="104AE749" w14:textId="5206B822" w:rsidR="00DD257E" w:rsidRDefault="00DD257E" w:rsidP="00DD257E">
      <w:r>
        <w:t>The policy relates directly to the following school aims whereby we:</w:t>
      </w:r>
    </w:p>
    <w:p w14:paraId="64F6C293" w14:textId="0C584502" w:rsidR="00DD257E" w:rsidRDefault="00DD257E" w:rsidP="00DD257E">
      <w:pPr>
        <w:pStyle w:val="ListParagraph"/>
        <w:numPr>
          <w:ilvl w:val="0"/>
          <w:numId w:val="4"/>
        </w:numPr>
      </w:pPr>
      <w:r>
        <w:t>challenge and stimulate the minds of pupils through excellent teaching, diverse learning opportunities, and a rich, balanced curriculum;</w:t>
      </w:r>
    </w:p>
    <w:p w14:paraId="69936FB2" w14:textId="4304D071" w:rsidR="00DD257E" w:rsidRDefault="00DD257E" w:rsidP="00DD257E">
      <w:pPr>
        <w:pStyle w:val="ListParagraph"/>
        <w:numPr>
          <w:ilvl w:val="0"/>
          <w:numId w:val="4"/>
        </w:numPr>
      </w:pPr>
      <w:r>
        <w:t>provide pupils with every opportunity to flourish academically and to develop their skills, gifts and talents as individuals;</w:t>
      </w:r>
    </w:p>
    <w:p w14:paraId="25D1FB2B" w14:textId="0DC01DF0" w:rsidR="00DD257E" w:rsidRDefault="00DD257E" w:rsidP="00DD257E">
      <w:pPr>
        <w:pStyle w:val="ListParagraph"/>
        <w:numPr>
          <w:ilvl w:val="0"/>
          <w:numId w:val="4"/>
        </w:numPr>
      </w:pPr>
      <w:r>
        <w:t>tailor personalised learning and specialist support to meet the needs of pupils so that they reach their full potential;</w:t>
      </w:r>
    </w:p>
    <w:p w14:paraId="48FA4EDC" w14:textId="7B3DD277" w:rsidR="00DD257E" w:rsidRDefault="00DD257E" w:rsidP="00DD257E">
      <w:pPr>
        <w:pStyle w:val="ListParagraph"/>
        <w:numPr>
          <w:ilvl w:val="0"/>
          <w:numId w:val="4"/>
        </w:numPr>
      </w:pPr>
      <w:r>
        <w:t>offer an extensive extra-curricular programme that enriches and extends the curriculum, encouraging pupils to explore and develop their personal interests;</w:t>
      </w:r>
    </w:p>
    <w:p w14:paraId="14E63380" w14:textId="4796B22A" w:rsidR="00DD257E" w:rsidRDefault="00DD257E" w:rsidP="00DD257E">
      <w:pPr>
        <w:pStyle w:val="ListParagraph"/>
        <w:numPr>
          <w:ilvl w:val="0"/>
          <w:numId w:val="4"/>
        </w:numPr>
      </w:pPr>
      <w:r>
        <w:t>develop wide ranging opportunities for pupil leadership to enable pupils to develop the skills, knowledge and qualities they will need to be leaders in the future;</w:t>
      </w:r>
    </w:p>
    <w:p w14:paraId="1ECDBFBD" w14:textId="50D99E32" w:rsidR="00DD257E" w:rsidRDefault="00DD257E" w:rsidP="00DD257E">
      <w:pPr>
        <w:pStyle w:val="ListParagraph"/>
        <w:numPr>
          <w:ilvl w:val="0"/>
          <w:numId w:val="4"/>
        </w:numPr>
      </w:pPr>
      <w:r>
        <w:t>support and encourage pupils to play an active and responsible role in society, to develop as global citizens and to use their talents for the service of others; and</w:t>
      </w:r>
    </w:p>
    <w:p w14:paraId="193F8FC5" w14:textId="1C6E5C5A" w:rsidR="00DD257E" w:rsidRPr="00DD257E" w:rsidRDefault="00DD257E" w:rsidP="00DD257E">
      <w:pPr>
        <w:pStyle w:val="ListParagraph"/>
        <w:numPr>
          <w:ilvl w:val="0"/>
          <w:numId w:val="4"/>
        </w:numPr>
      </w:pPr>
      <w:r>
        <w:t>work in close partnership with parents/guardians and members of the wider community to provide the best possible education for all pupils.</w:t>
      </w:r>
    </w:p>
    <w:p w14:paraId="518C38C1" w14:textId="29620C5D" w:rsidR="007E77D5" w:rsidRDefault="00C245CB" w:rsidP="007E77D5">
      <w:pPr>
        <w:pStyle w:val="Heading2"/>
      </w:pPr>
      <w:bookmarkStart w:id="9" w:name="_Toc160443286"/>
      <w:r w:rsidRPr="00C245CB">
        <w:t>Abbreviations Used in Policy</w:t>
      </w:r>
      <w:bookmarkEnd w:id="9"/>
    </w:p>
    <w:p w14:paraId="7694FAFF" w14:textId="73AD9EAF" w:rsidR="007E77D5" w:rsidRPr="007E77D5" w:rsidRDefault="007E77D5" w:rsidP="007E77D5">
      <w:r w:rsidRPr="007E77D5">
        <w:t>The following abbreviations are used throughout this policy:</w:t>
      </w:r>
    </w:p>
    <w:tbl>
      <w:tblPr>
        <w:tblW w:w="97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8301"/>
      </w:tblGrid>
      <w:tr w:rsidR="007E77D5" w14:paraId="015FDE72" w14:textId="77777777" w:rsidTr="007E77D5">
        <w:trPr>
          <w:trHeight w:val="251"/>
        </w:trPr>
        <w:tc>
          <w:tcPr>
            <w:tcW w:w="1460" w:type="dxa"/>
          </w:tcPr>
          <w:p w14:paraId="110BEDD0" w14:textId="77777777" w:rsidR="007E77D5" w:rsidRDefault="007E77D5" w:rsidP="00BB1971">
            <w:pPr>
              <w:pStyle w:val="TableParagraph"/>
              <w:spacing w:line="232" w:lineRule="exact"/>
              <w:ind w:left="281" w:right="270"/>
              <w:jc w:val="center"/>
              <w:rPr>
                <w:b/>
              </w:rPr>
            </w:pPr>
            <w:r>
              <w:rPr>
                <w:b/>
                <w:spacing w:val="-5"/>
              </w:rPr>
              <w:t>DFE</w:t>
            </w:r>
          </w:p>
        </w:tc>
        <w:tc>
          <w:tcPr>
            <w:tcW w:w="8301" w:type="dxa"/>
          </w:tcPr>
          <w:p w14:paraId="11AEFE56" w14:textId="77777777" w:rsidR="007E77D5" w:rsidRPr="00D01EA9" w:rsidRDefault="007E77D5" w:rsidP="00BB1971">
            <w:pPr>
              <w:pStyle w:val="TableParagraph"/>
              <w:spacing w:line="232" w:lineRule="exact"/>
              <w:ind w:left="109"/>
              <w:rPr>
                <w:spacing w:val="-2"/>
              </w:rPr>
            </w:pPr>
            <w:r w:rsidRPr="00D01EA9">
              <w:rPr>
                <w:spacing w:val="-2"/>
              </w:rPr>
              <w:t>Department</w:t>
            </w:r>
            <w:r>
              <w:rPr>
                <w:spacing w:val="-2"/>
              </w:rPr>
              <w:t xml:space="preserve"> </w:t>
            </w:r>
            <w:r w:rsidRPr="00D01EA9">
              <w:rPr>
                <w:spacing w:val="-2"/>
              </w:rPr>
              <w:t>for Education</w:t>
            </w:r>
          </w:p>
        </w:tc>
      </w:tr>
      <w:tr w:rsidR="007E77D5" w14:paraId="18FF8B53" w14:textId="77777777" w:rsidTr="007E77D5">
        <w:trPr>
          <w:trHeight w:val="254"/>
        </w:trPr>
        <w:tc>
          <w:tcPr>
            <w:tcW w:w="1460" w:type="dxa"/>
          </w:tcPr>
          <w:p w14:paraId="55E56D8A" w14:textId="77777777" w:rsidR="007E77D5" w:rsidRDefault="007E77D5" w:rsidP="00BB1971">
            <w:pPr>
              <w:pStyle w:val="TableParagraph"/>
              <w:spacing w:line="234" w:lineRule="exact"/>
              <w:ind w:left="282" w:right="266"/>
              <w:jc w:val="center"/>
              <w:rPr>
                <w:b/>
              </w:rPr>
            </w:pPr>
            <w:r>
              <w:rPr>
                <w:b/>
                <w:spacing w:val="-5"/>
              </w:rPr>
              <w:t>LEA</w:t>
            </w:r>
          </w:p>
        </w:tc>
        <w:tc>
          <w:tcPr>
            <w:tcW w:w="8301" w:type="dxa"/>
          </w:tcPr>
          <w:p w14:paraId="5DA834D4" w14:textId="77777777" w:rsidR="007E77D5" w:rsidRDefault="007E77D5" w:rsidP="00BB1971">
            <w:pPr>
              <w:pStyle w:val="TableParagraph"/>
              <w:spacing w:line="234" w:lineRule="exact"/>
              <w:ind w:left="109"/>
            </w:pPr>
            <w:r>
              <w:t>Lancashire Education</w:t>
            </w:r>
            <w:r>
              <w:rPr>
                <w:spacing w:val="-8"/>
              </w:rPr>
              <w:t xml:space="preserve"> </w:t>
            </w:r>
            <w:r>
              <w:rPr>
                <w:spacing w:val="-2"/>
              </w:rPr>
              <w:t>Authority</w:t>
            </w:r>
          </w:p>
        </w:tc>
      </w:tr>
      <w:tr w:rsidR="007E77D5" w14:paraId="049648CB" w14:textId="77777777" w:rsidTr="007E77D5">
        <w:trPr>
          <w:trHeight w:val="254"/>
        </w:trPr>
        <w:tc>
          <w:tcPr>
            <w:tcW w:w="1460" w:type="dxa"/>
          </w:tcPr>
          <w:p w14:paraId="1E90AE9E" w14:textId="77777777" w:rsidR="007E77D5" w:rsidRDefault="007E77D5" w:rsidP="00BB1971">
            <w:pPr>
              <w:pStyle w:val="TableParagraph"/>
              <w:spacing w:line="234" w:lineRule="exact"/>
              <w:ind w:left="282" w:right="270"/>
              <w:jc w:val="center"/>
              <w:rPr>
                <w:b/>
                <w:spacing w:val="-2"/>
              </w:rPr>
            </w:pPr>
            <w:r>
              <w:rPr>
                <w:b/>
                <w:spacing w:val="-2"/>
              </w:rPr>
              <w:t>HT</w:t>
            </w:r>
          </w:p>
        </w:tc>
        <w:tc>
          <w:tcPr>
            <w:tcW w:w="8301" w:type="dxa"/>
          </w:tcPr>
          <w:p w14:paraId="2F87B778" w14:textId="77777777" w:rsidR="007E77D5" w:rsidRDefault="007E77D5" w:rsidP="00BB1971">
            <w:pPr>
              <w:pStyle w:val="TableParagraph"/>
              <w:spacing w:line="234" w:lineRule="exact"/>
              <w:ind w:left="109"/>
            </w:pPr>
            <w:r>
              <w:t>Headteacher</w:t>
            </w:r>
          </w:p>
        </w:tc>
      </w:tr>
      <w:tr w:rsidR="007E77D5" w14:paraId="0B089117" w14:textId="77777777" w:rsidTr="007E77D5">
        <w:trPr>
          <w:trHeight w:val="254"/>
        </w:trPr>
        <w:tc>
          <w:tcPr>
            <w:tcW w:w="1460" w:type="dxa"/>
          </w:tcPr>
          <w:p w14:paraId="14735131" w14:textId="77777777" w:rsidR="007E77D5" w:rsidRDefault="007E77D5" w:rsidP="00BB1971">
            <w:pPr>
              <w:pStyle w:val="TableParagraph"/>
              <w:spacing w:line="234" w:lineRule="exact"/>
              <w:ind w:left="282" w:right="270"/>
              <w:jc w:val="center"/>
              <w:rPr>
                <w:b/>
                <w:spacing w:val="-2"/>
              </w:rPr>
            </w:pPr>
            <w:r>
              <w:rPr>
                <w:b/>
                <w:spacing w:val="-2"/>
              </w:rPr>
              <w:t>DHT</w:t>
            </w:r>
          </w:p>
        </w:tc>
        <w:tc>
          <w:tcPr>
            <w:tcW w:w="8301" w:type="dxa"/>
          </w:tcPr>
          <w:p w14:paraId="26FE762E" w14:textId="77777777" w:rsidR="007E77D5" w:rsidRDefault="007E77D5" w:rsidP="00BB1971">
            <w:pPr>
              <w:pStyle w:val="TableParagraph"/>
              <w:spacing w:line="234" w:lineRule="exact"/>
              <w:ind w:left="109"/>
            </w:pPr>
            <w:r>
              <w:t>Deputy Headteacher</w:t>
            </w:r>
          </w:p>
        </w:tc>
      </w:tr>
      <w:tr w:rsidR="007E77D5" w14:paraId="73418354" w14:textId="77777777" w:rsidTr="007E77D5">
        <w:trPr>
          <w:trHeight w:val="254"/>
        </w:trPr>
        <w:tc>
          <w:tcPr>
            <w:tcW w:w="1460" w:type="dxa"/>
          </w:tcPr>
          <w:p w14:paraId="62B2D2AE" w14:textId="77777777" w:rsidR="007E77D5" w:rsidRDefault="007E77D5" w:rsidP="00BB1971">
            <w:pPr>
              <w:pStyle w:val="TableParagraph"/>
              <w:spacing w:line="234" w:lineRule="exact"/>
              <w:ind w:left="282" w:right="270"/>
              <w:jc w:val="center"/>
              <w:rPr>
                <w:b/>
                <w:spacing w:val="-2"/>
              </w:rPr>
            </w:pPr>
            <w:r>
              <w:rPr>
                <w:b/>
                <w:spacing w:val="-2"/>
              </w:rPr>
              <w:t>AHT</w:t>
            </w:r>
          </w:p>
        </w:tc>
        <w:tc>
          <w:tcPr>
            <w:tcW w:w="8301" w:type="dxa"/>
          </w:tcPr>
          <w:p w14:paraId="01494750" w14:textId="77777777" w:rsidR="007E77D5" w:rsidRDefault="007E77D5" w:rsidP="00BB1971">
            <w:pPr>
              <w:pStyle w:val="TableParagraph"/>
              <w:spacing w:line="234" w:lineRule="exact"/>
              <w:ind w:left="109"/>
            </w:pPr>
            <w:r>
              <w:t>Assistant Headteacher</w:t>
            </w:r>
          </w:p>
        </w:tc>
      </w:tr>
      <w:tr w:rsidR="007E77D5" w14:paraId="6271B677" w14:textId="77777777" w:rsidTr="007E77D5">
        <w:trPr>
          <w:trHeight w:val="254"/>
        </w:trPr>
        <w:tc>
          <w:tcPr>
            <w:tcW w:w="1460" w:type="dxa"/>
          </w:tcPr>
          <w:p w14:paraId="3358215B" w14:textId="77777777" w:rsidR="007E77D5" w:rsidRDefault="007E77D5" w:rsidP="00BB1971">
            <w:pPr>
              <w:pStyle w:val="TableParagraph"/>
              <w:spacing w:line="234" w:lineRule="exact"/>
              <w:ind w:left="282" w:right="270"/>
              <w:jc w:val="center"/>
              <w:rPr>
                <w:b/>
                <w:spacing w:val="-2"/>
              </w:rPr>
            </w:pPr>
            <w:r>
              <w:rPr>
                <w:b/>
                <w:spacing w:val="-2"/>
              </w:rPr>
              <w:t>SENCO</w:t>
            </w:r>
          </w:p>
        </w:tc>
        <w:tc>
          <w:tcPr>
            <w:tcW w:w="8301" w:type="dxa"/>
          </w:tcPr>
          <w:p w14:paraId="57047E64" w14:textId="77777777" w:rsidR="007E77D5" w:rsidRDefault="007E77D5" w:rsidP="00BB1971">
            <w:pPr>
              <w:pStyle w:val="TableParagraph"/>
              <w:spacing w:line="234" w:lineRule="exact"/>
              <w:ind w:left="109"/>
            </w:pPr>
            <w:r>
              <w:t xml:space="preserve">Special Education Needs Coordinator </w:t>
            </w:r>
          </w:p>
        </w:tc>
      </w:tr>
      <w:tr w:rsidR="007E77D5" w14:paraId="4579D79C" w14:textId="77777777" w:rsidTr="007E77D5">
        <w:trPr>
          <w:trHeight w:val="254"/>
        </w:trPr>
        <w:tc>
          <w:tcPr>
            <w:tcW w:w="1460" w:type="dxa"/>
          </w:tcPr>
          <w:p w14:paraId="3F71E1E6" w14:textId="77777777" w:rsidR="007E77D5" w:rsidRDefault="007E77D5" w:rsidP="00BB1971">
            <w:pPr>
              <w:pStyle w:val="TableParagraph"/>
              <w:spacing w:line="234" w:lineRule="exact"/>
              <w:ind w:left="282" w:right="270"/>
              <w:jc w:val="center"/>
              <w:rPr>
                <w:b/>
                <w:spacing w:val="-2"/>
              </w:rPr>
            </w:pPr>
            <w:r>
              <w:rPr>
                <w:b/>
                <w:spacing w:val="-2"/>
              </w:rPr>
              <w:t>DSL</w:t>
            </w:r>
          </w:p>
        </w:tc>
        <w:tc>
          <w:tcPr>
            <w:tcW w:w="8301" w:type="dxa"/>
          </w:tcPr>
          <w:p w14:paraId="0EF41943" w14:textId="77777777" w:rsidR="007E77D5" w:rsidRDefault="007E77D5" w:rsidP="00BB1971">
            <w:pPr>
              <w:pStyle w:val="TableParagraph"/>
              <w:spacing w:line="234" w:lineRule="exact"/>
              <w:ind w:left="109"/>
            </w:pPr>
            <w:r>
              <w:t>Designated Safeguarding Lead</w:t>
            </w:r>
          </w:p>
        </w:tc>
      </w:tr>
    </w:tbl>
    <w:p w14:paraId="3F4F181B" w14:textId="77777777" w:rsidR="007E77D5" w:rsidRPr="007E77D5" w:rsidRDefault="007E77D5" w:rsidP="007E77D5"/>
    <w:p w14:paraId="080A2931" w14:textId="77777777" w:rsidR="00D91C90" w:rsidRDefault="00D91C90">
      <w:pPr>
        <w:rPr>
          <w:rFonts w:asciiTheme="majorHAnsi" w:eastAsiaTheme="majorEastAsia" w:hAnsiTheme="majorHAnsi" w:cstheme="majorBidi"/>
          <w:color w:val="873168"/>
          <w:sz w:val="32"/>
          <w:szCs w:val="32"/>
        </w:rPr>
      </w:pPr>
      <w:r>
        <w:br w:type="page"/>
      </w:r>
    </w:p>
    <w:p w14:paraId="41B069C9" w14:textId="7C9CFD63" w:rsidR="00C245CB" w:rsidRDefault="00C245CB" w:rsidP="00C245CB">
      <w:pPr>
        <w:pStyle w:val="Heading1"/>
      </w:pPr>
      <w:bookmarkStart w:id="10" w:name="_Toc160443287"/>
      <w:r w:rsidRPr="00DD59E8">
        <w:lastRenderedPageBreak/>
        <w:t>Policy</w:t>
      </w:r>
      <w:r w:rsidR="009C601C">
        <w:t xml:space="preserve"> and Procedure</w:t>
      </w:r>
      <w:r w:rsidRPr="00DD59E8">
        <w:t xml:space="preserve"> </w:t>
      </w:r>
      <w:r>
        <w:t>Introduction</w:t>
      </w:r>
      <w:bookmarkEnd w:id="10"/>
    </w:p>
    <w:p w14:paraId="3B141D48" w14:textId="55363CC1" w:rsidR="00197FA6" w:rsidRPr="00197FA6" w:rsidRDefault="00800BED" w:rsidP="00197FA6">
      <w:r>
        <w:t xml:space="preserve">Adopted </w:t>
      </w:r>
      <w:r w:rsidRPr="00197FA6">
        <w:t>Lancashire County Council</w:t>
      </w:r>
      <w:r>
        <w:t xml:space="preserve"> </w:t>
      </w:r>
      <w:r w:rsidRPr="00197FA6">
        <w:t xml:space="preserve">Model </w:t>
      </w:r>
      <w:r w:rsidR="00BD4B0A">
        <w:t xml:space="preserve">Capability </w:t>
      </w:r>
      <w:r w:rsidR="00C309A0">
        <w:t>Procedure</w:t>
      </w:r>
      <w:r w:rsidRPr="00197FA6">
        <w:t xml:space="preserve"> (</w:t>
      </w:r>
      <w:r w:rsidR="00E50959">
        <w:t>May</w:t>
      </w:r>
      <w:r w:rsidRPr="00197FA6">
        <w:t xml:space="preserve"> 202</w:t>
      </w:r>
      <w:r w:rsidR="00BD4B0A">
        <w:t>3</w:t>
      </w:r>
      <w:r w:rsidRPr="00197FA6">
        <w:t>)</w:t>
      </w:r>
      <w:r>
        <w:t>.</w:t>
      </w:r>
    </w:p>
    <w:p w14:paraId="2243E681" w14:textId="3DC41B28" w:rsidR="009549E2" w:rsidRDefault="00084826" w:rsidP="0083676E">
      <w:pPr>
        <w:pStyle w:val="Heading1"/>
      </w:pPr>
      <w:bookmarkStart w:id="11" w:name="_Toc160443288"/>
      <w:r w:rsidRPr="00084826">
        <w:t>Introduction &amp; Purpose</w:t>
      </w:r>
      <w:bookmarkEnd w:id="11"/>
    </w:p>
    <w:p w14:paraId="45850F4E" w14:textId="7841AC98" w:rsidR="00295829" w:rsidRDefault="00897F15" w:rsidP="00265139">
      <w:pPr>
        <w:pStyle w:val="ListParagraph"/>
        <w:numPr>
          <w:ilvl w:val="0"/>
          <w:numId w:val="42"/>
        </w:numPr>
      </w:pPr>
      <w:r>
        <w:t xml:space="preserve">The Capability </w:t>
      </w:r>
      <w:r w:rsidR="005B5D25">
        <w:t xml:space="preserve">Policy and </w:t>
      </w:r>
      <w:r>
        <w:t xml:space="preserve">Procedure </w:t>
      </w:r>
      <w:r w:rsidR="005B5D25">
        <w:t xml:space="preserve">document </w:t>
      </w:r>
      <w:r>
        <w:t>is intended to encourage employees to achieve and maintain a satisfactory standard of performance.</w:t>
      </w:r>
    </w:p>
    <w:p w14:paraId="67588AD3" w14:textId="02B8AF2A" w:rsidR="00897F15" w:rsidRDefault="00897F15" w:rsidP="00265139">
      <w:pPr>
        <w:pStyle w:val="ListParagraph"/>
        <w:numPr>
          <w:ilvl w:val="0"/>
          <w:numId w:val="42"/>
        </w:numPr>
      </w:pPr>
      <w:r>
        <w:t>The Capability Procedure provides a process for dealing with ongoing unacceptable performance standards where informal forms of management support and intervention have not produced the desired results.</w:t>
      </w:r>
    </w:p>
    <w:p w14:paraId="0D919909" w14:textId="2C5AFC6E" w:rsidR="00897F15" w:rsidRDefault="00897F15" w:rsidP="00265139">
      <w:pPr>
        <w:pStyle w:val="ListParagraph"/>
        <w:numPr>
          <w:ilvl w:val="0"/>
          <w:numId w:val="42"/>
        </w:numPr>
      </w:pPr>
      <w:r>
        <w:t>This procedure is not intended to be used where an employee’s poor performance at work is the result of wilful neglect of duty, failure to carry out reasonable instructions or any other act(s) of misconduct which will be considered under the School’s Disciplinary Procedure.</w:t>
      </w:r>
    </w:p>
    <w:p w14:paraId="2DD337C0" w14:textId="3F33BAAB" w:rsidR="009B0BCB" w:rsidRDefault="00897F15" w:rsidP="00265139">
      <w:pPr>
        <w:pStyle w:val="ListParagraph"/>
        <w:numPr>
          <w:ilvl w:val="0"/>
          <w:numId w:val="42"/>
        </w:numPr>
      </w:pPr>
      <w:r>
        <w:t>No formal action under this procedure will be taken against any Trade Union representative/shop steward until the circumstances of the case have been discussed with a full time official of the Union concerned (unless the individual concerned does not agree with this course of action).</w:t>
      </w:r>
    </w:p>
    <w:p w14:paraId="71C69AAB" w14:textId="6C71AEAB" w:rsidR="00897F15" w:rsidRDefault="00897F15" w:rsidP="0083676E">
      <w:pPr>
        <w:pStyle w:val="ListParagraph"/>
        <w:numPr>
          <w:ilvl w:val="0"/>
          <w:numId w:val="42"/>
        </w:numPr>
      </w:pPr>
      <w:r>
        <w:t>A sudden deterioration in the standard of work may be due to a number of factors some of which may be temporary in nature. Efforts should be made to resolve such problems through discussion and support. Such discussions may lead to a decision to refer the employee to the Occupational Health Unit.</w:t>
      </w:r>
    </w:p>
    <w:p w14:paraId="09EEB8CD" w14:textId="747967BB" w:rsidR="0083676E" w:rsidRDefault="00897F15" w:rsidP="0083676E">
      <w:pPr>
        <w:pStyle w:val="ListParagraph"/>
        <w:numPr>
          <w:ilvl w:val="0"/>
          <w:numId w:val="42"/>
        </w:numPr>
      </w:pPr>
      <w:r>
        <w:t>This procedure has been written on the understanding that capability concerns are managed by the Headteacher, and dismissal decisions are taken by the Disciplinary and Dismissal Committee of the Governing Board. In accordance with the provisions of the Education Act 2002 and the School Staffing (England) Regulations 2003, the Governing Board may elect to delegate the power to make initial dismissal decisions to the Headteacher. If this is the case, the initial dismissal decision will be taken by the Headteacher, and the appeal referred to the Appeals Committee of the Governing Board. For further details, see Annex 2.</w:t>
      </w:r>
    </w:p>
    <w:p w14:paraId="37246CA1" w14:textId="10BC8350" w:rsidR="0083676E" w:rsidRDefault="00897F15" w:rsidP="0083676E">
      <w:pPr>
        <w:pStyle w:val="ListParagraph"/>
        <w:numPr>
          <w:ilvl w:val="0"/>
          <w:numId w:val="42"/>
        </w:numPr>
      </w:pPr>
      <w:r>
        <w:t>In these circumstances, to preserve the integrity of the process, the Headteacher should delegate the responsibility for the management of the capability concern to another member of the School Management Team, thereby leaving the Headteacher available to consider what action should be taken at the end of the formal procedure, including dismissal.</w:t>
      </w:r>
    </w:p>
    <w:p w14:paraId="039263A0" w14:textId="46BDA102" w:rsidR="009B0BCB" w:rsidRDefault="00897F15" w:rsidP="0083676E">
      <w:pPr>
        <w:pStyle w:val="ListParagraph"/>
        <w:numPr>
          <w:ilvl w:val="0"/>
          <w:numId w:val="42"/>
        </w:numPr>
      </w:pPr>
      <w:r>
        <w:t>In such cases, any reference to the role of the Headteacher within this procedure should be taken to mean the person responsible for managing the capability process, and any reference to the Disciplinary and Dismissal Committee should be taken to mean Headteacher.</w:t>
      </w:r>
    </w:p>
    <w:p w14:paraId="25D3F56F" w14:textId="4A60EDDF" w:rsidR="00897F15" w:rsidRDefault="00897F15" w:rsidP="009B0BCB">
      <w:pPr>
        <w:pStyle w:val="ListParagraph"/>
        <w:numPr>
          <w:ilvl w:val="0"/>
          <w:numId w:val="42"/>
        </w:numPr>
      </w:pPr>
      <w:r>
        <w:t>The Executive Director Education &amp; Children's Services or their nominee will be entitled to attend any Meeting/Hearing/Appeal for the purpose of giving advice.</w:t>
      </w:r>
    </w:p>
    <w:p w14:paraId="4BF8718C" w14:textId="5B2254DC" w:rsidR="001C63DE" w:rsidRDefault="00494972" w:rsidP="0083676E">
      <w:pPr>
        <w:pStyle w:val="Heading1"/>
      </w:pPr>
      <w:bookmarkStart w:id="12" w:name="_Toc160443289"/>
      <w:r>
        <w:t>Confidentiality</w:t>
      </w:r>
      <w:bookmarkEnd w:id="12"/>
    </w:p>
    <w:p w14:paraId="1528D410" w14:textId="0D3EE985" w:rsidR="001C63DE" w:rsidRDefault="001C63DE" w:rsidP="001C63DE">
      <w:r>
        <w:t>All documentation and discussions at meetings within this procedure are confidential. The School processes personal data collected during the informal and formal stages of this procedure in accordance with its data protection policy. In particular, personal data collected under this procedure is held securely and accessed by, and disclosed to, individuals only for the purposes of conducting the procedure or seeking professional advice. Inappropriate access or disclosure of employee data constitutes a data breach and should be reported in accordance with the school's data protection policy. It may also constitute a disciplinary offence, which will be dealt with under the disciplinary procedure.</w:t>
      </w:r>
    </w:p>
    <w:p w14:paraId="6AB71BFD" w14:textId="77777777" w:rsidR="00AD61E7" w:rsidRDefault="00AD61E7" w:rsidP="00AD61E7">
      <w:pPr>
        <w:pStyle w:val="Heading1"/>
      </w:pPr>
      <w:bookmarkStart w:id="13" w:name="_Toc160443290"/>
      <w:r>
        <w:lastRenderedPageBreak/>
        <w:t>Procedure</w:t>
      </w:r>
      <w:bookmarkEnd w:id="13"/>
    </w:p>
    <w:p w14:paraId="7B0A79AD" w14:textId="25C0A496" w:rsidR="001C63DE" w:rsidRDefault="001C63DE" w:rsidP="00AD61E7">
      <w:pPr>
        <w:pStyle w:val="Heading2"/>
      </w:pPr>
      <w:bookmarkStart w:id="14" w:name="_Toc160443291"/>
      <w:r>
        <w:t>Stage 1 – Formal Performance Interview</w:t>
      </w:r>
      <w:bookmarkEnd w:id="14"/>
      <w:r>
        <w:t xml:space="preserve"> </w:t>
      </w:r>
    </w:p>
    <w:p w14:paraId="5970E69D" w14:textId="26345948" w:rsidR="001C63DE" w:rsidRDefault="001C63DE" w:rsidP="000071A3">
      <w:pPr>
        <w:pStyle w:val="ListParagraph"/>
        <w:numPr>
          <w:ilvl w:val="0"/>
          <w:numId w:val="30"/>
        </w:numPr>
      </w:pPr>
      <w:r>
        <w:t>Where normal management, supervision and appraisal processes, including the provision of necessary support mechanisms have failed to produce necessary improvements within an agreed timescale, the manager will convene a Formal Performance Interview.</w:t>
      </w:r>
    </w:p>
    <w:p w14:paraId="21009267" w14:textId="77777777" w:rsidR="000071A3" w:rsidRDefault="000071A3" w:rsidP="000071A3">
      <w:pPr>
        <w:pStyle w:val="ListParagraph"/>
      </w:pPr>
    </w:p>
    <w:p w14:paraId="2899D0EA" w14:textId="77777777" w:rsidR="000071A3" w:rsidRDefault="001C63DE" w:rsidP="000071A3">
      <w:pPr>
        <w:pStyle w:val="ListParagraph"/>
        <w:numPr>
          <w:ilvl w:val="0"/>
          <w:numId w:val="30"/>
        </w:numPr>
      </w:pPr>
      <w:r>
        <w:t>The manager will give the employee at least 5 days' notice of the interview. The invite letter will outline how the employee's performance falls short of expected standards, including the areas of concern and the consequences of the employee’s performance. The invite will also describe actions already taken and support given to help achieve an improvement in performance.</w:t>
      </w:r>
    </w:p>
    <w:p w14:paraId="2FF072D5" w14:textId="77777777" w:rsidR="000071A3" w:rsidRDefault="000071A3" w:rsidP="000071A3">
      <w:pPr>
        <w:pStyle w:val="ListParagraph"/>
      </w:pPr>
    </w:p>
    <w:p w14:paraId="580F8855" w14:textId="77777777" w:rsidR="000071A3" w:rsidRDefault="001C63DE" w:rsidP="001C63DE">
      <w:pPr>
        <w:pStyle w:val="ListParagraph"/>
        <w:numPr>
          <w:ilvl w:val="0"/>
          <w:numId w:val="30"/>
        </w:numPr>
      </w:pPr>
      <w:r>
        <w:t>The employee has the right to be accompanied by a Trade Union representative or work colleague during the Interview. Where the employee’s Trade Union representative is not available on the specified date, the interview must be postponed for up to five working days if the employee can provide a reasonable alternative time within this five day period.</w:t>
      </w:r>
    </w:p>
    <w:p w14:paraId="66EDF6EC" w14:textId="77777777" w:rsidR="000071A3" w:rsidRDefault="000071A3" w:rsidP="000071A3">
      <w:pPr>
        <w:pStyle w:val="ListParagraph"/>
      </w:pPr>
    </w:p>
    <w:p w14:paraId="7C2D7B37" w14:textId="623B0D80" w:rsidR="001C63DE" w:rsidRDefault="001C63DE" w:rsidP="001C63DE">
      <w:pPr>
        <w:pStyle w:val="ListParagraph"/>
        <w:numPr>
          <w:ilvl w:val="0"/>
          <w:numId w:val="30"/>
        </w:numPr>
      </w:pPr>
      <w:r>
        <w:t>The purpose of the interview is for the manager to explain to the employee:</w:t>
      </w:r>
    </w:p>
    <w:p w14:paraId="77DCD8F3" w14:textId="653195E1" w:rsidR="001C63DE" w:rsidRDefault="001C63DE" w:rsidP="00337B1A">
      <w:pPr>
        <w:pStyle w:val="ListParagraph"/>
        <w:numPr>
          <w:ilvl w:val="0"/>
          <w:numId w:val="31"/>
        </w:numPr>
      </w:pPr>
      <w:r>
        <w:t>the standards of performance required;</w:t>
      </w:r>
    </w:p>
    <w:p w14:paraId="6E7BD8BD" w14:textId="3A4FD233" w:rsidR="001C63DE" w:rsidRDefault="001C63DE" w:rsidP="00337B1A">
      <w:pPr>
        <w:pStyle w:val="ListParagraph"/>
        <w:numPr>
          <w:ilvl w:val="0"/>
          <w:numId w:val="31"/>
        </w:numPr>
      </w:pPr>
      <w:r>
        <w:t>how the employee falls short of achieving these standards of performance;</w:t>
      </w:r>
    </w:p>
    <w:p w14:paraId="2036AB3F" w14:textId="233FB2DD" w:rsidR="001C63DE" w:rsidRDefault="001C63DE" w:rsidP="00337B1A">
      <w:pPr>
        <w:pStyle w:val="ListParagraph"/>
        <w:numPr>
          <w:ilvl w:val="0"/>
          <w:numId w:val="31"/>
        </w:numPr>
      </w:pPr>
      <w:r>
        <w:t>the consequences of their poor standard of performance;</w:t>
      </w:r>
    </w:p>
    <w:p w14:paraId="6C54489B" w14:textId="5DBD94EF" w:rsidR="001C63DE" w:rsidRDefault="001C63DE" w:rsidP="00337B1A">
      <w:pPr>
        <w:pStyle w:val="ListParagraph"/>
        <w:numPr>
          <w:ilvl w:val="0"/>
          <w:numId w:val="31"/>
        </w:numPr>
      </w:pPr>
      <w:r>
        <w:t>the improvement necessary and how the employee can be helped to achieve it;</w:t>
      </w:r>
    </w:p>
    <w:p w14:paraId="78724F67" w14:textId="4D078E0F" w:rsidR="001C63DE" w:rsidRDefault="001C63DE" w:rsidP="00337B1A">
      <w:pPr>
        <w:pStyle w:val="ListParagraph"/>
        <w:numPr>
          <w:ilvl w:val="0"/>
          <w:numId w:val="31"/>
        </w:numPr>
      </w:pPr>
      <w:r>
        <w:t>how improvements will be monitored or assessed and over what period;</w:t>
      </w:r>
    </w:p>
    <w:p w14:paraId="10F822B0" w14:textId="0E358AFE" w:rsidR="001C63DE" w:rsidRDefault="001C63DE" w:rsidP="001C63DE">
      <w:pPr>
        <w:pStyle w:val="ListParagraph"/>
        <w:numPr>
          <w:ilvl w:val="0"/>
          <w:numId w:val="31"/>
        </w:numPr>
      </w:pPr>
      <w:r>
        <w:t>that if their performance does not improve to the required standard and is not maintained, this could lead to dismissal under this Procedure</w:t>
      </w:r>
    </w:p>
    <w:p w14:paraId="1A577C54" w14:textId="77777777" w:rsidR="001C63DE" w:rsidRDefault="001C63DE" w:rsidP="001C63DE">
      <w:r>
        <w:t>For the employee to:</w:t>
      </w:r>
    </w:p>
    <w:p w14:paraId="7D130757" w14:textId="3F790DE5" w:rsidR="001C63DE" w:rsidRDefault="001C63DE" w:rsidP="001B0616">
      <w:pPr>
        <w:pStyle w:val="ListParagraph"/>
        <w:numPr>
          <w:ilvl w:val="0"/>
          <w:numId w:val="32"/>
        </w:numPr>
      </w:pPr>
      <w:r>
        <w:t>achieve a clear understanding of expectations;</w:t>
      </w:r>
    </w:p>
    <w:p w14:paraId="5E0D8705" w14:textId="2216E070" w:rsidR="001C63DE" w:rsidRDefault="001C63DE" w:rsidP="001B0616">
      <w:pPr>
        <w:pStyle w:val="ListParagraph"/>
        <w:numPr>
          <w:ilvl w:val="0"/>
          <w:numId w:val="32"/>
        </w:numPr>
      </w:pPr>
      <w:r>
        <w:t>give any explanation or comment in relation to their standard of performance;</w:t>
      </w:r>
    </w:p>
    <w:p w14:paraId="0432FA65" w14:textId="44314D4F" w:rsidR="001C63DE" w:rsidRDefault="001C63DE" w:rsidP="001C63DE">
      <w:pPr>
        <w:pStyle w:val="ListParagraph"/>
        <w:numPr>
          <w:ilvl w:val="0"/>
          <w:numId w:val="32"/>
        </w:numPr>
      </w:pPr>
      <w:r>
        <w:t>comment on how they can be further supported to improve.</w:t>
      </w:r>
    </w:p>
    <w:p w14:paraId="095B9901" w14:textId="16DA4199" w:rsidR="001C63DE" w:rsidRDefault="001C63DE" w:rsidP="001C63DE">
      <w:r>
        <w:t>The outcome of the Formal Performance Interview will be recorded in writing and a copy provided to the employee. This letter will provide details of the targets to be achieved, details of any agreed support/training, how performance will be monitored, the timescales of the review period including the date of the review meeting and cautionary advice that failure to improve to the standard of performance required could lead to dismissal. Appendix A contains a suggested template for outlining the concerns and how they will be addressed.</w:t>
      </w:r>
    </w:p>
    <w:p w14:paraId="7915E6F2" w14:textId="4099609F" w:rsidR="001C63DE" w:rsidRDefault="001C63DE" w:rsidP="001C63DE">
      <w:r>
        <w:t>If, at the end of the monitoring period, it is determined that the required improvement has been achieved, this will be confirmed and followed up in writing. The employee will be informed that if at any time within a 12 month period of this confirmation, performance again falls below an acceptable standard, the formal procedure will recommence at Stage 2.</w:t>
      </w:r>
    </w:p>
    <w:p w14:paraId="5849B9B0" w14:textId="77777777" w:rsidR="001C63DE" w:rsidRDefault="001C63DE" w:rsidP="001C63DE">
      <w:r>
        <w:t>If, at the end of the monitoring period, it is determined that the employee’s performance has not improved to the required standard, the manager will convene a Stage 2 Second Performance Interview.</w:t>
      </w:r>
    </w:p>
    <w:p w14:paraId="1F6584CF" w14:textId="326FAE7C" w:rsidR="004C0C24" w:rsidRDefault="004C0C24">
      <w:r>
        <w:br w:type="page"/>
      </w:r>
    </w:p>
    <w:p w14:paraId="01859C46" w14:textId="77777777" w:rsidR="001C63DE" w:rsidRDefault="001C63DE" w:rsidP="001C63DE"/>
    <w:p w14:paraId="14A4B3F2" w14:textId="3DA5CED1" w:rsidR="001C63DE" w:rsidRDefault="001C63DE" w:rsidP="001B0616">
      <w:pPr>
        <w:pStyle w:val="Heading2"/>
      </w:pPr>
      <w:bookmarkStart w:id="15" w:name="_Toc160443292"/>
      <w:r>
        <w:t>Stage 2 - Second Performance Interview</w:t>
      </w:r>
      <w:bookmarkEnd w:id="15"/>
    </w:p>
    <w:p w14:paraId="0D980DFA" w14:textId="77777777" w:rsidR="001C63DE" w:rsidRDefault="001C63DE" w:rsidP="000E3E18">
      <w:pPr>
        <w:pStyle w:val="NoSpacing"/>
      </w:pPr>
    </w:p>
    <w:p w14:paraId="04D3A91C" w14:textId="67103FF2" w:rsidR="008836A6" w:rsidRDefault="001C63DE" w:rsidP="008836A6">
      <w:pPr>
        <w:pStyle w:val="ListParagraph"/>
        <w:numPr>
          <w:ilvl w:val="0"/>
          <w:numId w:val="33"/>
        </w:numPr>
      </w:pPr>
      <w:r>
        <w:t xml:space="preserve">The employee will be advised of this meeting in writing and given at least 5 working days' notice of the meeting. The employee has the right to be accompanied by their trade union representative or work colleague. </w:t>
      </w:r>
    </w:p>
    <w:p w14:paraId="376A7A89" w14:textId="77777777" w:rsidR="008836A6" w:rsidRDefault="008836A6" w:rsidP="008836A6">
      <w:pPr>
        <w:pStyle w:val="ListParagraph"/>
      </w:pPr>
    </w:p>
    <w:p w14:paraId="21F43717" w14:textId="4667CDC0" w:rsidR="001C63DE" w:rsidRDefault="001C63DE" w:rsidP="001C63DE">
      <w:pPr>
        <w:pStyle w:val="ListParagraph"/>
        <w:numPr>
          <w:ilvl w:val="0"/>
          <w:numId w:val="33"/>
        </w:numPr>
      </w:pPr>
      <w:r>
        <w:t>At this interview, the manager will:</w:t>
      </w:r>
    </w:p>
    <w:p w14:paraId="30F24420" w14:textId="470B434E" w:rsidR="001C63DE" w:rsidRDefault="001C63DE" w:rsidP="0053785A">
      <w:pPr>
        <w:pStyle w:val="ListParagraph"/>
        <w:numPr>
          <w:ilvl w:val="0"/>
          <w:numId w:val="34"/>
        </w:numPr>
        <w:ind w:left="1080"/>
      </w:pPr>
      <w:r>
        <w:t>Review overall performance over the monitoring period;</w:t>
      </w:r>
    </w:p>
    <w:p w14:paraId="592C4023" w14:textId="1621E0A7" w:rsidR="001C63DE" w:rsidRDefault="001C63DE" w:rsidP="0053785A">
      <w:pPr>
        <w:pStyle w:val="ListParagraph"/>
        <w:numPr>
          <w:ilvl w:val="0"/>
          <w:numId w:val="34"/>
        </w:numPr>
        <w:ind w:left="1080"/>
      </w:pPr>
      <w:r>
        <w:t>Identify continued areas of underperformance or any further issues which will be considered;</w:t>
      </w:r>
    </w:p>
    <w:p w14:paraId="1184D744" w14:textId="7D0D73BA" w:rsidR="001C63DE" w:rsidRDefault="001C63DE" w:rsidP="0053785A">
      <w:pPr>
        <w:pStyle w:val="ListParagraph"/>
        <w:numPr>
          <w:ilvl w:val="0"/>
          <w:numId w:val="34"/>
        </w:numPr>
        <w:ind w:left="1080"/>
      </w:pPr>
      <w:r>
        <w:t>Review support mechanisms previously identified</w:t>
      </w:r>
    </w:p>
    <w:p w14:paraId="4F41E063" w14:textId="77777777" w:rsidR="008836A6" w:rsidRDefault="001C63DE" w:rsidP="0053785A">
      <w:pPr>
        <w:ind w:left="1080"/>
      </w:pPr>
      <w:r>
        <w:t>The employee will be given the opportunity to respond to any points raised in the meeting and comment on any issues affecting performance.</w:t>
      </w:r>
    </w:p>
    <w:p w14:paraId="480F0F90" w14:textId="77777777" w:rsidR="008836A6" w:rsidRDefault="001C63DE" w:rsidP="001C63DE">
      <w:pPr>
        <w:pStyle w:val="ListParagraph"/>
        <w:numPr>
          <w:ilvl w:val="0"/>
          <w:numId w:val="33"/>
        </w:numPr>
      </w:pPr>
      <w:r>
        <w:t>If the manager considers that the employee has failed to, or has not continued to, meet the standards and objectives as set out in the written outcome of the interview and no adequate mitigating circumstances have been identified, the manager may determine that a further formal review period is necessary.  If the required improvement is achieved, this will be confirmed in writing. The employee will be informed that if, at any time within a 12 month period of this confirmation, performance falls below an acceptable standard, the formal procedure will recommence at Stage 3. If the required improvement is not achieved, the manager will refer the matter to Stage 3. The employee will be informed in writing of this decision.</w:t>
      </w:r>
    </w:p>
    <w:p w14:paraId="7804AD5C" w14:textId="77777777" w:rsidR="008836A6" w:rsidRDefault="008836A6" w:rsidP="008836A6">
      <w:pPr>
        <w:pStyle w:val="ListParagraph"/>
      </w:pPr>
    </w:p>
    <w:p w14:paraId="69DFD550" w14:textId="77777777" w:rsidR="008836A6" w:rsidRDefault="001C63DE" w:rsidP="001C63DE">
      <w:pPr>
        <w:pStyle w:val="ListParagraph"/>
        <w:numPr>
          <w:ilvl w:val="0"/>
          <w:numId w:val="33"/>
        </w:numPr>
      </w:pPr>
      <w:r>
        <w:t>The Headteacher or other appropriate person, may determine that the matter should be referred to the Disciplinary and Dismissal Committee for a capability hearing, which will give consideration to the employee’s suitability for future employment. The Disciplinary and Dismissal Committee will normally comprise no fewer than three governors.</w:t>
      </w:r>
    </w:p>
    <w:p w14:paraId="4B075E6A" w14:textId="77777777" w:rsidR="008836A6" w:rsidRDefault="008836A6" w:rsidP="008836A6">
      <w:pPr>
        <w:pStyle w:val="ListParagraph"/>
      </w:pPr>
    </w:p>
    <w:p w14:paraId="7C67D3CF" w14:textId="77777777" w:rsidR="008836A6" w:rsidRDefault="001C63DE" w:rsidP="001C63DE">
      <w:pPr>
        <w:pStyle w:val="ListParagraph"/>
        <w:numPr>
          <w:ilvl w:val="0"/>
          <w:numId w:val="33"/>
        </w:numPr>
      </w:pPr>
      <w:r>
        <w:t>Prior to referral to the Disciplinary and Dismissal Committee, the Headteacher should consider the possibility of a mutually agreed reassignment to an alternative vacant post within the School or a mutually agreed variation to the employee’s existing contract of employment, for a trial period of three months. If the trial is successful, the arrangements will be confirmed as permanent. Alternatively the manager may determine with the agreement of the employee that the trial period be extended by a maximum of three further months.  Any search for a different post to which to reassign the employee should be completed within one month.  If no acceptable post is available or the trial period fails, the matter will be referred to the Disciplinary &amp; Dismissal Committee.</w:t>
      </w:r>
    </w:p>
    <w:p w14:paraId="3635AFA0" w14:textId="77777777" w:rsidR="008836A6" w:rsidRDefault="008836A6" w:rsidP="008836A6">
      <w:pPr>
        <w:pStyle w:val="ListParagraph"/>
      </w:pPr>
    </w:p>
    <w:p w14:paraId="70C520AE" w14:textId="059D3E33" w:rsidR="001C63DE" w:rsidRDefault="001C63DE" w:rsidP="008836A6">
      <w:pPr>
        <w:pStyle w:val="ListParagraph"/>
      </w:pPr>
      <w:r>
        <w:t xml:space="preserve">Where a reassignment or variation to contract involves a reduction in pay, the rate of pay for the assigned post/duties will be effected three months from the date the employee’s reassignment/contractual variation is agreed. The three month period referred to in this paragraph includes the period of any trial.  </w:t>
      </w:r>
    </w:p>
    <w:p w14:paraId="5583A5A0" w14:textId="7DC8D901" w:rsidR="004C0C24" w:rsidRDefault="004C0C24">
      <w:r>
        <w:br w:type="page"/>
      </w:r>
    </w:p>
    <w:p w14:paraId="1D3A08AF" w14:textId="77777777" w:rsidR="001C63DE" w:rsidRDefault="001C63DE" w:rsidP="001C63DE"/>
    <w:p w14:paraId="612E7116" w14:textId="0312CCA5" w:rsidR="001C63DE" w:rsidRDefault="001C63DE" w:rsidP="000E3E18">
      <w:pPr>
        <w:pStyle w:val="Heading2"/>
      </w:pPr>
      <w:bookmarkStart w:id="16" w:name="_Toc160443293"/>
      <w:r>
        <w:t>Stage 3 - Capability Hearing</w:t>
      </w:r>
      <w:bookmarkEnd w:id="16"/>
    </w:p>
    <w:p w14:paraId="212A159D" w14:textId="77777777" w:rsidR="00695AC4" w:rsidRDefault="001C63DE" w:rsidP="001C63DE">
      <w:pPr>
        <w:pStyle w:val="ListParagraph"/>
        <w:numPr>
          <w:ilvl w:val="0"/>
          <w:numId w:val="36"/>
        </w:numPr>
      </w:pPr>
      <w:r>
        <w:t>The Clerk to the Governors, the Headteacher or other appropriate person will notify the employee in writing of the date, time and place of the Capability Hearing. The employee will be given at least 10 working days' notice of the hearing. The notification letter will contain details of the capability concerns which are to be considered and will inform the employee of their right to be accompanied by a trade union representative or work colleague.  The letter will advise the employee that they may be dismissed at the end of the Hearing and will include copies of any relevant documentation to be considered at the hearing.</w:t>
      </w:r>
    </w:p>
    <w:p w14:paraId="214561AC" w14:textId="77777777" w:rsidR="00695AC4" w:rsidRDefault="00695AC4" w:rsidP="00695AC4">
      <w:pPr>
        <w:pStyle w:val="ListParagraph"/>
      </w:pPr>
    </w:p>
    <w:p w14:paraId="73583456" w14:textId="77777777" w:rsidR="00695AC4" w:rsidRDefault="001C63DE" w:rsidP="001C63DE">
      <w:pPr>
        <w:pStyle w:val="ListParagraph"/>
        <w:numPr>
          <w:ilvl w:val="0"/>
          <w:numId w:val="36"/>
        </w:numPr>
      </w:pPr>
      <w:r>
        <w:t>If the employee wishes to present documentary evidence to the hearing or to call witnesses, details of these should be provided to the Clerk to the Governors, Headteacher or other appropriate person at least two working days in advance of the hearing.</w:t>
      </w:r>
    </w:p>
    <w:p w14:paraId="19DCAB93" w14:textId="77777777" w:rsidR="00695AC4" w:rsidRDefault="00695AC4" w:rsidP="00695AC4">
      <w:pPr>
        <w:pStyle w:val="ListParagraph"/>
      </w:pPr>
    </w:p>
    <w:p w14:paraId="1DA38DD9" w14:textId="77777777" w:rsidR="00695AC4" w:rsidRDefault="001C63DE" w:rsidP="001C63DE">
      <w:pPr>
        <w:pStyle w:val="ListParagraph"/>
        <w:numPr>
          <w:ilvl w:val="0"/>
          <w:numId w:val="36"/>
        </w:numPr>
      </w:pPr>
      <w:r>
        <w:t xml:space="preserve">The Disciplinary and Dismissal Committee will be advised by a member of the Schools HR Team. The Clerk to the Governors or other appropriate person will produce a summary note of the Hearing.  </w:t>
      </w:r>
    </w:p>
    <w:p w14:paraId="26857B6D" w14:textId="77777777" w:rsidR="00695AC4" w:rsidRDefault="00695AC4" w:rsidP="00695AC4">
      <w:pPr>
        <w:pStyle w:val="ListParagraph"/>
      </w:pPr>
    </w:p>
    <w:p w14:paraId="0ECBBA5F" w14:textId="77777777" w:rsidR="0053785A" w:rsidRDefault="001C63DE" w:rsidP="001C63DE">
      <w:pPr>
        <w:pStyle w:val="ListParagraph"/>
        <w:numPr>
          <w:ilvl w:val="0"/>
          <w:numId w:val="36"/>
        </w:numPr>
      </w:pPr>
      <w:r>
        <w:t>The procedure to be followed at the Capability Hearing (or Appeals Committee) is set out in Annex 1.</w:t>
      </w:r>
    </w:p>
    <w:p w14:paraId="38B97493" w14:textId="77777777" w:rsidR="0053785A" w:rsidRDefault="0053785A" w:rsidP="0053785A">
      <w:pPr>
        <w:pStyle w:val="ListParagraph"/>
      </w:pPr>
    </w:p>
    <w:p w14:paraId="43E4C71A" w14:textId="77777777" w:rsidR="00771BFC" w:rsidRDefault="001C63DE" w:rsidP="001C63DE">
      <w:pPr>
        <w:pStyle w:val="ListParagraph"/>
        <w:numPr>
          <w:ilvl w:val="0"/>
          <w:numId w:val="36"/>
        </w:numPr>
      </w:pPr>
      <w:r>
        <w:t>The options available to the Disciplinary and Dismissal Committee are as follows:-</w:t>
      </w:r>
    </w:p>
    <w:p w14:paraId="3AB6F947" w14:textId="77777777" w:rsidR="00771BFC" w:rsidRDefault="00771BFC" w:rsidP="00771BFC">
      <w:pPr>
        <w:pStyle w:val="ListParagraph"/>
      </w:pPr>
    </w:p>
    <w:p w14:paraId="335901BA" w14:textId="77777777" w:rsidR="00771BFC" w:rsidRDefault="001C63DE" w:rsidP="001C63DE">
      <w:pPr>
        <w:pStyle w:val="ListParagraph"/>
        <w:numPr>
          <w:ilvl w:val="1"/>
          <w:numId w:val="36"/>
        </w:numPr>
      </w:pPr>
      <w:r>
        <w:t>to take no further action</w:t>
      </w:r>
    </w:p>
    <w:p w14:paraId="0D3702B9" w14:textId="77777777" w:rsidR="00771BFC" w:rsidRDefault="001C63DE" w:rsidP="001C63DE">
      <w:pPr>
        <w:pStyle w:val="ListParagraph"/>
        <w:numPr>
          <w:ilvl w:val="1"/>
          <w:numId w:val="36"/>
        </w:numPr>
      </w:pPr>
      <w:r>
        <w:t xml:space="preserve">to direct that a further period of appropriate training, formal monitoring and review should be undertaken.  </w:t>
      </w:r>
    </w:p>
    <w:p w14:paraId="2145D6B3" w14:textId="4BF52334" w:rsidR="001C63DE" w:rsidRDefault="001C63DE" w:rsidP="001C63DE">
      <w:pPr>
        <w:pStyle w:val="ListParagraph"/>
        <w:numPr>
          <w:ilvl w:val="1"/>
          <w:numId w:val="36"/>
        </w:numPr>
      </w:pPr>
      <w:r>
        <w:t>where it is concluded that the employee is not capable of undertaking the duties of their post, the Committee may dismiss the employee from the service of the School.</w:t>
      </w:r>
    </w:p>
    <w:p w14:paraId="6AC8E4D1" w14:textId="77777777" w:rsidR="000A3EE0" w:rsidRDefault="000A3EE0" w:rsidP="000A3EE0">
      <w:pPr>
        <w:pStyle w:val="ListParagraph"/>
        <w:ind w:left="1440"/>
      </w:pPr>
    </w:p>
    <w:p w14:paraId="314F4C54" w14:textId="77777777" w:rsidR="000A3EE0" w:rsidRDefault="001C63DE" w:rsidP="001C63DE">
      <w:pPr>
        <w:pStyle w:val="ListParagraph"/>
        <w:numPr>
          <w:ilvl w:val="0"/>
          <w:numId w:val="36"/>
        </w:numPr>
      </w:pPr>
      <w:r>
        <w:t>The decision of the Disciplinary and Dismissal Committee will be confirmed in writing within five working days of the Hearing, including any right of appeal against the decision.</w:t>
      </w:r>
    </w:p>
    <w:p w14:paraId="2E4028C9" w14:textId="77777777" w:rsidR="000A3EE0" w:rsidRDefault="000A3EE0" w:rsidP="000A3EE0">
      <w:pPr>
        <w:pStyle w:val="ListParagraph"/>
      </w:pPr>
    </w:p>
    <w:p w14:paraId="09DE02DA" w14:textId="3DAD02C0" w:rsidR="001C63DE" w:rsidRDefault="001C63DE" w:rsidP="001C63DE">
      <w:pPr>
        <w:pStyle w:val="ListParagraph"/>
        <w:numPr>
          <w:ilvl w:val="0"/>
          <w:numId w:val="36"/>
        </w:numPr>
      </w:pPr>
      <w:r>
        <w:t>Where a decision is taken to dismiss the employee, the full contractual period of notice will be given.  In the event of an appeal being submitted, the period of notice will continue to run.  If the appeal hearing is after the date of dismissal and the appeal is successful, the employee will be reinstated retrospectively to the date of dismissal.</w:t>
      </w:r>
    </w:p>
    <w:p w14:paraId="5DE6130E" w14:textId="3B7D5C65" w:rsidR="001C63DE" w:rsidRDefault="001C63DE" w:rsidP="000A3EE0">
      <w:pPr>
        <w:pStyle w:val="Heading2"/>
      </w:pPr>
      <w:bookmarkStart w:id="17" w:name="_Toc160443294"/>
      <w:r>
        <w:t>Right of Appeal</w:t>
      </w:r>
      <w:bookmarkEnd w:id="17"/>
    </w:p>
    <w:p w14:paraId="3B44447C" w14:textId="77777777" w:rsidR="007620E9" w:rsidRDefault="001C63DE" w:rsidP="001C63DE">
      <w:pPr>
        <w:pStyle w:val="ListParagraph"/>
        <w:numPr>
          <w:ilvl w:val="0"/>
          <w:numId w:val="38"/>
        </w:numPr>
      </w:pPr>
      <w:r>
        <w:t>An appeal must be submitted in writing to the Clerk to Governors within five working days of receipt of the official notification of the Disciplinary and Dismissal Committee/Headteacher’s decision.</w:t>
      </w:r>
    </w:p>
    <w:p w14:paraId="48AA47EF" w14:textId="77777777" w:rsidR="007620E9" w:rsidRDefault="007620E9" w:rsidP="007620E9">
      <w:pPr>
        <w:pStyle w:val="ListParagraph"/>
      </w:pPr>
    </w:p>
    <w:p w14:paraId="68D889DD" w14:textId="77777777" w:rsidR="007620E9" w:rsidRDefault="001C63DE" w:rsidP="001C63DE">
      <w:pPr>
        <w:pStyle w:val="ListParagraph"/>
        <w:numPr>
          <w:ilvl w:val="0"/>
          <w:numId w:val="38"/>
        </w:numPr>
      </w:pPr>
      <w:r>
        <w:t>An appeal will be considered by an Appeals Committee of the Governing Board comprising no fewer than three Governors. The appeal will be heard as quickly as possible and wherever practicable no later than 20 working days from of the date of the receipt of notification of appeal.</w:t>
      </w:r>
    </w:p>
    <w:p w14:paraId="562DDFAA" w14:textId="77777777" w:rsidR="007620E9" w:rsidRDefault="007620E9" w:rsidP="007620E9">
      <w:pPr>
        <w:pStyle w:val="ListParagraph"/>
      </w:pPr>
    </w:p>
    <w:p w14:paraId="0968960F" w14:textId="77777777" w:rsidR="007620E9" w:rsidRDefault="001C63DE" w:rsidP="001C63DE">
      <w:pPr>
        <w:pStyle w:val="ListParagraph"/>
        <w:numPr>
          <w:ilvl w:val="0"/>
          <w:numId w:val="38"/>
        </w:numPr>
      </w:pPr>
      <w:r>
        <w:t xml:space="preserve">The appeal date will provide a minimum of five working days notice of the date, time and place of the hearing.  The documentation considered by the Disciplinary and Dismissal </w:t>
      </w:r>
      <w:r>
        <w:lastRenderedPageBreak/>
        <w:t>Committee/Headteacher together with the written decision will be placed before the Appeals Committee, advised by a member of the Schools HR Team.</w:t>
      </w:r>
    </w:p>
    <w:p w14:paraId="0C5172F4" w14:textId="77777777" w:rsidR="007620E9" w:rsidRDefault="007620E9" w:rsidP="007620E9">
      <w:pPr>
        <w:pStyle w:val="ListParagraph"/>
      </w:pPr>
    </w:p>
    <w:p w14:paraId="79DD8475" w14:textId="77777777" w:rsidR="007620E9" w:rsidRDefault="001C63DE" w:rsidP="001C63DE">
      <w:pPr>
        <w:pStyle w:val="ListParagraph"/>
        <w:numPr>
          <w:ilvl w:val="0"/>
          <w:numId w:val="38"/>
        </w:numPr>
      </w:pPr>
      <w:r>
        <w:t>The appeal hearing will follow the same format as that used in the Disciplinary and Dismissal Committee or the Headteacher Hearing outlined at Annex 1.</w:t>
      </w:r>
    </w:p>
    <w:p w14:paraId="422F84EE" w14:textId="77777777" w:rsidR="007620E9" w:rsidRDefault="007620E9" w:rsidP="007620E9">
      <w:pPr>
        <w:pStyle w:val="ListParagraph"/>
      </w:pPr>
    </w:p>
    <w:p w14:paraId="60FCD471" w14:textId="3F72F405" w:rsidR="00306B69" w:rsidRDefault="001C63DE" w:rsidP="00306B69">
      <w:pPr>
        <w:pStyle w:val="ListParagraph"/>
        <w:numPr>
          <w:ilvl w:val="0"/>
          <w:numId w:val="38"/>
        </w:numPr>
      </w:pPr>
      <w:r>
        <w:t>The following decisions are open to the Appeals Committee:</w:t>
      </w:r>
    </w:p>
    <w:p w14:paraId="6B66FDD0" w14:textId="77777777" w:rsidR="00306B69" w:rsidRPr="00306B69" w:rsidRDefault="00306B69" w:rsidP="00306B69">
      <w:pPr>
        <w:pStyle w:val="ListParagraph"/>
      </w:pPr>
    </w:p>
    <w:p w14:paraId="43E63472" w14:textId="5E2D5B69" w:rsidR="001C63DE" w:rsidRDefault="001C63DE" w:rsidP="00306B69">
      <w:pPr>
        <w:pStyle w:val="ListParagraph"/>
        <w:numPr>
          <w:ilvl w:val="0"/>
          <w:numId w:val="39"/>
        </w:numPr>
      </w:pPr>
      <w:r>
        <w:t>Disallow the appeal and uphold the original decision of the Disciplinary and Dismissal Committee/Headteacher</w:t>
      </w:r>
    </w:p>
    <w:p w14:paraId="7176DEA4" w14:textId="1E760916" w:rsidR="001C63DE" w:rsidRDefault="001C63DE" w:rsidP="00306B69">
      <w:pPr>
        <w:pStyle w:val="ListParagraph"/>
        <w:numPr>
          <w:ilvl w:val="0"/>
          <w:numId w:val="39"/>
        </w:numPr>
      </w:pPr>
      <w:r>
        <w:t>Allow the appeal and reinstate the employee to their former position</w:t>
      </w:r>
    </w:p>
    <w:p w14:paraId="6D962E19" w14:textId="31475CAC" w:rsidR="009B0BCB" w:rsidRDefault="001C63DE" w:rsidP="00306B69">
      <w:pPr>
        <w:pStyle w:val="ListParagraph"/>
        <w:numPr>
          <w:ilvl w:val="0"/>
          <w:numId w:val="39"/>
        </w:numPr>
      </w:pPr>
      <w:r>
        <w:t>Reinstate the employee to their former position with a recommendation for a further period of target setting, monitoring and review</w:t>
      </w:r>
    </w:p>
    <w:p w14:paraId="06928E55" w14:textId="2AC12D46" w:rsidR="00B766FA" w:rsidRDefault="00B766FA">
      <w:r>
        <w:br w:type="page"/>
      </w:r>
    </w:p>
    <w:p w14:paraId="7EF7C058" w14:textId="77777777" w:rsidR="00651528" w:rsidRDefault="002340E9" w:rsidP="00DB5215">
      <w:pPr>
        <w:pStyle w:val="Heading1"/>
        <w:numPr>
          <w:ilvl w:val="0"/>
          <w:numId w:val="0"/>
        </w:numPr>
      </w:pPr>
      <w:bookmarkStart w:id="18" w:name="_Toc160443295"/>
      <w:r>
        <w:lastRenderedPageBreak/>
        <w:t xml:space="preserve">Appendix </w:t>
      </w:r>
      <w:r w:rsidR="00B766FA">
        <w:t>A</w:t>
      </w:r>
      <w:r w:rsidR="002B285E">
        <w:t xml:space="preserve"> </w:t>
      </w:r>
      <w:r w:rsidR="00E035B5">
        <w:t>–</w:t>
      </w:r>
      <w:r w:rsidR="002B285E">
        <w:t xml:space="preserve"> </w:t>
      </w:r>
      <w:r w:rsidR="009E6DF9">
        <w:t xml:space="preserve">Recording </w:t>
      </w:r>
      <w:r w:rsidR="00E035B5">
        <w:t xml:space="preserve">Capability </w:t>
      </w:r>
      <w:r w:rsidR="00B766FA">
        <w:t>Concerns</w:t>
      </w:r>
      <w:bookmarkEnd w:id="18"/>
    </w:p>
    <w:p w14:paraId="78F355A9" w14:textId="4627C685" w:rsidR="00EC335E" w:rsidRDefault="00EC335E" w:rsidP="00651528">
      <w:r>
        <w:rPr>
          <w:noProof/>
        </w:rPr>
        <w:drawing>
          <wp:inline distT="0" distB="0" distL="0" distR="0" wp14:anchorId="1015C21D" wp14:editId="3F4C7A0F">
            <wp:extent cx="4937150" cy="8267700"/>
            <wp:effectExtent l="0" t="0" r="0" b="0"/>
            <wp:docPr id="11818815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2748" cy="8277074"/>
                    </a:xfrm>
                    <a:prstGeom prst="rect">
                      <a:avLst/>
                    </a:prstGeom>
                    <a:noFill/>
                  </pic:spPr>
                </pic:pic>
              </a:graphicData>
            </a:graphic>
          </wp:inline>
        </w:drawing>
      </w:r>
    </w:p>
    <w:p w14:paraId="416C524B" w14:textId="63BB4446" w:rsidR="00B766FA" w:rsidRDefault="00B766FA" w:rsidP="00776061">
      <w:pPr>
        <w:pStyle w:val="Heading1"/>
        <w:numPr>
          <w:ilvl w:val="0"/>
          <w:numId w:val="0"/>
        </w:numPr>
      </w:pPr>
      <w:bookmarkStart w:id="19" w:name="_Toc160443296"/>
      <w:r>
        <w:lastRenderedPageBreak/>
        <w:t>Annex1</w:t>
      </w:r>
      <w:r w:rsidR="00E34163">
        <w:t xml:space="preserve"> - </w:t>
      </w:r>
      <w:r w:rsidR="004308F2" w:rsidRPr="004308F2">
        <w:t>Capability Hearing/Appeals Procedure</w:t>
      </w:r>
      <w:bookmarkEnd w:id="19"/>
    </w:p>
    <w:p w14:paraId="22E887EC" w14:textId="77777777" w:rsidR="002E6743" w:rsidRDefault="002E6743" w:rsidP="002E6743"/>
    <w:p w14:paraId="6B651441" w14:textId="2F19DEFE" w:rsidR="002E6743" w:rsidRDefault="002E6743" w:rsidP="002E6743">
      <w:r>
        <w:t xml:space="preserve">The following procedure is appropriate for any level of hearing including appeal. </w:t>
      </w:r>
    </w:p>
    <w:p w14:paraId="1FC6E066" w14:textId="77777777" w:rsidR="002E6743" w:rsidRDefault="002E6743" w:rsidP="002E6743">
      <w:r>
        <w:t>PROCEDURE AT THE HEARING</w:t>
      </w:r>
    </w:p>
    <w:p w14:paraId="0E6AADC6" w14:textId="141679C5" w:rsidR="00782D07" w:rsidRDefault="002E6743" w:rsidP="00B1558E">
      <w:pPr>
        <w:pStyle w:val="ListParagraph"/>
        <w:numPr>
          <w:ilvl w:val="0"/>
          <w:numId w:val="40"/>
        </w:numPr>
        <w:spacing w:line="360" w:lineRule="auto"/>
      </w:pPr>
      <w:r>
        <w:t>The case against the employee will be presented by the Headteacher or other appropriate person (the presenter of the report) who will be entitled to call witnesses and present documentation to support the case.</w:t>
      </w:r>
    </w:p>
    <w:p w14:paraId="0E5B621E" w14:textId="1CB4A071" w:rsidR="00B1558E" w:rsidRDefault="002E6743" w:rsidP="00B1558E">
      <w:pPr>
        <w:pStyle w:val="ListParagraph"/>
        <w:spacing w:line="360" w:lineRule="auto"/>
      </w:pPr>
      <w:r>
        <w:t>Witnesses will only be present for the period during which they are required to give evidence directly to the Hearing.</w:t>
      </w:r>
    </w:p>
    <w:p w14:paraId="58B2529D" w14:textId="2FB59EA5" w:rsidR="00B1558E" w:rsidRDefault="002E6743" w:rsidP="00B1558E">
      <w:pPr>
        <w:pStyle w:val="ListParagraph"/>
        <w:numPr>
          <w:ilvl w:val="0"/>
          <w:numId w:val="40"/>
        </w:numPr>
        <w:spacing w:line="360" w:lineRule="auto"/>
      </w:pPr>
      <w:r>
        <w:t>The employee and/or their representative and the person/Committee hearing the case will question the presenter of the report and any witnesses called.</w:t>
      </w:r>
    </w:p>
    <w:p w14:paraId="1D9B93F6" w14:textId="7CB07B85" w:rsidR="002E6743" w:rsidRDefault="002E6743" w:rsidP="00B1558E">
      <w:pPr>
        <w:pStyle w:val="ListParagraph"/>
        <w:numPr>
          <w:ilvl w:val="0"/>
          <w:numId w:val="40"/>
        </w:numPr>
        <w:spacing w:line="360" w:lineRule="auto"/>
      </w:pPr>
      <w:r>
        <w:t>The employee and/or their representative will present a statement of case and will be entitled to call witnesses to support the case.</w:t>
      </w:r>
    </w:p>
    <w:p w14:paraId="1F80E80A" w14:textId="35DA87BA" w:rsidR="002E6743" w:rsidRDefault="002E6743" w:rsidP="00B1558E">
      <w:pPr>
        <w:pStyle w:val="ListParagraph"/>
        <w:numPr>
          <w:ilvl w:val="0"/>
          <w:numId w:val="40"/>
        </w:numPr>
        <w:spacing w:line="360" w:lineRule="auto"/>
      </w:pPr>
      <w:r>
        <w:t>The presenter of the report and the person/Committee hearing the case will question the employee and any witnesses called.</w:t>
      </w:r>
    </w:p>
    <w:p w14:paraId="0CAB176E" w14:textId="611C2A17" w:rsidR="002E6743" w:rsidRDefault="002E6743" w:rsidP="00B1558E">
      <w:pPr>
        <w:pStyle w:val="ListParagraph"/>
        <w:numPr>
          <w:ilvl w:val="0"/>
          <w:numId w:val="40"/>
        </w:numPr>
        <w:spacing w:line="360" w:lineRule="auto"/>
      </w:pPr>
      <w:r>
        <w:t xml:space="preserve">The presenter of the report and the employee and/or their representative (in that order) will have the opportunity to make a closing statement (No new evidence may be introduced at this stage) </w:t>
      </w:r>
    </w:p>
    <w:p w14:paraId="363DEE22" w14:textId="6948F7FF" w:rsidR="002E6743" w:rsidRDefault="002E6743" w:rsidP="00B1558E">
      <w:pPr>
        <w:pStyle w:val="ListParagraph"/>
        <w:numPr>
          <w:ilvl w:val="0"/>
          <w:numId w:val="40"/>
        </w:numPr>
        <w:spacing w:line="360" w:lineRule="auto"/>
      </w:pPr>
      <w:r>
        <w:t>All parties will withdraw except the person/Committee conducting the hearing who will deliberate in private, and if present, the Executive Director Education &amp; Children's Services representative and Clerk to the meeting.  Should either party need to be recalled to clarify any points of uncertainty, both sides should return notwithstanding that the point giving cause for concern relates to one party.</w:t>
      </w:r>
    </w:p>
    <w:p w14:paraId="1589D118" w14:textId="26BBC7EF" w:rsidR="002E6743" w:rsidRPr="002E6743" w:rsidRDefault="002E6743" w:rsidP="00B1558E">
      <w:pPr>
        <w:pStyle w:val="ListParagraph"/>
        <w:numPr>
          <w:ilvl w:val="0"/>
          <w:numId w:val="40"/>
        </w:numPr>
        <w:spacing w:line="360" w:lineRule="auto"/>
      </w:pPr>
      <w:r>
        <w:t>The parties will be informed of the decision and the employee will be given written confirmation of the decision, within 5 working days, which will also indicate any right of appeal.</w:t>
      </w:r>
    </w:p>
    <w:p w14:paraId="1FA5FDEC" w14:textId="77777777" w:rsidR="00B1558E" w:rsidRDefault="00B1558E">
      <w:pPr>
        <w:rPr>
          <w:rFonts w:asciiTheme="majorHAnsi" w:eastAsiaTheme="majorEastAsia" w:hAnsiTheme="majorHAnsi" w:cstheme="majorBidi"/>
          <w:color w:val="873168"/>
          <w:sz w:val="32"/>
          <w:szCs w:val="32"/>
        </w:rPr>
      </w:pPr>
      <w:r>
        <w:br w:type="page"/>
      </w:r>
    </w:p>
    <w:p w14:paraId="3875D298" w14:textId="78FE82D5" w:rsidR="00C22E6D" w:rsidRDefault="00E94DF2" w:rsidP="00776061">
      <w:pPr>
        <w:pStyle w:val="Heading1"/>
        <w:numPr>
          <w:ilvl w:val="0"/>
          <w:numId w:val="0"/>
        </w:numPr>
      </w:pPr>
      <w:bookmarkStart w:id="20" w:name="_Toc160443297"/>
      <w:r>
        <w:lastRenderedPageBreak/>
        <w:t>Annex2</w:t>
      </w:r>
      <w:r w:rsidRPr="00E94DF2">
        <w:t xml:space="preserve"> </w:t>
      </w:r>
      <w:r>
        <w:t xml:space="preserve">- </w:t>
      </w:r>
      <w:r w:rsidRPr="00E94DF2">
        <w:t xml:space="preserve">Addendum </w:t>
      </w:r>
      <w:r w:rsidR="002910AB">
        <w:t>t</w:t>
      </w:r>
      <w:r w:rsidRPr="00E94DF2">
        <w:t>o Capability Procedure</w:t>
      </w:r>
      <w:bookmarkEnd w:id="20"/>
    </w:p>
    <w:p w14:paraId="6DD87BFE" w14:textId="6756411B" w:rsidR="006422FB" w:rsidRPr="000043A7" w:rsidRDefault="006422FB" w:rsidP="006422FB">
      <w:pPr>
        <w:rPr>
          <w:b/>
          <w:bCs/>
        </w:rPr>
      </w:pPr>
      <w:r w:rsidRPr="000043A7">
        <w:rPr>
          <w:b/>
          <w:bCs/>
        </w:rPr>
        <w:t>School Staffing (England) Regulations 2003 – Delegation to Headteacher of authority to make initial dismissal decisions.</w:t>
      </w:r>
    </w:p>
    <w:p w14:paraId="679CDF72" w14:textId="09E74409" w:rsidR="006422FB" w:rsidRDefault="006422FB" w:rsidP="006422FB">
      <w:r>
        <w:t>These Regulations allow for the Governing Board to delegate authority to make initial dismissal decisions to Headteachers. Therefore, the Headteacher becomes responsible for all initial disciplinary action up to and including dismissal.</w:t>
      </w:r>
    </w:p>
    <w:p w14:paraId="78295521" w14:textId="3D164B1A" w:rsidR="006422FB" w:rsidRDefault="006422FB" w:rsidP="006422FB">
      <w:r>
        <w:t>The Governing Board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76F8C541" w14:textId="77777777" w:rsidR="006422FB" w:rsidRDefault="006422FB" w:rsidP="006422FB">
      <w:pPr>
        <w:pStyle w:val="ListParagraph"/>
        <w:numPr>
          <w:ilvl w:val="0"/>
          <w:numId w:val="41"/>
        </w:numPr>
      </w:pPr>
      <w:r>
        <w:t>A Headteacher who is unwilling to accept this function and who has hitherto not been required to do so. The position could be reviewed on the appointment of a successor Head.</w:t>
      </w:r>
    </w:p>
    <w:p w14:paraId="406A8049" w14:textId="77777777" w:rsidR="00842BEE" w:rsidRDefault="00842BEE" w:rsidP="00842BEE">
      <w:pPr>
        <w:pStyle w:val="ListParagraph"/>
      </w:pPr>
    </w:p>
    <w:p w14:paraId="097AE72F" w14:textId="77777777" w:rsidR="00842BEE" w:rsidRDefault="006422FB" w:rsidP="006422FB">
      <w:pPr>
        <w:pStyle w:val="ListParagraph"/>
        <w:numPr>
          <w:ilvl w:val="0"/>
          <w:numId w:val="41"/>
        </w:numPr>
      </w:pPr>
      <w:r>
        <w:t xml:space="preserve">Where the Headteacher has been directly involved in the process leading up to the consideration of dismissal – for example, through managing the capability case. Experience shows that this is invariably the case and therefore, referral for consideration by the Dismissals Committee preserves the integrity of the disciplinary process. However, in large Schools, it may be possible to delegate the responsibility for investigation to another member of the management team, thereby leaving the Headteacher available to consider, what disciplinary action, up and including dismissal, should be taken. Appeals against disciplinary action should still be considered by the Appeals Committee. </w:t>
      </w:r>
    </w:p>
    <w:p w14:paraId="4B03A906" w14:textId="77777777" w:rsidR="00842BEE" w:rsidRDefault="00842BEE" w:rsidP="00842BEE">
      <w:pPr>
        <w:pStyle w:val="ListParagraph"/>
      </w:pPr>
    </w:p>
    <w:p w14:paraId="68248242" w14:textId="77777777" w:rsidR="00842BEE" w:rsidRDefault="006422FB" w:rsidP="006422FB">
      <w:pPr>
        <w:pStyle w:val="ListParagraph"/>
        <w:numPr>
          <w:ilvl w:val="0"/>
          <w:numId w:val="41"/>
        </w:numPr>
      </w:pPr>
      <w:r>
        <w:t>Where the Governing Board of a school with a religious character (i.e. Voluntary Aided, Foundation and Voluntary Controlled Schools) has agreed that governor involvement will serve to preserve this character. Therefore, advice should be sought from the relevant Diocesan Authority.</w:t>
      </w:r>
    </w:p>
    <w:p w14:paraId="5BA60813" w14:textId="77777777" w:rsidR="00842BEE" w:rsidRDefault="00842BEE" w:rsidP="00842BEE">
      <w:pPr>
        <w:pStyle w:val="ListParagraph"/>
      </w:pPr>
    </w:p>
    <w:p w14:paraId="03D4251C" w14:textId="323DE70E" w:rsidR="006422FB" w:rsidRDefault="006422FB" w:rsidP="006422FB">
      <w:pPr>
        <w:pStyle w:val="ListParagraph"/>
        <w:numPr>
          <w:ilvl w:val="0"/>
          <w:numId w:val="41"/>
        </w:numPr>
      </w:pPr>
      <w:r>
        <w:t>Where the local authority may have made representations to the Chair of Governors on the grounds of serious concerns about the performance of the Headteacher.</w:t>
      </w:r>
    </w:p>
    <w:p w14:paraId="48895814" w14:textId="3D598909" w:rsidR="001B44C3" w:rsidRDefault="006422FB" w:rsidP="007F58EB">
      <w:r>
        <w:t>Where a Governing Board does decide to delegate the authority to make initial dismissal decisions, they are strongly advised to consult with staff and their professional associations before finally confirming their decision.</w:t>
      </w:r>
    </w:p>
    <w:p w14:paraId="31BEC1F0" w14:textId="77777777" w:rsidR="0039773B" w:rsidRPr="0039773B" w:rsidRDefault="0039773B" w:rsidP="006F26FC"/>
    <w:sectPr w:rsidR="0039773B" w:rsidRPr="0039773B" w:rsidSect="00341AB0">
      <w:headerReference w:type="default" r:id="rId13"/>
      <w:footerReference w:type="default" r:id="rId14"/>
      <w:pgSz w:w="11906" w:h="16838"/>
      <w:pgMar w:top="1361" w:right="1191" w:bottom="119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D88DA" w14:textId="77777777" w:rsidR="00341AB0" w:rsidRDefault="00341AB0" w:rsidP="00DD59E8">
      <w:pPr>
        <w:spacing w:after="0" w:line="240" w:lineRule="auto"/>
      </w:pPr>
      <w:r>
        <w:separator/>
      </w:r>
    </w:p>
  </w:endnote>
  <w:endnote w:type="continuationSeparator" w:id="0">
    <w:p w14:paraId="7B733DEB" w14:textId="77777777" w:rsidR="00341AB0" w:rsidRDefault="00341AB0" w:rsidP="00DD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DD59E8" w:rsidRPr="005257A7" w14:paraId="292B5DF5" w14:textId="77777777" w:rsidTr="00DD59E8">
      <w:tc>
        <w:tcPr>
          <w:tcW w:w="9781" w:type="dxa"/>
          <w:tcBorders>
            <w:top w:val="single" w:sz="4" w:space="0" w:color="873168"/>
            <w:bottom w:val="nil"/>
          </w:tcBorders>
        </w:tcPr>
        <w:p w14:paraId="5C78C494" w14:textId="2D9F1DE4" w:rsidR="00DD59E8" w:rsidRPr="00B901E6" w:rsidRDefault="00DD59E8" w:rsidP="00DD59E8">
          <w:pPr>
            <w:jc w:val="right"/>
            <w:rPr>
              <w:b/>
              <w:bCs/>
              <w:color w:val="873168"/>
              <w:sz w:val="18"/>
              <w:szCs w:val="18"/>
            </w:rPr>
          </w:pPr>
          <w:r w:rsidRPr="00B901E6">
            <w:rPr>
              <w:b/>
              <w:bCs/>
              <w:color w:val="873168"/>
              <w:sz w:val="18"/>
              <w:szCs w:val="18"/>
              <w:highlight w:val="white"/>
            </w:rPr>
            <w:t xml:space="preserve">Hope High School | </w:t>
          </w:r>
          <w:sdt>
            <w:sdtPr>
              <w:rPr>
                <w:b/>
                <w:bCs/>
                <w:color w:val="873168"/>
                <w:sz w:val="18"/>
                <w:szCs w:val="18"/>
                <w:highlight w:val="white"/>
              </w:rPr>
              <w:alias w:val="Title"/>
              <w:tag w:val=""/>
              <w:id w:val="1624030003"/>
              <w:placeholder>
                <w:docPart w:val="897A5450227C41A69AB0DB8CC6A07F54"/>
              </w:placeholder>
              <w:dataBinding w:prefixMappings="xmlns:ns0='http://purl.org/dc/elements/1.1/' xmlns:ns1='http://schemas.openxmlformats.org/package/2006/metadata/core-properties' " w:xpath="/ns1:coreProperties[1]/ns0:title[1]" w:storeItemID="{6C3C8BC8-F283-45AE-878A-BAB7291924A1}"/>
              <w:text/>
            </w:sdtPr>
            <w:sdtEndPr/>
            <w:sdtContent>
              <w:r w:rsidR="001A6684">
                <w:rPr>
                  <w:b/>
                  <w:bCs/>
                  <w:color w:val="873168"/>
                  <w:sz w:val="18"/>
                  <w:szCs w:val="18"/>
                  <w:highlight w:val="white"/>
                </w:rPr>
                <w:t>CAPABILITY POLICY &amp; PROCEDURE – SUPPORT STAFF</w:t>
              </w:r>
            </w:sdtContent>
          </w:sdt>
          <w:r w:rsidRPr="00B901E6">
            <w:rPr>
              <w:b/>
              <w:bCs/>
              <w:color w:val="873168"/>
              <w:sz w:val="18"/>
              <w:szCs w:val="18"/>
              <w:highlight w:val="white"/>
            </w:rPr>
            <w:t xml:space="preserve"> | Page </w:t>
          </w:r>
          <w:r w:rsidRPr="00B901E6">
            <w:rPr>
              <w:b/>
              <w:bCs/>
              <w:color w:val="873168"/>
              <w:sz w:val="18"/>
              <w:szCs w:val="18"/>
              <w:highlight w:val="white"/>
            </w:rPr>
            <w:fldChar w:fldCharType="begin"/>
          </w:r>
          <w:r w:rsidRPr="00B901E6">
            <w:rPr>
              <w:b/>
              <w:bCs/>
              <w:color w:val="873168"/>
              <w:sz w:val="18"/>
              <w:szCs w:val="18"/>
              <w:highlight w:val="white"/>
            </w:rPr>
            <w:instrText>PAGE</w:instrText>
          </w:r>
          <w:r w:rsidRPr="00B901E6">
            <w:rPr>
              <w:b/>
              <w:bCs/>
              <w:color w:val="873168"/>
              <w:sz w:val="18"/>
              <w:szCs w:val="18"/>
              <w:highlight w:val="white"/>
            </w:rPr>
            <w:fldChar w:fldCharType="separate"/>
          </w:r>
          <w:r w:rsidRPr="00B901E6">
            <w:rPr>
              <w:b/>
              <w:bCs/>
              <w:color w:val="873168"/>
              <w:sz w:val="18"/>
              <w:szCs w:val="18"/>
              <w:highlight w:val="white"/>
            </w:rPr>
            <w:t>1</w:t>
          </w:r>
          <w:r w:rsidRPr="00B901E6">
            <w:rPr>
              <w:b/>
              <w:bCs/>
              <w:color w:val="873168"/>
              <w:sz w:val="18"/>
              <w:szCs w:val="18"/>
              <w:highlight w:val="white"/>
            </w:rPr>
            <w:fldChar w:fldCharType="end"/>
          </w:r>
          <w:r w:rsidRPr="00B901E6">
            <w:rPr>
              <w:b/>
              <w:bCs/>
              <w:color w:val="873168"/>
              <w:sz w:val="18"/>
              <w:szCs w:val="18"/>
            </w:rPr>
            <w:t xml:space="preserve"> of </w:t>
          </w:r>
          <w:r w:rsidRPr="00B901E6">
            <w:rPr>
              <w:b/>
              <w:bCs/>
              <w:color w:val="873168"/>
              <w:sz w:val="18"/>
              <w:szCs w:val="18"/>
            </w:rPr>
            <w:fldChar w:fldCharType="begin"/>
          </w:r>
          <w:r w:rsidRPr="00B901E6">
            <w:rPr>
              <w:b/>
              <w:bCs/>
              <w:color w:val="873168"/>
              <w:sz w:val="18"/>
              <w:szCs w:val="18"/>
            </w:rPr>
            <w:instrText xml:space="preserve"> NUMPAGES  \* Arabic  \* MERGEFORMAT </w:instrText>
          </w:r>
          <w:r w:rsidRPr="00B901E6">
            <w:rPr>
              <w:b/>
              <w:bCs/>
              <w:color w:val="873168"/>
              <w:sz w:val="18"/>
              <w:szCs w:val="18"/>
            </w:rPr>
            <w:fldChar w:fldCharType="separate"/>
          </w:r>
          <w:r w:rsidRPr="00B901E6">
            <w:rPr>
              <w:b/>
              <w:bCs/>
              <w:noProof/>
              <w:color w:val="873168"/>
              <w:sz w:val="18"/>
              <w:szCs w:val="18"/>
            </w:rPr>
            <w:t>14</w:t>
          </w:r>
          <w:r w:rsidRPr="00B901E6">
            <w:rPr>
              <w:b/>
              <w:bCs/>
              <w:color w:val="873168"/>
              <w:sz w:val="18"/>
              <w:szCs w:val="18"/>
            </w:rPr>
            <w:fldChar w:fldCharType="end"/>
          </w:r>
        </w:p>
        <w:p w14:paraId="201A39E2" w14:textId="77777777" w:rsidR="00DD59E8" w:rsidRPr="00B901E6" w:rsidRDefault="00DD59E8" w:rsidP="00DD59E8">
          <w:pPr>
            <w:pStyle w:val="BodyText"/>
            <w:spacing w:line="14" w:lineRule="auto"/>
            <w:rPr>
              <w:b/>
              <w:bCs/>
              <w:color w:val="873168"/>
              <w:sz w:val="20"/>
            </w:rPr>
          </w:pPr>
        </w:p>
      </w:tc>
    </w:tr>
    <w:tr w:rsidR="00DD59E8" w:rsidRPr="005257A7" w14:paraId="0E2748F8" w14:textId="77777777" w:rsidTr="00DD59E8">
      <w:tc>
        <w:tcPr>
          <w:tcW w:w="9781" w:type="dxa"/>
          <w:tcBorders>
            <w:top w:val="nil"/>
          </w:tcBorders>
        </w:tcPr>
        <w:p w14:paraId="7FC04516" w14:textId="77777777" w:rsidR="00DD59E8" w:rsidRPr="00D145A6" w:rsidRDefault="00DD59E8" w:rsidP="00DD59E8">
          <w:pPr>
            <w:pStyle w:val="Footer"/>
            <w:jc w:val="right"/>
            <w:rPr>
              <w:color w:val="873168"/>
              <w:sz w:val="16"/>
              <w:szCs w:val="16"/>
            </w:rPr>
          </w:pPr>
          <w:r w:rsidRPr="000F27A8">
            <w:rPr>
              <w:color w:val="873168"/>
              <w:sz w:val="16"/>
              <w:szCs w:val="16"/>
            </w:rPr>
            <w:t>Hope High School, Carfield, Skelmersdale, Lancashire, WN8 9DP | Tel: 01695 721066</w:t>
          </w:r>
        </w:p>
      </w:tc>
    </w:tr>
  </w:tbl>
  <w:p w14:paraId="6D00D18E" w14:textId="77777777" w:rsidR="00DD59E8" w:rsidRDefault="00DD59E8" w:rsidP="00DD5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AE41" w14:textId="77777777" w:rsidR="00341AB0" w:rsidRDefault="00341AB0" w:rsidP="00DD59E8">
      <w:pPr>
        <w:spacing w:after="0" w:line="240" w:lineRule="auto"/>
      </w:pPr>
      <w:r>
        <w:separator/>
      </w:r>
    </w:p>
  </w:footnote>
  <w:footnote w:type="continuationSeparator" w:id="0">
    <w:p w14:paraId="3AA9B815" w14:textId="77777777" w:rsidR="00341AB0" w:rsidRDefault="00341AB0" w:rsidP="00DD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D928" w14:textId="2D56BF26" w:rsidR="00DD59E8" w:rsidRDefault="00981632">
    <w:pPr>
      <w:pStyle w:val="Header"/>
    </w:pPr>
    <w:sdt>
      <w:sdtPr>
        <w:alias w:val="Title"/>
        <w:tag w:val=""/>
        <w:id w:val="252867128"/>
        <w:placeholder>
          <w:docPart w:val="FA8A6473A1A64819B9DE6A3F70CCCD56"/>
        </w:placeholder>
        <w:dataBinding w:prefixMappings="xmlns:ns0='http://purl.org/dc/elements/1.1/' xmlns:ns1='http://schemas.openxmlformats.org/package/2006/metadata/core-properties' " w:xpath="/ns1:coreProperties[1]/ns0:title[1]" w:storeItemID="{6C3C8BC8-F283-45AE-878A-BAB7291924A1}"/>
        <w:text/>
      </w:sdtPr>
      <w:sdtEndPr/>
      <w:sdtContent>
        <w:r w:rsidR="001A6684">
          <w:t>CAPABILITY POLICY &amp; PROCEDURE – SUPPORT STAFF</w:t>
        </w:r>
      </w:sdtContent>
    </w:sdt>
    <w:r w:rsidR="00DD59E8" w:rsidRPr="00C15081">
      <w:rPr>
        <w:rFonts w:ascii="Comic Sans MS" w:hAnsi="Comic Sans MS"/>
        <w:noProof/>
        <w:sz w:val="32"/>
        <w:szCs w:val="28"/>
      </w:rPr>
      <w:drawing>
        <wp:anchor distT="0" distB="0" distL="114300" distR="114300" simplePos="0" relativeHeight="251657216" behindDoc="0" locked="0" layoutInCell="1" allowOverlap="1" wp14:anchorId="2344CEBF" wp14:editId="32A52236">
          <wp:simplePos x="0" y="0"/>
          <wp:positionH relativeFrom="leftMargin">
            <wp:posOffset>6562725</wp:posOffset>
          </wp:positionH>
          <wp:positionV relativeFrom="paragraph">
            <wp:posOffset>-212090</wp:posOffset>
          </wp:positionV>
          <wp:extent cx="638175" cy="626110"/>
          <wp:effectExtent l="0" t="0" r="9525" b="2540"/>
          <wp:wrapNone/>
          <wp:docPr id="1686339696" name="Picture 1686339696" descr="A logo with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898456" name="Picture 425898456" descr="A logo with letters and numb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61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64B"/>
    <w:multiLevelType w:val="hybridMultilevel"/>
    <w:tmpl w:val="3D52F35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3931C1"/>
    <w:multiLevelType w:val="hybridMultilevel"/>
    <w:tmpl w:val="BDE45D1C"/>
    <w:lvl w:ilvl="0" w:tplc="50CE40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A5ADC"/>
    <w:multiLevelType w:val="hybridMultilevel"/>
    <w:tmpl w:val="0448A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633107"/>
    <w:multiLevelType w:val="hybridMultilevel"/>
    <w:tmpl w:val="1A88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72740"/>
    <w:multiLevelType w:val="hybridMultilevel"/>
    <w:tmpl w:val="FD5EA0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A551F"/>
    <w:multiLevelType w:val="hybridMultilevel"/>
    <w:tmpl w:val="AA3C56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A27E7"/>
    <w:multiLevelType w:val="hybridMultilevel"/>
    <w:tmpl w:val="0D9A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42E1C"/>
    <w:multiLevelType w:val="hybridMultilevel"/>
    <w:tmpl w:val="86FCEC46"/>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2E2E4C"/>
    <w:multiLevelType w:val="hybridMultilevel"/>
    <w:tmpl w:val="281281E2"/>
    <w:lvl w:ilvl="0" w:tplc="50CE40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BD67F0"/>
    <w:multiLevelType w:val="hybridMultilevel"/>
    <w:tmpl w:val="54D2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F6ACB"/>
    <w:multiLevelType w:val="hybridMultilevel"/>
    <w:tmpl w:val="715C68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724E8"/>
    <w:multiLevelType w:val="hybridMultilevel"/>
    <w:tmpl w:val="308E33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83788"/>
    <w:multiLevelType w:val="hybridMultilevel"/>
    <w:tmpl w:val="2EAAA3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461F25"/>
    <w:multiLevelType w:val="hybridMultilevel"/>
    <w:tmpl w:val="865275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B205C6"/>
    <w:multiLevelType w:val="multilevel"/>
    <w:tmpl w:val="08090025"/>
    <w:lvl w:ilvl="0">
      <w:start w:val="1"/>
      <w:numFmt w:val="decimal"/>
      <w:pStyle w:val="Heading1"/>
      <w:lvlText w:val="%1"/>
      <w:lvlJc w:val="left"/>
      <w:pPr>
        <w:ind w:left="432" w:hanging="432"/>
      </w:pPr>
      <w:rPr>
        <w:rFonts w:hint="default"/>
        <w:color w:val="87316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11D6EBA"/>
    <w:multiLevelType w:val="hybridMultilevel"/>
    <w:tmpl w:val="597449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696415"/>
    <w:multiLevelType w:val="hybridMultilevel"/>
    <w:tmpl w:val="85D47F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2F1DA5"/>
    <w:multiLevelType w:val="hybridMultilevel"/>
    <w:tmpl w:val="FE022E32"/>
    <w:lvl w:ilvl="0" w:tplc="50CE40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1B2E89"/>
    <w:multiLevelType w:val="hybridMultilevel"/>
    <w:tmpl w:val="33BABD28"/>
    <w:lvl w:ilvl="0" w:tplc="08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BEA3182"/>
    <w:multiLevelType w:val="hybridMultilevel"/>
    <w:tmpl w:val="23CE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B1285"/>
    <w:multiLevelType w:val="hybridMultilevel"/>
    <w:tmpl w:val="605C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B13D1"/>
    <w:multiLevelType w:val="hybridMultilevel"/>
    <w:tmpl w:val="BEAA0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5638E6"/>
    <w:multiLevelType w:val="hybridMultilevel"/>
    <w:tmpl w:val="0162623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712B79"/>
    <w:multiLevelType w:val="hybridMultilevel"/>
    <w:tmpl w:val="11F6584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B37E2E"/>
    <w:multiLevelType w:val="hybridMultilevel"/>
    <w:tmpl w:val="036C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16FAD"/>
    <w:multiLevelType w:val="hybridMultilevel"/>
    <w:tmpl w:val="35C8888A"/>
    <w:lvl w:ilvl="0" w:tplc="50CE40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4182C"/>
    <w:multiLevelType w:val="hybridMultilevel"/>
    <w:tmpl w:val="06EAB6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475520"/>
    <w:multiLevelType w:val="hybridMultilevel"/>
    <w:tmpl w:val="E95292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987855"/>
    <w:multiLevelType w:val="hybridMultilevel"/>
    <w:tmpl w:val="41A4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17F5B"/>
    <w:multiLevelType w:val="hybridMultilevel"/>
    <w:tmpl w:val="363AAA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DB087E"/>
    <w:multiLevelType w:val="hybridMultilevel"/>
    <w:tmpl w:val="DEB2E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A95F8B"/>
    <w:multiLevelType w:val="hybridMultilevel"/>
    <w:tmpl w:val="3C90B7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83632B5"/>
    <w:multiLevelType w:val="hybridMultilevel"/>
    <w:tmpl w:val="0228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FD6D3D"/>
    <w:multiLevelType w:val="hybridMultilevel"/>
    <w:tmpl w:val="2668BFFE"/>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071CF4"/>
    <w:multiLevelType w:val="hybridMultilevel"/>
    <w:tmpl w:val="3376B9BC"/>
    <w:lvl w:ilvl="0" w:tplc="08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CFB1FDE"/>
    <w:multiLevelType w:val="hybridMultilevel"/>
    <w:tmpl w:val="A13C0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AC4A77"/>
    <w:multiLevelType w:val="hybridMultilevel"/>
    <w:tmpl w:val="E2DE0B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C71E33"/>
    <w:multiLevelType w:val="hybridMultilevel"/>
    <w:tmpl w:val="024C5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5B5D43"/>
    <w:multiLevelType w:val="multilevel"/>
    <w:tmpl w:val="9202E4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2920FB"/>
    <w:multiLevelType w:val="hybridMultilevel"/>
    <w:tmpl w:val="E4E0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23977"/>
    <w:multiLevelType w:val="hybridMultilevel"/>
    <w:tmpl w:val="AFEA11A0"/>
    <w:lvl w:ilvl="0" w:tplc="50CE40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6633B8"/>
    <w:multiLevelType w:val="hybridMultilevel"/>
    <w:tmpl w:val="2E3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4097805">
    <w:abstractNumId w:val="38"/>
  </w:num>
  <w:num w:numId="2" w16cid:durableId="102657419">
    <w:abstractNumId w:val="14"/>
  </w:num>
  <w:num w:numId="3" w16cid:durableId="1392537126">
    <w:abstractNumId w:val="41"/>
  </w:num>
  <w:num w:numId="4" w16cid:durableId="1953852717">
    <w:abstractNumId w:val="37"/>
  </w:num>
  <w:num w:numId="5" w16cid:durableId="871528708">
    <w:abstractNumId w:val="30"/>
  </w:num>
  <w:num w:numId="6" w16cid:durableId="866144530">
    <w:abstractNumId w:val="36"/>
  </w:num>
  <w:num w:numId="7" w16cid:durableId="541405115">
    <w:abstractNumId w:val="7"/>
  </w:num>
  <w:num w:numId="8" w16cid:durableId="461924264">
    <w:abstractNumId w:val="35"/>
  </w:num>
  <w:num w:numId="9" w16cid:durableId="1145195869">
    <w:abstractNumId w:val="9"/>
  </w:num>
  <w:num w:numId="10" w16cid:durableId="367218454">
    <w:abstractNumId w:val="22"/>
  </w:num>
  <w:num w:numId="11" w16cid:durableId="871380837">
    <w:abstractNumId w:val="29"/>
  </w:num>
  <w:num w:numId="12" w16cid:durableId="360329482">
    <w:abstractNumId w:val="6"/>
  </w:num>
  <w:num w:numId="13" w16cid:durableId="688727108">
    <w:abstractNumId w:val="39"/>
  </w:num>
  <w:num w:numId="14" w16cid:durableId="22102391">
    <w:abstractNumId w:val="19"/>
  </w:num>
  <w:num w:numId="15" w16cid:durableId="1342900238">
    <w:abstractNumId w:val="15"/>
  </w:num>
  <w:num w:numId="16" w16cid:durableId="830295881">
    <w:abstractNumId w:val="26"/>
  </w:num>
  <w:num w:numId="17" w16cid:durableId="1101268025">
    <w:abstractNumId w:val="20"/>
  </w:num>
  <w:num w:numId="18" w16cid:durableId="1974552551">
    <w:abstractNumId w:val="16"/>
  </w:num>
  <w:num w:numId="19" w16cid:durableId="333267299">
    <w:abstractNumId w:val="33"/>
  </w:num>
  <w:num w:numId="20" w16cid:durableId="1084495142">
    <w:abstractNumId w:val="0"/>
  </w:num>
  <w:num w:numId="21" w16cid:durableId="2025864800">
    <w:abstractNumId w:val="18"/>
  </w:num>
  <w:num w:numId="22" w16cid:durableId="1407730689">
    <w:abstractNumId w:val="13"/>
  </w:num>
  <w:num w:numId="23" w16cid:durableId="97599946">
    <w:abstractNumId w:val="10"/>
  </w:num>
  <w:num w:numId="24" w16cid:durableId="1608082810">
    <w:abstractNumId w:val="27"/>
  </w:num>
  <w:num w:numId="25" w16cid:durableId="652031005">
    <w:abstractNumId w:val="4"/>
  </w:num>
  <w:num w:numId="26" w16cid:durableId="2108891503">
    <w:abstractNumId w:val="23"/>
  </w:num>
  <w:num w:numId="27" w16cid:durableId="1136220174">
    <w:abstractNumId w:val="31"/>
  </w:num>
  <w:num w:numId="28" w16cid:durableId="1319916656">
    <w:abstractNumId w:val="3"/>
  </w:num>
  <w:num w:numId="29" w16cid:durableId="1686833005">
    <w:abstractNumId w:val="34"/>
  </w:num>
  <w:num w:numId="30" w16cid:durableId="663705311">
    <w:abstractNumId w:val="40"/>
  </w:num>
  <w:num w:numId="31" w16cid:durableId="985667676">
    <w:abstractNumId w:val="21"/>
  </w:num>
  <w:num w:numId="32" w16cid:durableId="825168449">
    <w:abstractNumId w:val="2"/>
  </w:num>
  <w:num w:numId="33" w16cid:durableId="1272855782">
    <w:abstractNumId w:val="1"/>
  </w:num>
  <w:num w:numId="34" w16cid:durableId="93525228">
    <w:abstractNumId w:val="28"/>
  </w:num>
  <w:num w:numId="35" w16cid:durableId="2085372530">
    <w:abstractNumId w:val="25"/>
  </w:num>
  <w:num w:numId="36" w16cid:durableId="1335189263">
    <w:abstractNumId w:val="8"/>
  </w:num>
  <w:num w:numId="37" w16cid:durableId="1345129660">
    <w:abstractNumId w:val="17"/>
  </w:num>
  <w:num w:numId="38" w16cid:durableId="437022741">
    <w:abstractNumId w:val="12"/>
  </w:num>
  <w:num w:numId="39" w16cid:durableId="1763839310">
    <w:abstractNumId w:val="5"/>
  </w:num>
  <w:num w:numId="40" w16cid:durableId="446774286">
    <w:abstractNumId w:val="11"/>
  </w:num>
  <w:num w:numId="41" w16cid:durableId="1504393552">
    <w:abstractNumId w:val="32"/>
  </w:num>
  <w:num w:numId="42" w16cid:durableId="12705105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5D"/>
    <w:rsid w:val="000014ED"/>
    <w:rsid w:val="000043A7"/>
    <w:rsid w:val="000071A3"/>
    <w:rsid w:val="0001617F"/>
    <w:rsid w:val="0003121B"/>
    <w:rsid w:val="00033C7B"/>
    <w:rsid w:val="00033FBF"/>
    <w:rsid w:val="00037F72"/>
    <w:rsid w:val="00046117"/>
    <w:rsid w:val="00066A14"/>
    <w:rsid w:val="00070195"/>
    <w:rsid w:val="00073570"/>
    <w:rsid w:val="00084826"/>
    <w:rsid w:val="000A0956"/>
    <w:rsid w:val="000A37B9"/>
    <w:rsid w:val="000A3EE0"/>
    <w:rsid w:val="000A5EAB"/>
    <w:rsid w:val="000B3217"/>
    <w:rsid w:val="000B4A60"/>
    <w:rsid w:val="000C6A33"/>
    <w:rsid w:val="000D2521"/>
    <w:rsid w:val="000E3E18"/>
    <w:rsid w:val="000E726F"/>
    <w:rsid w:val="000F5A10"/>
    <w:rsid w:val="00100497"/>
    <w:rsid w:val="00102ED0"/>
    <w:rsid w:val="001030EE"/>
    <w:rsid w:val="00110A97"/>
    <w:rsid w:val="0011299A"/>
    <w:rsid w:val="00122318"/>
    <w:rsid w:val="00123F4D"/>
    <w:rsid w:val="001304D5"/>
    <w:rsid w:val="00144C49"/>
    <w:rsid w:val="00153320"/>
    <w:rsid w:val="00153D5F"/>
    <w:rsid w:val="00162082"/>
    <w:rsid w:val="00171047"/>
    <w:rsid w:val="001719CB"/>
    <w:rsid w:val="001748B8"/>
    <w:rsid w:val="00177A50"/>
    <w:rsid w:val="001820F8"/>
    <w:rsid w:val="00183C64"/>
    <w:rsid w:val="001840FE"/>
    <w:rsid w:val="001876D3"/>
    <w:rsid w:val="00190C14"/>
    <w:rsid w:val="00190F78"/>
    <w:rsid w:val="00195262"/>
    <w:rsid w:val="00197FA6"/>
    <w:rsid w:val="001A3191"/>
    <w:rsid w:val="001A5388"/>
    <w:rsid w:val="001A6684"/>
    <w:rsid w:val="001B0616"/>
    <w:rsid w:val="001B36CC"/>
    <w:rsid w:val="001B44C3"/>
    <w:rsid w:val="001C63DE"/>
    <w:rsid w:val="001C70D1"/>
    <w:rsid w:val="001E4F0F"/>
    <w:rsid w:val="001F09B0"/>
    <w:rsid w:val="001F712C"/>
    <w:rsid w:val="00217B2E"/>
    <w:rsid w:val="00224307"/>
    <w:rsid w:val="002340E9"/>
    <w:rsid w:val="00236A97"/>
    <w:rsid w:val="00265139"/>
    <w:rsid w:val="00280294"/>
    <w:rsid w:val="002813E6"/>
    <w:rsid w:val="002834FF"/>
    <w:rsid w:val="002910AB"/>
    <w:rsid w:val="00295829"/>
    <w:rsid w:val="002A0841"/>
    <w:rsid w:val="002A0EC9"/>
    <w:rsid w:val="002B285E"/>
    <w:rsid w:val="002C1089"/>
    <w:rsid w:val="002C6F4F"/>
    <w:rsid w:val="002D447D"/>
    <w:rsid w:val="002D53F6"/>
    <w:rsid w:val="002E3F38"/>
    <w:rsid w:val="002E6743"/>
    <w:rsid w:val="00306B69"/>
    <w:rsid w:val="00312E7D"/>
    <w:rsid w:val="00315B5A"/>
    <w:rsid w:val="003212EF"/>
    <w:rsid w:val="00327A5F"/>
    <w:rsid w:val="00337B1A"/>
    <w:rsid w:val="00341AB0"/>
    <w:rsid w:val="00342EE4"/>
    <w:rsid w:val="0034388F"/>
    <w:rsid w:val="003455C9"/>
    <w:rsid w:val="00345E91"/>
    <w:rsid w:val="00346F8F"/>
    <w:rsid w:val="00354AE3"/>
    <w:rsid w:val="00354DF9"/>
    <w:rsid w:val="0035631A"/>
    <w:rsid w:val="003714DD"/>
    <w:rsid w:val="00387D3F"/>
    <w:rsid w:val="0039773B"/>
    <w:rsid w:val="003A2532"/>
    <w:rsid w:val="003A3832"/>
    <w:rsid w:val="003B5D87"/>
    <w:rsid w:val="003B712C"/>
    <w:rsid w:val="003B7739"/>
    <w:rsid w:val="003C6024"/>
    <w:rsid w:val="003D5AD2"/>
    <w:rsid w:val="003D6E5F"/>
    <w:rsid w:val="003E0026"/>
    <w:rsid w:val="003E2790"/>
    <w:rsid w:val="003E405F"/>
    <w:rsid w:val="003F19DB"/>
    <w:rsid w:val="003F2BA3"/>
    <w:rsid w:val="004006A3"/>
    <w:rsid w:val="00410101"/>
    <w:rsid w:val="0041049F"/>
    <w:rsid w:val="00412D40"/>
    <w:rsid w:val="00421CF7"/>
    <w:rsid w:val="004308F2"/>
    <w:rsid w:val="00433766"/>
    <w:rsid w:val="0043593E"/>
    <w:rsid w:val="004544E2"/>
    <w:rsid w:val="004578F7"/>
    <w:rsid w:val="004615F9"/>
    <w:rsid w:val="00472F84"/>
    <w:rsid w:val="00480972"/>
    <w:rsid w:val="00494972"/>
    <w:rsid w:val="004A4A77"/>
    <w:rsid w:val="004A538A"/>
    <w:rsid w:val="004B0F08"/>
    <w:rsid w:val="004B13E2"/>
    <w:rsid w:val="004B3FB2"/>
    <w:rsid w:val="004B538B"/>
    <w:rsid w:val="004C0C24"/>
    <w:rsid w:val="004C6B88"/>
    <w:rsid w:val="004D0C6A"/>
    <w:rsid w:val="004D6A08"/>
    <w:rsid w:val="004E2B5E"/>
    <w:rsid w:val="004F1A17"/>
    <w:rsid w:val="004F1F0A"/>
    <w:rsid w:val="004F44FE"/>
    <w:rsid w:val="005013E9"/>
    <w:rsid w:val="005153F4"/>
    <w:rsid w:val="005234E3"/>
    <w:rsid w:val="00530BB4"/>
    <w:rsid w:val="0053785A"/>
    <w:rsid w:val="005571D0"/>
    <w:rsid w:val="00563078"/>
    <w:rsid w:val="00594CE9"/>
    <w:rsid w:val="00594F9E"/>
    <w:rsid w:val="005A4393"/>
    <w:rsid w:val="005A6059"/>
    <w:rsid w:val="005B4E46"/>
    <w:rsid w:val="005B53C8"/>
    <w:rsid w:val="005B5D25"/>
    <w:rsid w:val="005B66A1"/>
    <w:rsid w:val="005B6EBB"/>
    <w:rsid w:val="005C4679"/>
    <w:rsid w:val="005D35A5"/>
    <w:rsid w:val="005D6657"/>
    <w:rsid w:val="005E1707"/>
    <w:rsid w:val="005E364B"/>
    <w:rsid w:val="005F2A29"/>
    <w:rsid w:val="005F499D"/>
    <w:rsid w:val="005F7EB9"/>
    <w:rsid w:val="00610995"/>
    <w:rsid w:val="0061366F"/>
    <w:rsid w:val="006148E7"/>
    <w:rsid w:val="006170FA"/>
    <w:rsid w:val="006215E9"/>
    <w:rsid w:val="00632BF1"/>
    <w:rsid w:val="006422FB"/>
    <w:rsid w:val="0064346E"/>
    <w:rsid w:val="00651528"/>
    <w:rsid w:val="0065535C"/>
    <w:rsid w:val="00657ED5"/>
    <w:rsid w:val="006631E7"/>
    <w:rsid w:val="0066765F"/>
    <w:rsid w:val="00674C91"/>
    <w:rsid w:val="00676030"/>
    <w:rsid w:val="006839F1"/>
    <w:rsid w:val="006910EE"/>
    <w:rsid w:val="00695AC4"/>
    <w:rsid w:val="00696CCD"/>
    <w:rsid w:val="006A46B4"/>
    <w:rsid w:val="006A5D8A"/>
    <w:rsid w:val="006B1EC1"/>
    <w:rsid w:val="006B6A05"/>
    <w:rsid w:val="006D4FA5"/>
    <w:rsid w:val="006E162C"/>
    <w:rsid w:val="006E23F8"/>
    <w:rsid w:val="006E310F"/>
    <w:rsid w:val="006F26FC"/>
    <w:rsid w:val="0070042E"/>
    <w:rsid w:val="00714EDB"/>
    <w:rsid w:val="00723536"/>
    <w:rsid w:val="00726AA5"/>
    <w:rsid w:val="00727E67"/>
    <w:rsid w:val="007346B3"/>
    <w:rsid w:val="00735C2F"/>
    <w:rsid w:val="00741301"/>
    <w:rsid w:val="0074268B"/>
    <w:rsid w:val="00743F0E"/>
    <w:rsid w:val="00747661"/>
    <w:rsid w:val="00755C34"/>
    <w:rsid w:val="007620E9"/>
    <w:rsid w:val="0076497C"/>
    <w:rsid w:val="00766DD3"/>
    <w:rsid w:val="007675DC"/>
    <w:rsid w:val="00767D69"/>
    <w:rsid w:val="007709D0"/>
    <w:rsid w:val="00771BFC"/>
    <w:rsid w:val="00775539"/>
    <w:rsid w:val="00776061"/>
    <w:rsid w:val="00781519"/>
    <w:rsid w:val="0078189D"/>
    <w:rsid w:val="00782D07"/>
    <w:rsid w:val="00791A65"/>
    <w:rsid w:val="00794E8D"/>
    <w:rsid w:val="00795C75"/>
    <w:rsid w:val="00796A61"/>
    <w:rsid w:val="007B71E3"/>
    <w:rsid w:val="007C3535"/>
    <w:rsid w:val="007C4894"/>
    <w:rsid w:val="007D4127"/>
    <w:rsid w:val="007E77D5"/>
    <w:rsid w:val="007E7C45"/>
    <w:rsid w:val="007F58EB"/>
    <w:rsid w:val="00800BED"/>
    <w:rsid w:val="0081638F"/>
    <w:rsid w:val="0082064C"/>
    <w:rsid w:val="00836646"/>
    <w:rsid w:val="0083676E"/>
    <w:rsid w:val="00842BEE"/>
    <w:rsid w:val="00842D34"/>
    <w:rsid w:val="0085296F"/>
    <w:rsid w:val="00853409"/>
    <w:rsid w:val="00881E6E"/>
    <w:rsid w:val="008824E1"/>
    <w:rsid w:val="008836A6"/>
    <w:rsid w:val="00884A03"/>
    <w:rsid w:val="00885E25"/>
    <w:rsid w:val="00893144"/>
    <w:rsid w:val="00897F15"/>
    <w:rsid w:val="008A08A8"/>
    <w:rsid w:val="008A3BC9"/>
    <w:rsid w:val="008A6887"/>
    <w:rsid w:val="008B43AE"/>
    <w:rsid w:val="008B5A28"/>
    <w:rsid w:val="008C1811"/>
    <w:rsid w:val="008C1C5C"/>
    <w:rsid w:val="008D2813"/>
    <w:rsid w:val="008E23CB"/>
    <w:rsid w:val="008E794B"/>
    <w:rsid w:val="008E7FAD"/>
    <w:rsid w:val="008F2989"/>
    <w:rsid w:val="008F3094"/>
    <w:rsid w:val="008F6942"/>
    <w:rsid w:val="008F6B30"/>
    <w:rsid w:val="0090481C"/>
    <w:rsid w:val="0091107C"/>
    <w:rsid w:val="00912F41"/>
    <w:rsid w:val="009259BD"/>
    <w:rsid w:val="00935CE0"/>
    <w:rsid w:val="00946545"/>
    <w:rsid w:val="009549E2"/>
    <w:rsid w:val="00963017"/>
    <w:rsid w:val="00972804"/>
    <w:rsid w:val="00981632"/>
    <w:rsid w:val="00986544"/>
    <w:rsid w:val="00997FD7"/>
    <w:rsid w:val="009B0BCB"/>
    <w:rsid w:val="009B5843"/>
    <w:rsid w:val="009B5F22"/>
    <w:rsid w:val="009C601C"/>
    <w:rsid w:val="009D7E1A"/>
    <w:rsid w:val="009E6DF9"/>
    <w:rsid w:val="009F1459"/>
    <w:rsid w:val="009F5995"/>
    <w:rsid w:val="00A02540"/>
    <w:rsid w:val="00A03CA2"/>
    <w:rsid w:val="00A06EEA"/>
    <w:rsid w:val="00A161BA"/>
    <w:rsid w:val="00A20A83"/>
    <w:rsid w:val="00A3004A"/>
    <w:rsid w:val="00A33678"/>
    <w:rsid w:val="00A35218"/>
    <w:rsid w:val="00A4456E"/>
    <w:rsid w:val="00A4651F"/>
    <w:rsid w:val="00A470AA"/>
    <w:rsid w:val="00A70ABC"/>
    <w:rsid w:val="00A95BE6"/>
    <w:rsid w:val="00AA4399"/>
    <w:rsid w:val="00AC34E7"/>
    <w:rsid w:val="00AD5A1F"/>
    <w:rsid w:val="00AD61E7"/>
    <w:rsid w:val="00AF08ED"/>
    <w:rsid w:val="00AF5526"/>
    <w:rsid w:val="00B05CF1"/>
    <w:rsid w:val="00B109DF"/>
    <w:rsid w:val="00B12AB1"/>
    <w:rsid w:val="00B1558E"/>
    <w:rsid w:val="00B246DC"/>
    <w:rsid w:val="00B3145D"/>
    <w:rsid w:val="00B34311"/>
    <w:rsid w:val="00B3573C"/>
    <w:rsid w:val="00B36B11"/>
    <w:rsid w:val="00B43607"/>
    <w:rsid w:val="00B46CE5"/>
    <w:rsid w:val="00B766FA"/>
    <w:rsid w:val="00B80DF7"/>
    <w:rsid w:val="00B82E7A"/>
    <w:rsid w:val="00B84E4D"/>
    <w:rsid w:val="00B86498"/>
    <w:rsid w:val="00B920FD"/>
    <w:rsid w:val="00B94684"/>
    <w:rsid w:val="00BA14B4"/>
    <w:rsid w:val="00BA6943"/>
    <w:rsid w:val="00BB0B2B"/>
    <w:rsid w:val="00BB4865"/>
    <w:rsid w:val="00BB77A7"/>
    <w:rsid w:val="00BC099A"/>
    <w:rsid w:val="00BC3807"/>
    <w:rsid w:val="00BC4251"/>
    <w:rsid w:val="00BD0C92"/>
    <w:rsid w:val="00BD4B0A"/>
    <w:rsid w:val="00BD7B4E"/>
    <w:rsid w:val="00BE1D7B"/>
    <w:rsid w:val="00BE70DB"/>
    <w:rsid w:val="00BF2585"/>
    <w:rsid w:val="00C06447"/>
    <w:rsid w:val="00C13469"/>
    <w:rsid w:val="00C161E2"/>
    <w:rsid w:val="00C226A7"/>
    <w:rsid w:val="00C22E6D"/>
    <w:rsid w:val="00C23401"/>
    <w:rsid w:val="00C245CB"/>
    <w:rsid w:val="00C25FB0"/>
    <w:rsid w:val="00C309A0"/>
    <w:rsid w:val="00C40D4A"/>
    <w:rsid w:val="00C44E7C"/>
    <w:rsid w:val="00C5622A"/>
    <w:rsid w:val="00C60149"/>
    <w:rsid w:val="00C80CDB"/>
    <w:rsid w:val="00C83C5D"/>
    <w:rsid w:val="00C84B19"/>
    <w:rsid w:val="00C85225"/>
    <w:rsid w:val="00C873E6"/>
    <w:rsid w:val="00C87C5B"/>
    <w:rsid w:val="00C911D1"/>
    <w:rsid w:val="00CB7210"/>
    <w:rsid w:val="00CD1585"/>
    <w:rsid w:val="00CF738B"/>
    <w:rsid w:val="00D007B2"/>
    <w:rsid w:val="00D05062"/>
    <w:rsid w:val="00D12F76"/>
    <w:rsid w:val="00D21325"/>
    <w:rsid w:val="00D52E96"/>
    <w:rsid w:val="00D5575D"/>
    <w:rsid w:val="00D62980"/>
    <w:rsid w:val="00D6458A"/>
    <w:rsid w:val="00D66C10"/>
    <w:rsid w:val="00D75BFF"/>
    <w:rsid w:val="00D83876"/>
    <w:rsid w:val="00D91C90"/>
    <w:rsid w:val="00D9669D"/>
    <w:rsid w:val="00DA3303"/>
    <w:rsid w:val="00DA3918"/>
    <w:rsid w:val="00DA6D51"/>
    <w:rsid w:val="00DB51CE"/>
    <w:rsid w:val="00DB5215"/>
    <w:rsid w:val="00DB7800"/>
    <w:rsid w:val="00DC4E7E"/>
    <w:rsid w:val="00DD257E"/>
    <w:rsid w:val="00DD59E8"/>
    <w:rsid w:val="00DE29D5"/>
    <w:rsid w:val="00DF0CF3"/>
    <w:rsid w:val="00DF314C"/>
    <w:rsid w:val="00DF4F46"/>
    <w:rsid w:val="00DF70FF"/>
    <w:rsid w:val="00DF7437"/>
    <w:rsid w:val="00E02592"/>
    <w:rsid w:val="00E02E40"/>
    <w:rsid w:val="00E035B5"/>
    <w:rsid w:val="00E155C5"/>
    <w:rsid w:val="00E3250E"/>
    <w:rsid w:val="00E34163"/>
    <w:rsid w:val="00E35537"/>
    <w:rsid w:val="00E508BB"/>
    <w:rsid w:val="00E50959"/>
    <w:rsid w:val="00E51978"/>
    <w:rsid w:val="00E60832"/>
    <w:rsid w:val="00E67EC3"/>
    <w:rsid w:val="00E718EF"/>
    <w:rsid w:val="00E813A8"/>
    <w:rsid w:val="00E8669A"/>
    <w:rsid w:val="00E903AA"/>
    <w:rsid w:val="00E94DF2"/>
    <w:rsid w:val="00E96B24"/>
    <w:rsid w:val="00E97351"/>
    <w:rsid w:val="00EA2951"/>
    <w:rsid w:val="00EA7351"/>
    <w:rsid w:val="00EB0D2D"/>
    <w:rsid w:val="00EB567E"/>
    <w:rsid w:val="00EB5B60"/>
    <w:rsid w:val="00EC2933"/>
    <w:rsid w:val="00EC335E"/>
    <w:rsid w:val="00EC6107"/>
    <w:rsid w:val="00EC6394"/>
    <w:rsid w:val="00EC68B7"/>
    <w:rsid w:val="00EC7EE2"/>
    <w:rsid w:val="00ED0F80"/>
    <w:rsid w:val="00ED290A"/>
    <w:rsid w:val="00EE22DB"/>
    <w:rsid w:val="00EF581A"/>
    <w:rsid w:val="00F00EB1"/>
    <w:rsid w:val="00F12D1E"/>
    <w:rsid w:val="00F21F74"/>
    <w:rsid w:val="00F27D7E"/>
    <w:rsid w:val="00F44D39"/>
    <w:rsid w:val="00F45D2E"/>
    <w:rsid w:val="00F46E01"/>
    <w:rsid w:val="00F52A7A"/>
    <w:rsid w:val="00F535EC"/>
    <w:rsid w:val="00F548FE"/>
    <w:rsid w:val="00F67175"/>
    <w:rsid w:val="00F707CA"/>
    <w:rsid w:val="00F71685"/>
    <w:rsid w:val="00F8125B"/>
    <w:rsid w:val="00F845CD"/>
    <w:rsid w:val="00F91997"/>
    <w:rsid w:val="00FA77E8"/>
    <w:rsid w:val="00FB10A5"/>
    <w:rsid w:val="00FB2A13"/>
    <w:rsid w:val="00FB7F90"/>
    <w:rsid w:val="00FC041A"/>
    <w:rsid w:val="00FC277B"/>
    <w:rsid w:val="00FC67E7"/>
    <w:rsid w:val="00FC6BD7"/>
    <w:rsid w:val="00FD030A"/>
    <w:rsid w:val="00FD51A4"/>
    <w:rsid w:val="00FD5CE3"/>
    <w:rsid w:val="00FD74B9"/>
    <w:rsid w:val="00FE4935"/>
    <w:rsid w:val="00FF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B4D7B"/>
  <w15:chartTrackingRefBased/>
  <w15:docId w15:val="{6D8E6B59-B572-4EC9-9DB4-A7FA7E01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75D"/>
    <w:pPr>
      <w:keepNext/>
      <w:keepLines/>
      <w:numPr>
        <w:numId w:val="2"/>
      </w:numPr>
      <w:spacing w:before="240" w:after="0"/>
      <w:outlineLvl w:val="0"/>
    </w:pPr>
    <w:rPr>
      <w:rFonts w:asciiTheme="majorHAnsi" w:eastAsiaTheme="majorEastAsia" w:hAnsiTheme="majorHAnsi" w:cstheme="majorBidi"/>
      <w:color w:val="873168"/>
      <w:sz w:val="32"/>
      <w:szCs w:val="32"/>
    </w:rPr>
  </w:style>
  <w:style w:type="paragraph" w:styleId="Heading2">
    <w:name w:val="heading 2"/>
    <w:basedOn w:val="Normal"/>
    <w:next w:val="Normal"/>
    <w:link w:val="Heading2Char"/>
    <w:uiPriority w:val="9"/>
    <w:unhideWhenUsed/>
    <w:qFormat/>
    <w:rsid w:val="00D5575D"/>
    <w:pPr>
      <w:keepNext/>
      <w:keepLines/>
      <w:numPr>
        <w:ilvl w:val="1"/>
        <w:numId w:val="2"/>
      </w:numPr>
      <w:spacing w:before="40" w:after="0"/>
      <w:outlineLvl w:val="1"/>
    </w:pPr>
    <w:rPr>
      <w:rFonts w:asciiTheme="majorHAnsi" w:eastAsiaTheme="majorEastAsia" w:hAnsiTheme="majorHAnsi" w:cstheme="majorBidi"/>
      <w:color w:val="873168"/>
      <w:sz w:val="26"/>
      <w:szCs w:val="26"/>
    </w:rPr>
  </w:style>
  <w:style w:type="paragraph" w:styleId="Heading3">
    <w:name w:val="heading 3"/>
    <w:basedOn w:val="Normal"/>
    <w:next w:val="Normal"/>
    <w:link w:val="Heading3Char"/>
    <w:uiPriority w:val="9"/>
    <w:unhideWhenUsed/>
    <w:qFormat/>
    <w:rsid w:val="00D5575D"/>
    <w:pPr>
      <w:keepNext/>
      <w:keepLines/>
      <w:numPr>
        <w:ilvl w:val="2"/>
        <w:numId w:val="2"/>
      </w:numPr>
      <w:spacing w:before="40" w:after="0"/>
      <w:outlineLvl w:val="2"/>
    </w:pPr>
    <w:rPr>
      <w:rFonts w:asciiTheme="majorHAnsi" w:eastAsiaTheme="majorEastAsia" w:hAnsiTheme="majorHAnsi" w:cstheme="majorBidi"/>
      <w:color w:val="873168"/>
      <w:sz w:val="24"/>
      <w:szCs w:val="24"/>
    </w:rPr>
  </w:style>
  <w:style w:type="paragraph" w:styleId="Heading4">
    <w:name w:val="heading 4"/>
    <w:basedOn w:val="Normal"/>
    <w:next w:val="Normal"/>
    <w:link w:val="Heading4Char"/>
    <w:uiPriority w:val="9"/>
    <w:semiHidden/>
    <w:unhideWhenUsed/>
    <w:qFormat/>
    <w:rsid w:val="00C245C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45C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45C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45C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45C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45C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75D"/>
    <w:rPr>
      <w:rFonts w:asciiTheme="majorHAnsi" w:eastAsiaTheme="majorEastAsia" w:hAnsiTheme="majorHAnsi" w:cstheme="majorBidi"/>
      <w:color w:val="873168"/>
      <w:sz w:val="32"/>
      <w:szCs w:val="32"/>
    </w:rPr>
  </w:style>
  <w:style w:type="character" w:customStyle="1" w:styleId="Heading2Char">
    <w:name w:val="Heading 2 Char"/>
    <w:basedOn w:val="DefaultParagraphFont"/>
    <w:link w:val="Heading2"/>
    <w:uiPriority w:val="9"/>
    <w:rsid w:val="00D5575D"/>
    <w:rPr>
      <w:rFonts w:asciiTheme="majorHAnsi" w:eastAsiaTheme="majorEastAsia" w:hAnsiTheme="majorHAnsi" w:cstheme="majorBidi"/>
      <w:color w:val="873168"/>
      <w:sz w:val="26"/>
      <w:szCs w:val="26"/>
    </w:rPr>
  </w:style>
  <w:style w:type="character" w:customStyle="1" w:styleId="Heading3Char">
    <w:name w:val="Heading 3 Char"/>
    <w:basedOn w:val="DefaultParagraphFont"/>
    <w:link w:val="Heading3"/>
    <w:uiPriority w:val="9"/>
    <w:rsid w:val="00D5575D"/>
    <w:rPr>
      <w:rFonts w:asciiTheme="majorHAnsi" w:eastAsiaTheme="majorEastAsia" w:hAnsiTheme="majorHAnsi" w:cstheme="majorBidi"/>
      <w:color w:val="873168"/>
      <w:sz w:val="24"/>
      <w:szCs w:val="24"/>
    </w:rPr>
  </w:style>
  <w:style w:type="character" w:styleId="IntenseEmphasis">
    <w:name w:val="Intense Emphasis"/>
    <w:basedOn w:val="DefaultParagraphFont"/>
    <w:uiPriority w:val="21"/>
    <w:qFormat/>
    <w:rsid w:val="00D5575D"/>
    <w:rPr>
      <w:i/>
      <w:iCs/>
      <w:color w:val="873168"/>
    </w:rPr>
  </w:style>
  <w:style w:type="paragraph" w:styleId="IntenseQuote">
    <w:name w:val="Intense Quote"/>
    <w:basedOn w:val="Normal"/>
    <w:next w:val="Normal"/>
    <w:link w:val="IntenseQuoteChar"/>
    <w:uiPriority w:val="30"/>
    <w:qFormat/>
    <w:rsid w:val="00D5575D"/>
    <w:pPr>
      <w:pBdr>
        <w:top w:val="single" w:sz="4" w:space="10" w:color="4472C4" w:themeColor="accent1"/>
        <w:bottom w:val="single" w:sz="4" w:space="10" w:color="4472C4" w:themeColor="accent1"/>
      </w:pBdr>
      <w:spacing w:before="360" w:after="360"/>
      <w:ind w:left="864" w:right="864"/>
      <w:jc w:val="center"/>
    </w:pPr>
    <w:rPr>
      <w:i/>
      <w:iCs/>
      <w:color w:val="873168"/>
    </w:rPr>
  </w:style>
  <w:style w:type="character" w:customStyle="1" w:styleId="IntenseQuoteChar">
    <w:name w:val="Intense Quote Char"/>
    <w:basedOn w:val="DefaultParagraphFont"/>
    <w:link w:val="IntenseQuote"/>
    <w:uiPriority w:val="30"/>
    <w:rsid w:val="00D5575D"/>
    <w:rPr>
      <w:i/>
      <w:iCs/>
      <w:color w:val="873168"/>
    </w:rPr>
  </w:style>
  <w:style w:type="character" w:styleId="IntenseReference">
    <w:name w:val="Intense Reference"/>
    <w:basedOn w:val="DefaultParagraphFont"/>
    <w:uiPriority w:val="32"/>
    <w:qFormat/>
    <w:rsid w:val="00D5575D"/>
    <w:rPr>
      <w:b/>
      <w:bCs/>
      <w:smallCaps/>
      <w:color w:val="873168"/>
      <w:spacing w:val="5"/>
    </w:rPr>
  </w:style>
  <w:style w:type="paragraph" w:styleId="NoSpacing">
    <w:name w:val="No Spacing"/>
    <w:link w:val="NoSpacingChar"/>
    <w:uiPriority w:val="1"/>
    <w:qFormat/>
    <w:rsid w:val="00D5575D"/>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D5575D"/>
    <w:rPr>
      <w:rFonts w:eastAsiaTheme="minorEastAsia"/>
      <w:kern w:val="0"/>
      <w:lang w:val="en-US"/>
      <w14:ligatures w14:val="none"/>
    </w:rPr>
  </w:style>
  <w:style w:type="paragraph" w:styleId="Header">
    <w:name w:val="header"/>
    <w:basedOn w:val="Normal"/>
    <w:link w:val="HeaderChar"/>
    <w:uiPriority w:val="99"/>
    <w:unhideWhenUsed/>
    <w:rsid w:val="00DD5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9E8"/>
  </w:style>
  <w:style w:type="paragraph" w:styleId="Footer">
    <w:name w:val="footer"/>
    <w:basedOn w:val="Normal"/>
    <w:link w:val="FooterChar"/>
    <w:uiPriority w:val="99"/>
    <w:unhideWhenUsed/>
    <w:rsid w:val="00DD5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9E8"/>
  </w:style>
  <w:style w:type="paragraph" w:styleId="BodyText">
    <w:name w:val="Body Text"/>
    <w:basedOn w:val="Normal"/>
    <w:link w:val="BodyTextChar"/>
    <w:uiPriority w:val="1"/>
    <w:qFormat/>
    <w:rsid w:val="00DD59E8"/>
    <w:pPr>
      <w:widowControl w:val="0"/>
      <w:autoSpaceDE w:val="0"/>
      <w:autoSpaceDN w:val="0"/>
      <w:spacing w:after="0" w:line="240" w:lineRule="auto"/>
    </w:pPr>
    <w:rPr>
      <w:rFonts w:eastAsia="Arial" w:cs="Arial"/>
      <w:kern w:val="0"/>
      <w:lang w:val="en-US"/>
      <w14:ligatures w14:val="none"/>
    </w:rPr>
  </w:style>
  <w:style w:type="character" w:customStyle="1" w:styleId="BodyTextChar">
    <w:name w:val="Body Text Char"/>
    <w:basedOn w:val="DefaultParagraphFont"/>
    <w:link w:val="BodyText"/>
    <w:uiPriority w:val="1"/>
    <w:rsid w:val="00DD59E8"/>
    <w:rPr>
      <w:rFonts w:eastAsia="Arial" w:cs="Arial"/>
      <w:kern w:val="0"/>
      <w:lang w:val="en-US"/>
      <w14:ligatures w14:val="none"/>
    </w:rPr>
  </w:style>
  <w:style w:type="table" w:styleId="TableGrid">
    <w:name w:val="Table Grid"/>
    <w:basedOn w:val="TableNormal"/>
    <w:uiPriority w:val="39"/>
    <w:rsid w:val="00DD59E8"/>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59E8"/>
    <w:pPr>
      <w:outlineLvl w:val="9"/>
    </w:pPr>
    <w:rPr>
      <w:kern w:val="0"/>
      <w:lang w:val="en-US"/>
      <w14:ligatures w14:val="none"/>
    </w:rPr>
  </w:style>
  <w:style w:type="paragraph" w:styleId="TOC1">
    <w:name w:val="toc 1"/>
    <w:basedOn w:val="Normal"/>
    <w:next w:val="Normal"/>
    <w:autoRedefine/>
    <w:uiPriority w:val="39"/>
    <w:unhideWhenUsed/>
    <w:rsid w:val="00DD59E8"/>
    <w:pPr>
      <w:spacing w:after="100"/>
    </w:pPr>
  </w:style>
  <w:style w:type="paragraph" w:styleId="TOC2">
    <w:name w:val="toc 2"/>
    <w:basedOn w:val="Normal"/>
    <w:next w:val="Normal"/>
    <w:autoRedefine/>
    <w:uiPriority w:val="39"/>
    <w:unhideWhenUsed/>
    <w:rsid w:val="00DD59E8"/>
    <w:pPr>
      <w:spacing w:after="100"/>
      <w:ind w:left="220"/>
    </w:pPr>
  </w:style>
  <w:style w:type="character" w:styleId="Hyperlink">
    <w:name w:val="Hyperlink"/>
    <w:basedOn w:val="DefaultParagraphFont"/>
    <w:uiPriority w:val="99"/>
    <w:unhideWhenUsed/>
    <w:rsid w:val="00DD59E8"/>
    <w:rPr>
      <w:color w:val="0563C1" w:themeColor="hyperlink"/>
      <w:u w:val="single"/>
    </w:rPr>
  </w:style>
  <w:style w:type="character" w:styleId="PlaceholderText">
    <w:name w:val="Placeholder Text"/>
    <w:basedOn w:val="DefaultParagraphFont"/>
    <w:uiPriority w:val="99"/>
    <w:semiHidden/>
    <w:rsid w:val="00DD59E8"/>
    <w:rPr>
      <w:color w:val="808080"/>
    </w:rPr>
  </w:style>
  <w:style w:type="paragraph" w:styleId="ListParagraph">
    <w:name w:val="List Paragraph"/>
    <w:basedOn w:val="Normal"/>
    <w:uiPriority w:val="1"/>
    <w:qFormat/>
    <w:rsid w:val="00DD59E8"/>
    <w:pPr>
      <w:ind w:left="720"/>
      <w:contextualSpacing/>
    </w:pPr>
  </w:style>
  <w:style w:type="character" w:customStyle="1" w:styleId="Heading4Char">
    <w:name w:val="Heading 4 Char"/>
    <w:basedOn w:val="DefaultParagraphFont"/>
    <w:link w:val="Heading4"/>
    <w:uiPriority w:val="9"/>
    <w:semiHidden/>
    <w:rsid w:val="00C245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45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45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45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45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45CB"/>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D91C90"/>
    <w:pPr>
      <w:widowControl w:val="0"/>
      <w:autoSpaceDE w:val="0"/>
      <w:autoSpaceDN w:val="0"/>
      <w:spacing w:after="0" w:line="240" w:lineRule="auto"/>
      <w:ind w:left="107"/>
    </w:pPr>
    <w:rPr>
      <w:rFonts w:eastAsia="Arial" w:cs="Arial"/>
      <w:kern w:val="0"/>
      <w:lang w:val="en-US"/>
      <w14:ligatures w14:val="none"/>
    </w:rPr>
  </w:style>
  <w:style w:type="paragraph" w:styleId="TOC3">
    <w:name w:val="toc 3"/>
    <w:basedOn w:val="Normal"/>
    <w:next w:val="Normal"/>
    <w:autoRedefine/>
    <w:uiPriority w:val="39"/>
    <w:unhideWhenUsed/>
    <w:rsid w:val="008D2813"/>
    <w:pPr>
      <w:spacing w:after="100"/>
      <w:ind w:left="440"/>
    </w:pPr>
  </w:style>
  <w:style w:type="paragraph" w:styleId="TOC4">
    <w:name w:val="toc 4"/>
    <w:basedOn w:val="Normal"/>
    <w:next w:val="Normal"/>
    <w:autoRedefine/>
    <w:uiPriority w:val="39"/>
    <w:unhideWhenUsed/>
    <w:rsid w:val="008D2813"/>
    <w:pPr>
      <w:spacing w:after="100"/>
      <w:ind w:left="660"/>
    </w:pPr>
    <w:rPr>
      <w:rFonts w:eastAsiaTheme="minorEastAsia"/>
      <w:lang w:eastAsia="en-GB"/>
    </w:rPr>
  </w:style>
  <w:style w:type="paragraph" w:styleId="TOC5">
    <w:name w:val="toc 5"/>
    <w:basedOn w:val="Normal"/>
    <w:next w:val="Normal"/>
    <w:autoRedefine/>
    <w:uiPriority w:val="39"/>
    <w:unhideWhenUsed/>
    <w:rsid w:val="008D2813"/>
    <w:pPr>
      <w:spacing w:after="100"/>
      <w:ind w:left="880"/>
    </w:pPr>
    <w:rPr>
      <w:rFonts w:eastAsiaTheme="minorEastAsia"/>
      <w:lang w:eastAsia="en-GB"/>
    </w:rPr>
  </w:style>
  <w:style w:type="paragraph" w:styleId="TOC6">
    <w:name w:val="toc 6"/>
    <w:basedOn w:val="Normal"/>
    <w:next w:val="Normal"/>
    <w:autoRedefine/>
    <w:uiPriority w:val="39"/>
    <w:unhideWhenUsed/>
    <w:rsid w:val="008D2813"/>
    <w:pPr>
      <w:spacing w:after="100"/>
      <w:ind w:left="1100"/>
    </w:pPr>
    <w:rPr>
      <w:rFonts w:eastAsiaTheme="minorEastAsia"/>
      <w:lang w:eastAsia="en-GB"/>
    </w:rPr>
  </w:style>
  <w:style w:type="paragraph" w:styleId="TOC7">
    <w:name w:val="toc 7"/>
    <w:basedOn w:val="Normal"/>
    <w:next w:val="Normal"/>
    <w:autoRedefine/>
    <w:uiPriority w:val="39"/>
    <w:unhideWhenUsed/>
    <w:rsid w:val="008D2813"/>
    <w:pPr>
      <w:spacing w:after="100"/>
      <w:ind w:left="1320"/>
    </w:pPr>
    <w:rPr>
      <w:rFonts w:eastAsiaTheme="minorEastAsia"/>
      <w:lang w:eastAsia="en-GB"/>
    </w:rPr>
  </w:style>
  <w:style w:type="paragraph" w:styleId="TOC8">
    <w:name w:val="toc 8"/>
    <w:basedOn w:val="Normal"/>
    <w:next w:val="Normal"/>
    <w:autoRedefine/>
    <w:uiPriority w:val="39"/>
    <w:unhideWhenUsed/>
    <w:rsid w:val="008D2813"/>
    <w:pPr>
      <w:spacing w:after="100"/>
      <w:ind w:left="1540"/>
    </w:pPr>
    <w:rPr>
      <w:rFonts w:eastAsiaTheme="minorEastAsia"/>
      <w:lang w:eastAsia="en-GB"/>
    </w:rPr>
  </w:style>
  <w:style w:type="paragraph" w:styleId="TOC9">
    <w:name w:val="toc 9"/>
    <w:basedOn w:val="Normal"/>
    <w:next w:val="Normal"/>
    <w:autoRedefine/>
    <w:uiPriority w:val="39"/>
    <w:unhideWhenUsed/>
    <w:rsid w:val="008D2813"/>
    <w:pPr>
      <w:spacing w:after="100"/>
      <w:ind w:left="1760"/>
    </w:pPr>
    <w:rPr>
      <w:rFonts w:eastAsiaTheme="minorEastAsia"/>
      <w:lang w:eastAsia="en-GB"/>
    </w:rPr>
  </w:style>
  <w:style w:type="character" w:styleId="UnresolvedMention">
    <w:name w:val="Unresolved Mention"/>
    <w:basedOn w:val="DefaultParagraphFont"/>
    <w:uiPriority w:val="99"/>
    <w:semiHidden/>
    <w:unhideWhenUsed/>
    <w:rsid w:val="008D2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7A5450227C41A69AB0DB8CC6A07F54"/>
        <w:category>
          <w:name w:val="General"/>
          <w:gallery w:val="placeholder"/>
        </w:category>
        <w:types>
          <w:type w:val="bbPlcHdr"/>
        </w:types>
        <w:behaviors>
          <w:behavior w:val="content"/>
        </w:behaviors>
        <w:guid w:val="{A237E71E-9FF2-448F-B5C0-FAB338253506}"/>
      </w:docPartPr>
      <w:docPartBody>
        <w:p w:rsidR="00E67108" w:rsidRDefault="00E67108" w:rsidP="00E67108">
          <w:pPr>
            <w:pStyle w:val="897A5450227C41A69AB0DB8CC6A07F54"/>
          </w:pPr>
          <w:r w:rsidRPr="009367FF">
            <w:rPr>
              <w:rStyle w:val="PlaceholderText"/>
            </w:rPr>
            <w:t>[Title]</w:t>
          </w:r>
        </w:p>
      </w:docPartBody>
    </w:docPart>
    <w:docPart>
      <w:docPartPr>
        <w:name w:val="FA8A6473A1A64819B9DE6A3F70CCCD56"/>
        <w:category>
          <w:name w:val="General"/>
          <w:gallery w:val="placeholder"/>
        </w:category>
        <w:types>
          <w:type w:val="bbPlcHdr"/>
        </w:types>
        <w:behaviors>
          <w:behavior w:val="content"/>
        </w:behaviors>
        <w:guid w:val="{8FEC9E67-AB8A-495E-A3D8-F891D0A55885}"/>
      </w:docPartPr>
      <w:docPartBody>
        <w:p w:rsidR="00E67108" w:rsidRDefault="00E67108">
          <w:r w:rsidRPr="005A5DE1">
            <w:rPr>
              <w:rStyle w:val="PlaceholderText"/>
            </w:rPr>
            <w:t>[Title]</w:t>
          </w:r>
        </w:p>
      </w:docPartBody>
    </w:docPart>
    <w:docPart>
      <w:docPartPr>
        <w:name w:val="7354B16BDE624A14A32D651FDADF74AC"/>
        <w:category>
          <w:name w:val="General"/>
          <w:gallery w:val="placeholder"/>
        </w:category>
        <w:types>
          <w:type w:val="bbPlcHdr"/>
        </w:types>
        <w:behaviors>
          <w:behavior w:val="content"/>
        </w:behaviors>
        <w:guid w:val="{6672FBF4-2226-485F-9DDF-B7A6CF8BA603}"/>
      </w:docPartPr>
      <w:docPartBody>
        <w:p w:rsidR="00E67108" w:rsidRDefault="00E67108">
          <w:r w:rsidRPr="005A5DE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08"/>
    <w:rsid w:val="000633DF"/>
    <w:rsid w:val="009415C9"/>
    <w:rsid w:val="00BE2709"/>
    <w:rsid w:val="00E6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709"/>
    <w:rPr>
      <w:color w:val="808080"/>
    </w:rPr>
  </w:style>
  <w:style w:type="paragraph" w:customStyle="1" w:styleId="897A5450227C41A69AB0DB8CC6A07F54">
    <w:name w:val="897A5450227C41A69AB0DB8CC6A07F54"/>
    <w:rsid w:val="00E67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8" ma:contentTypeDescription="Create a new document." ma:contentTypeScope="" ma:versionID="348e4796161d0bef782c45111da2820e">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3cac90cf426cce673abb400c7a234509"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19AC8-8736-4761-8D47-B76DFD49C5D1}">
  <ds:schemaRefs>
    <ds:schemaRef ds:uri="http://schemas.microsoft.com/sharepoint/v3/contenttype/forms"/>
  </ds:schemaRefs>
</ds:datastoreItem>
</file>

<file path=customXml/itemProps2.xml><?xml version="1.0" encoding="utf-8"?>
<ds:datastoreItem xmlns:ds="http://schemas.openxmlformats.org/officeDocument/2006/customXml" ds:itemID="{92ED99FC-643E-4AB2-B1BC-4C20C74CF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ADF53-78AA-4AF9-A2E3-3A5B031989F0}">
  <ds:schemaRefs>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 ds:uri="c8d7b1bf-4362-4eea-a92e-1c6dbb8a1b96"/>
    <ds:schemaRef ds:uri="http://schemas.microsoft.com/office/2006/documentManagement/types"/>
    <ds:schemaRef ds:uri="1010516c-b40c-4f37-b361-6de034d1bbc3"/>
    <ds:schemaRef ds:uri="http://schemas.microsoft.com/office/infopath/2007/PartnerControls"/>
  </ds:schemaRefs>
</ds:datastoreItem>
</file>

<file path=customXml/itemProps4.xml><?xml version="1.0" encoding="utf-8"?>
<ds:datastoreItem xmlns:ds="http://schemas.openxmlformats.org/officeDocument/2006/customXml" ds:itemID="{19B8A0C5-9F04-4ABC-9307-A0EFA00C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Capability Policy – Support Staff</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POLICY &amp; PROCEDURE – SUPPORT STAFF</dc:title>
  <dc:subject/>
  <dc:creator>Andy Argile</dc:creator>
  <cp:keywords>CAPABILITY POLICY &amp; PROCEDURE – SUPPORT STAFF</cp:keywords>
  <dc:description/>
  <cp:lastModifiedBy>Colin Watson</cp:lastModifiedBy>
  <cp:revision>2</cp:revision>
  <dcterms:created xsi:type="dcterms:W3CDTF">2024-03-04T11:25:00Z</dcterms:created>
  <dcterms:modified xsi:type="dcterms:W3CDTF">2024-03-04T11:25:00Z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y fmtid="{D5CDD505-2E9C-101B-9397-08002B2CF9AE}" pid="3" name="xd_ProgID">
    <vt:lpwstr/>
  </property>
  <property fmtid="{D5CDD505-2E9C-101B-9397-08002B2CF9AE}" pid="4" name="ComplianceAssetId">
    <vt:lpwstr/>
  </property>
  <property fmtid="{D5CDD505-2E9C-101B-9397-08002B2CF9AE}" pid="5" name="Statutory">
    <vt:bool>true</vt:bool>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Workedonby">
    <vt:lpwstr>6;#Argile, Andy</vt:lpwstr>
  </property>
  <property fmtid="{D5CDD505-2E9C-101B-9397-08002B2CF9AE}" pid="10" name="xd_Signature">
    <vt:bool>false</vt:bool>
  </property>
  <property fmtid="{D5CDD505-2E9C-101B-9397-08002B2CF9AE}" pid="11" name="AnArCoWaStatus">
    <vt:lpwstr>Complete and checked</vt:lpwstr>
  </property>
</Properties>
</file>