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spacing w:before="0" w:beforeAutospacing="0"/>
        <w:rPr>
          <w:rFonts w:ascii="Arial" w:hAnsi="Arial" w:cs="Arial"/>
          <w:b/>
        </w:rPr>
      </w:pPr>
      <w:r>
        <w:rPr>
          <w:rFonts w:ascii="Arial" w:hAnsi="Arial" w:cs="Arial"/>
          <w:b/>
        </w:rPr>
        <w:t>Coronavirus Catch-Up</w:t>
      </w:r>
      <w:bookmarkStart w:id="0" w:name="_GoBack"/>
      <w:bookmarkEnd w:id="0"/>
      <w:r>
        <w:rPr>
          <w:rFonts w:ascii="Arial" w:hAnsi="Arial" w:cs="Arial"/>
          <w:b/>
        </w:rPr>
        <w:t xml:space="preserve"> Funding Statement</w:t>
      </w:r>
    </w:p>
    <w:p>
      <w:pPr>
        <w:pStyle w:val="NormalWeb"/>
        <w:shd w:val="clear" w:color="auto" w:fill="FFFFFF"/>
        <w:spacing w:before="0" w:beforeAutospacing="0"/>
        <w:rPr>
          <w:rFonts w:ascii="Arial" w:hAnsi="Arial" w:cs="Arial"/>
          <w:sz w:val="22"/>
          <w:szCs w:val="22"/>
        </w:rPr>
      </w:pPr>
      <w:r>
        <w:rPr>
          <w:rFonts w:ascii="Arial" w:hAnsi="Arial" w:cs="Arial"/>
          <w:sz w:val="22"/>
          <w:szCs w:val="22"/>
        </w:rPr>
        <w:t>The government is providing funding to cover a one-off universal catch-up premium for the 2020 to 2021 academic year. </w:t>
      </w:r>
    </w:p>
    <w:p>
      <w:pPr>
        <w:pStyle w:val="NormalWeb"/>
        <w:shd w:val="clear" w:color="auto" w:fill="FFFFFF"/>
        <w:spacing w:before="0" w:beforeAutospacing="0"/>
        <w:rPr>
          <w:rFonts w:ascii="Arial" w:hAnsi="Arial" w:cs="Arial"/>
          <w:sz w:val="22"/>
          <w:szCs w:val="22"/>
        </w:rPr>
      </w:pPr>
      <w:r>
        <w:rPr>
          <w:rFonts w:ascii="Arial" w:hAnsi="Arial" w:cs="Arial"/>
          <w:sz w:val="22"/>
          <w:szCs w:val="22"/>
        </w:rPr>
        <w:t>It aims to support pupils to catch up for lost learning so schools can meet the curriculum expectations for the next academic year. </w:t>
      </w:r>
    </w:p>
    <w:p>
      <w:pPr>
        <w:pStyle w:val="2Subheadpink"/>
        <w:rPr>
          <w:noProof/>
          <w:color w:val="auto"/>
          <w:sz w:val="24"/>
          <w:szCs w:val="24"/>
        </w:rPr>
      </w:pPr>
      <w:r>
        <w:rPr>
          <w:noProof/>
          <w:color w:val="auto"/>
          <w:sz w:val="24"/>
          <w:szCs w:val="24"/>
        </w:rPr>
        <w:t>COVID-19 catch-up premium spending: summary</w:t>
      </w:r>
    </w:p>
    <w:p>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44"/>
        <w:gridCol w:w="1842"/>
        <w:gridCol w:w="2992"/>
        <w:gridCol w:w="1430"/>
      </w:tblGrid>
      <w:tr>
        <w:trPr>
          <w:cantSplit/>
          <w:tblHeader/>
        </w:trPr>
        <w:tc>
          <w:tcPr>
            <w:tcW w:w="8908"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pPr>
              <w:pStyle w:val="1bodycopy"/>
              <w:spacing w:after="0"/>
              <w:rPr>
                <w:caps/>
              </w:rPr>
            </w:pPr>
            <w:r>
              <w:rPr>
                <w:caps/>
              </w:rPr>
              <w:t>summary information</w:t>
            </w:r>
          </w:p>
        </w:tc>
      </w:tr>
      <w:tr>
        <w:trPr>
          <w:cantSplit/>
        </w:trPr>
        <w:tc>
          <w:tcPr>
            <w:tcW w:w="2644" w:type="dxa"/>
            <w:shd w:val="clear" w:color="auto" w:fill="auto"/>
            <w:tcMar>
              <w:top w:w="113" w:type="dxa"/>
              <w:bottom w:w="113" w:type="dxa"/>
            </w:tcMar>
          </w:tcPr>
          <w:p>
            <w:pPr>
              <w:pStyle w:val="7Tablebodycopy"/>
            </w:pPr>
            <w:r>
              <w:t>Hope High School</w:t>
            </w:r>
          </w:p>
        </w:tc>
        <w:tc>
          <w:tcPr>
            <w:tcW w:w="1842" w:type="dxa"/>
            <w:shd w:val="clear" w:color="auto" w:fill="auto"/>
            <w:tcMar>
              <w:top w:w="113" w:type="dxa"/>
              <w:bottom w:w="113" w:type="dxa"/>
            </w:tcMar>
          </w:tcPr>
          <w:p>
            <w:pPr>
              <w:pStyle w:val="7Tablebodycopy"/>
            </w:pPr>
            <w:r>
              <w:t>SEMH</w:t>
            </w:r>
          </w:p>
        </w:tc>
        <w:tc>
          <w:tcPr>
            <w:tcW w:w="2992" w:type="dxa"/>
          </w:tcPr>
          <w:p>
            <w:pPr>
              <w:pStyle w:val="7Tablebodycopy"/>
            </w:pPr>
            <w:r>
              <w:t>Amount of catch-up premium received per pupil:</w:t>
            </w:r>
          </w:p>
        </w:tc>
        <w:tc>
          <w:tcPr>
            <w:tcW w:w="1430" w:type="dxa"/>
            <w:shd w:val="clear" w:color="auto" w:fill="auto"/>
            <w:tcMar>
              <w:top w:w="113" w:type="dxa"/>
              <w:bottom w:w="113" w:type="dxa"/>
            </w:tcMar>
          </w:tcPr>
          <w:p>
            <w:pPr>
              <w:pStyle w:val="7Tablebodycopy"/>
            </w:pPr>
            <w:r>
              <w:t>£240</w:t>
            </w:r>
          </w:p>
        </w:tc>
      </w:tr>
      <w:tr>
        <w:trPr>
          <w:cantSplit/>
        </w:trPr>
        <w:tc>
          <w:tcPr>
            <w:tcW w:w="2644" w:type="dxa"/>
            <w:shd w:val="clear" w:color="auto" w:fill="auto"/>
            <w:tcMar>
              <w:top w:w="113" w:type="dxa"/>
              <w:bottom w:w="113" w:type="dxa"/>
            </w:tcMar>
          </w:tcPr>
          <w:p>
            <w:pPr>
              <w:pStyle w:val="7Tablebodycopy"/>
            </w:pPr>
            <w:r>
              <w:t>Total catch-up premium budget:</w:t>
            </w:r>
          </w:p>
        </w:tc>
        <w:tc>
          <w:tcPr>
            <w:tcW w:w="1842" w:type="dxa"/>
            <w:shd w:val="clear" w:color="auto" w:fill="auto"/>
            <w:tcMar>
              <w:top w:w="113" w:type="dxa"/>
              <w:bottom w:w="113" w:type="dxa"/>
            </w:tcMar>
          </w:tcPr>
          <w:p>
            <w:pPr>
              <w:pStyle w:val="7Tablebodycopy"/>
            </w:pPr>
            <w:r>
              <w:t>£19920</w:t>
            </w:r>
          </w:p>
        </w:tc>
        <w:tc>
          <w:tcPr>
            <w:tcW w:w="2992" w:type="dxa"/>
          </w:tcPr>
          <w:p>
            <w:pPr>
              <w:pStyle w:val="7Tablebodycopy"/>
            </w:pPr>
            <w:r>
              <w:t>Total number of pupils:</w:t>
            </w:r>
          </w:p>
        </w:tc>
        <w:tc>
          <w:tcPr>
            <w:tcW w:w="1430" w:type="dxa"/>
            <w:shd w:val="clear" w:color="auto" w:fill="auto"/>
            <w:tcMar>
              <w:top w:w="113" w:type="dxa"/>
              <w:bottom w:w="113" w:type="dxa"/>
            </w:tcMar>
          </w:tcPr>
          <w:p>
            <w:pPr>
              <w:pStyle w:val="7Tablebodycopy"/>
            </w:pPr>
            <w:r>
              <w:t>83</w:t>
            </w:r>
          </w:p>
        </w:tc>
      </w:tr>
    </w:tbl>
    <w:p>
      <w:pPr>
        <w:pStyle w:val="NormalWeb"/>
        <w:shd w:val="clear" w:color="auto" w:fill="FFFFFF"/>
        <w:spacing w:before="0" w:beforeAutospacing="0"/>
        <w:rPr>
          <w:rFonts w:ascii="Arial" w:hAnsi="Arial" w:cs="Arial"/>
        </w:rPr>
      </w:pPr>
    </w:p>
    <w:p>
      <w:pPr>
        <w:pStyle w:val="2Subheadpink"/>
        <w:rPr>
          <w:noProof/>
          <w:color w:val="auto"/>
          <w:sz w:val="24"/>
          <w:szCs w:val="24"/>
        </w:rPr>
      </w:pPr>
      <w:r>
        <w:rPr>
          <w:noProof/>
          <w:color w:val="auto"/>
          <w:sz w:val="24"/>
          <w:szCs w:val="24"/>
        </w:rPr>
        <w:t>COVID-19 catch-up premium spending: rationale</w:t>
      </w:r>
    </w:p>
    <w:p>
      <w:pPr>
        <w:pStyle w:val="NormalWeb"/>
        <w:shd w:val="clear" w:color="auto" w:fill="FFFFFF"/>
        <w:spacing w:before="0" w:beforeAutospacing="0"/>
        <w:rPr>
          <w:rFonts w:ascii="Arial" w:hAnsi="Arial" w:cs="Arial"/>
          <w:sz w:val="22"/>
          <w:szCs w:val="22"/>
        </w:rPr>
      </w:pPr>
      <w:r>
        <w:rPr>
          <w:rFonts w:ascii="Arial" w:hAnsi="Arial" w:cs="Arial"/>
          <w:sz w:val="22"/>
          <w:szCs w:val="22"/>
        </w:rPr>
        <w:t>We will be using these funds to contribute towards the cost of improving the outdoor learning environment at Hope High School</w:t>
      </w:r>
    </w:p>
    <w:p>
      <w:r>
        <w:rPr>
          <w:rFonts w:ascii="Arial" w:hAnsi="Arial" w:cs="Arial"/>
          <w:shd w:val="clear" w:color="auto" w:fill="FFFFFF"/>
        </w:rPr>
        <w:t xml:space="preserve">All our pupils are vulnerable and have EHC plans, so learning from home may have been particularly challenging. </w:t>
      </w:r>
      <w:r>
        <w:rPr>
          <w:rFonts w:ascii="Arial" w:hAnsi="Arial" w:cs="Arial"/>
        </w:rPr>
        <w:t>In particular pupils with ADHD, social communication and interaction and sensory needs find a stagnant learning environment difficult to engage with. Pupils cognitive abilities are negatively affected my lack of visual and kinaesthetic engagement.</w:t>
      </w:r>
    </w:p>
    <w:p>
      <w:pPr>
        <w:rPr>
          <w:rFonts w:ascii="Arial" w:hAnsi="Arial" w:cs="Arial"/>
          <w:shd w:val="clear" w:color="auto" w:fill="FFFFFF"/>
        </w:rPr>
      </w:pPr>
      <w:r>
        <w:rPr>
          <w:rFonts w:ascii="Arial" w:hAnsi="Arial" w:cs="Arial"/>
          <w:shd w:val="clear" w:color="auto" w:fill="FFFFFF"/>
        </w:rPr>
        <w:t>Many of our pupils come from deprived socio-economic backgrounds. Access to opportunities to engage with outdoor learning environments which meet individual needs may be limited.</w:t>
      </w:r>
    </w:p>
    <w:p>
      <w:pPr>
        <w:rPr>
          <w:rFonts w:ascii="Arial" w:hAnsi="Arial" w:cs="Arial"/>
          <w:shd w:val="clear" w:color="auto" w:fill="FFFFFF"/>
        </w:rPr>
      </w:pPr>
      <w:r>
        <w:rPr>
          <w:rFonts w:ascii="Arial" w:hAnsi="Arial" w:cs="Arial"/>
          <w:shd w:val="clear" w:color="auto" w:fill="FFFFFF"/>
        </w:rPr>
        <w:t>Physical activity and opportunity to engage with sensory equipment will support the emotional wellbeing and positive mental health of all pupils.</w:t>
      </w:r>
    </w:p>
    <w:p>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Access to outdoor learning environment will enable pupils experience success in school early on:</w:t>
      </w:r>
      <w:r>
        <w:rPr>
          <w:rFonts w:ascii="Arial" w:eastAsia="Times New Roman" w:hAnsi="Arial" w:cs="Arial"/>
          <w:lang w:eastAsia="en-GB"/>
        </w:rPr>
        <w:t xml:space="preserve"> pupils will feel that what they do in school across the curriculum and in individual interventions supports all areas of their mental health and wellbeing- this will motivate them across the curriculum to continue to enable to access the learning environment appropriately.</w:t>
      </w:r>
    </w:p>
    <w:p>
      <w:pPr>
        <w:rPr>
          <w:rStyle w:val="Strong"/>
          <w:rFonts w:ascii="Arial" w:hAnsi="Arial" w:cs="Arial"/>
          <w:b w:val="0"/>
          <w:shd w:val="clear" w:color="auto" w:fill="FFFFFF"/>
        </w:rPr>
      </w:pPr>
      <w:r>
        <w:rPr>
          <w:rStyle w:val="Strong"/>
          <w:rFonts w:ascii="Arial" w:hAnsi="Arial" w:cs="Arial"/>
          <w:b w:val="0"/>
          <w:shd w:val="clear" w:color="auto" w:fill="FFFFFF"/>
        </w:rPr>
        <w:t>Outdoor workspace can support after school activities increasing what school can offer to the most vulnerable pupils and family offering respite and additional support by highly trained practitioners. Whilst avoiding adding to teacher workload and ensuring pupils are in the best possible mental state to access their learning</w:t>
      </w:r>
    </w:p>
    <w:p>
      <w:pPr>
        <w:rPr>
          <w:rStyle w:val="Strong"/>
          <w:rFonts w:ascii="Arial" w:hAnsi="Arial" w:cs="Arial"/>
          <w:b w:val="0"/>
          <w:shd w:val="clear" w:color="auto" w:fill="FFFFFF"/>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05"/>
        <w:gridCol w:w="8103"/>
      </w:tblGrid>
      <w:tr>
        <w:trPr>
          <w:cantSplit/>
        </w:trPr>
        <w:tc>
          <w:tcPr>
            <w:tcW w:w="14653"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pPr>
              <w:pStyle w:val="1bodycopy"/>
              <w:spacing w:after="0"/>
              <w:rPr>
                <w:caps/>
              </w:rPr>
            </w:pPr>
            <w:r>
              <w:rPr>
                <w:caps/>
              </w:rPr>
              <w:t>barriers to future attainment</w:t>
            </w:r>
          </w:p>
        </w:tc>
      </w:tr>
      <w:tr>
        <w:trPr>
          <w:cantSplit/>
        </w:trPr>
        <w:tc>
          <w:tcPr>
            <w:tcW w:w="14653" w:type="dxa"/>
            <w:gridSpan w:val="2"/>
            <w:shd w:val="clear" w:color="auto" w:fill="9CC2E5"/>
            <w:tcMar>
              <w:top w:w="113" w:type="dxa"/>
              <w:bottom w:w="113" w:type="dxa"/>
            </w:tcMar>
          </w:tcPr>
          <w:p>
            <w:pPr>
              <w:pStyle w:val="7Tablebodybulleted"/>
              <w:numPr>
                <w:ilvl w:val="0"/>
                <w:numId w:val="0"/>
              </w:numPr>
              <w:rPr>
                <w:i/>
              </w:rPr>
            </w:pPr>
            <w:r>
              <w:lastRenderedPageBreak/>
              <w:t xml:space="preserve">Academic barriers: </w:t>
            </w:r>
          </w:p>
        </w:tc>
      </w:tr>
      <w:tr>
        <w:trPr>
          <w:cantSplit/>
        </w:trPr>
        <w:tc>
          <w:tcPr>
            <w:tcW w:w="967" w:type="dxa"/>
            <w:shd w:val="clear" w:color="auto" w:fill="auto"/>
            <w:tcMar>
              <w:top w:w="113" w:type="dxa"/>
              <w:bottom w:w="113" w:type="dxa"/>
            </w:tcMar>
          </w:tcPr>
          <w:p>
            <w:pPr>
              <w:pStyle w:val="7Tablebodybulleted"/>
              <w:numPr>
                <w:ilvl w:val="0"/>
                <w:numId w:val="0"/>
              </w:numPr>
            </w:pPr>
            <w:r>
              <w:t>1</w:t>
            </w:r>
          </w:p>
        </w:tc>
        <w:tc>
          <w:tcPr>
            <w:tcW w:w="13686" w:type="dxa"/>
            <w:shd w:val="clear" w:color="auto" w:fill="auto"/>
          </w:tcPr>
          <w:p>
            <w:pPr>
              <w:pStyle w:val="7Tablebodycopy"/>
            </w:pPr>
            <w:r>
              <w:rPr>
                <w:rFonts w:cs="Arial"/>
                <w:b/>
              </w:rPr>
              <w:t xml:space="preserve">Many pupils have sensory imbalances and kinesthetic needs which can impact learning </w:t>
            </w:r>
          </w:p>
        </w:tc>
      </w:tr>
      <w:tr>
        <w:trPr>
          <w:cantSplit/>
        </w:trPr>
        <w:tc>
          <w:tcPr>
            <w:tcW w:w="967" w:type="dxa"/>
            <w:shd w:val="clear" w:color="auto" w:fill="auto"/>
            <w:tcMar>
              <w:top w:w="113" w:type="dxa"/>
              <w:bottom w:w="113" w:type="dxa"/>
            </w:tcMar>
          </w:tcPr>
          <w:p>
            <w:pPr>
              <w:pStyle w:val="7Tablebodybulleted"/>
              <w:numPr>
                <w:ilvl w:val="0"/>
                <w:numId w:val="0"/>
              </w:numPr>
            </w:pPr>
            <w:r>
              <w:t>2</w:t>
            </w:r>
          </w:p>
        </w:tc>
        <w:tc>
          <w:tcPr>
            <w:tcW w:w="13686" w:type="dxa"/>
            <w:shd w:val="clear" w:color="auto" w:fill="auto"/>
          </w:tcPr>
          <w:p>
            <w:pPr>
              <w:pStyle w:val="7Tablebodycopy"/>
              <w:rPr>
                <w:rFonts w:cs="Arial"/>
                <w:b/>
              </w:rPr>
            </w:pPr>
            <w:r>
              <w:rPr>
                <w:rFonts w:cs="Arial"/>
                <w:b/>
              </w:rPr>
              <w:t>Many pupils with ADHD require access to targeted physical environment to enable them to access the learning environment successfully</w:t>
            </w:r>
          </w:p>
        </w:tc>
      </w:tr>
      <w:tr>
        <w:trPr>
          <w:cantSplit/>
        </w:trPr>
        <w:tc>
          <w:tcPr>
            <w:tcW w:w="967" w:type="dxa"/>
            <w:shd w:val="clear" w:color="auto" w:fill="auto"/>
            <w:tcMar>
              <w:top w:w="113" w:type="dxa"/>
              <w:bottom w:w="113" w:type="dxa"/>
            </w:tcMar>
          </w:tcPr>
          <w:p>
            <w:pPr>
              <w:pStyle w:val="7Tablebodycopy"/>
            </w:pPr>
            <w:r>
              <w:t>3</w:t>
            </w:r>
          </w:p>
        </w:tc>
        <w:tc>
          <w:tcPr>
            <w:tcW w:w="13686" w:type="dxa"/>
            <w:shd w:val="clear" w:color="auto" w:fill="auto"/>
            <w:tcMar>
              <w:top w:w="113" w:type="dxa"/>
              <w:bottom w:w="113" w:type="dxa"/>
            </w:tcMar>
          </w:tcPr>
          <w:p>
            <w:pPr>
              <w:pStyle w:val="7Tablebodycopy"/>
            </w:pPr>
            <w:r>
              <w:rPr>
                <w:rFonts w:cs="Arial"/>
                <w:b/>
              </w:rPr>
              <w:t>Over 50% of school population did not attend school for term 5 and 6 2019-20 leading to regression in some skills and progress in knowledge attainment.</w:t>
            </w:r>
          </w:p>
        </w:tc>
      </w:tr>
      <w:tr>
        <w:trPr>
          <w:cantSplit/>
        </w:trPr>
        <w:tc>
          <w:tcPr>
            <w:tcW w:w="967" w:type="dxa"/>
            <w:shd w:val="clear" w:color="auto" w:fill="auto"/>
            <w:tcMar>
              <w:top w:w="113" w:type="dxa"/>
              <w:bottom w:w="113" w:type="dxa"/>
            </w:tcMar>
          </w:tcPr>
          <w:p>
            <w:pPr>
              <w:pStyle w:val="7Tablebodycopy"/>
            </w:pPr>
            <w:r>
              <w:t>4</w:t>
            </w:r>
          </w:p>
        </w:tc>
        <w:tc>
          <w:tcPr>
            <w:tcW w:w="13686" w:type="dxa"/>
            <w:shd w:val="clear" w:color="auto" w:fill="auto"/>
            <w:tcMar>
              <w:top w:w="113" w:type="dxa"/>
              <w:bottom w:w="113" w:type="dxa"/>
            </w:tcMar>
          </w:tcPr>
          <w:p>
            <w:pPr>
              <w:pStyle w:val="7Tablebodycopy"/>
            </w:pPr>
            <w:r>
              <w:rPr>
                <w:rFonts w:cs="Arial"/>
                <w:b/>
              </w:rPr>
              <w:t>Loss of sense of self and identity within and without the school community</w:t>
            </w:r>
          </w:p>
        </w:tc>
      </w:tr>
      <w:tr>
        <w:trPr>
          <w:cantSplit/>
        </w:trPr>
        <w:tc>
          <w:tcPr>
            <w:tcW w:w="967" w:type="dxa"/>
            <w:shd w:val="clear" w:color="auto" w:fill="auto"/>
            <w:tcMar>
              <w:top w:w="113" w:type="dxa"/>
              <w:bottom w:w="113" w:type="dxa"/>
            </w:tcMar>
          </w:tcPr>
          <w:p>
            <w:pPr>
              <w:pStyle w:val="7Tablebodycopy"/>
            </w:pPr>
            <w:r>
              <w:t>5</w:t>
            </w:r>
          </w:p>
        </w:tc>
        <w:tc>
          <w:tcPr>
            <w:tcW w:w="13686" w:type="dxa"/>
            <w:shd w:val="clear" w:color="auto" w:fill="auto"/>
            <w:tcMar>
              <w:top w:w="113" w:type="dxa"/>
              <w:bottom w:w="113" w:type="dxa"/>
            </w:tcMar>
          </w:tcPr>
          <w:p>
            <w:pPr>
              <w:pStyle w:val="7Tablebodycopy"/>
              <w:rPr>
                <w:rFonts w:cs="Arial"/>
                <w:b/>
              </w:rPr>
            </w:pPr>
            <w:r>
              <w:rPr>
                <w:rFonts w:cs="Arial"/>
                <w:b/>
              </w:rPr>
              <w:t>Increased anxieties around friendships, life/death, socialising, and school.</w:t>
            </w:r>
          </w:p>
        </w:tc>
      </w:tr>
    </w:tbl>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84"/>
        <w:gridCol w:w="8224"/>
      </w:tblGrid>
      <w:tr>
        <w:trPr>
          <w:cantSplit/>
        </w:trPr>
        <w:tc>
          <w:tcPr>
            <w:tcW w:w="14653" w:type="dxa"/>
            <w:gridSpan w:val="2"/>
            <w:shd w:val="clear" w:color="auto" w:fill="12263F"/>
            <w:tcMar>
              <w:top w:w="113" w:type="dxa"/>
              <w:bottom w:w="113" w:type="dxa"/>
            </w:tcMar>
          </w:tcPr>
          <w:p>
            <w:pPr>
              <w:pStyle w:val="7Tablebodycopy"/>
            </w:pPr>
            <w:r>
              <w:t>ADDITIONAL BARRIERS</w:t>
            </w:r>
          </w:p>
        </w:tc>
      </w:tr>
      <w:tr>
        <w:trPr>
          <w:cantSplit/>
        </w:trPr>
        <w:tc>
          <w:tcPr>
            <w:tcW w:w="14653" w:type="dxa"/>
            <w:gridSpan w:val="2"/>
            <w:shd w:val="clear" w:color="auto" w:fill="9CC2E5"/>
            <w:tcMar>
              <w:top w:w="113" w:type="dxa"/>
              <w:bottom w:w="113" w:type="dxa"/>
            </w:tcMar>
          </w:tcPr>
          <w:p>
            <w:pPr>
              <w:pStyle w:val="7Tablebodycopy"/>
            </w:pPr>
            <w:r>
              <w:t xml:space="preserve">External barriers: </w:t>
            </w:r>
          </w:p>
        </w:tc>
      </w:tr>
      <w:tr>
        <w:trPr>
          <w:cantSplit/>
        </w:trPr>
        <w:tc>
          <w:tcPr>
            <w:tcW w:w="967" w:type="dxa"/>
            <w:shd w:val="clear" w:color="auto" w:fill="auto"/>
            <w:tcMar>
              <w:top w:w="113" w:type="dxa"/>
              <w:bottom w:w="113" w:type="dxa"/>
            </w:tcMar>
          </w:tcPr>
          <w:p>
            <w:pPr>
              <w:pStyle w:val="7Tablebodycopy"/>
            </w:pPr>
            <w:r>
              <w:t>6</w:t>
            </w:r>
          </w:p>
        </w:tc>
        <w:tc>
          <w:tcPr>
            <w:tcW w:w="13686" w:type="dxa"/>
            <w:shd w:val="clear" w:color="auto" w:fill="auto"/>
            <w:tcMar>
              <w:top w:w="113" w:type="dxa"/>
              <w:bottom w:w="113" w:type="dxa"/>
            </w:tcMar>
          </w:tcPr>
          <w:p>
            <w:pPr>
              <w:pStyle w:val="7Tablebodycopy"/>
            </w:pPr>
            <w:r>
              <w:rPr>
                <w:rFonts w:cs="Arial"/>
                <w:b/>
              </w:rPr>
              <w:t>Increased parental stresses, leading to increased anxieties.</w:t>
            </w:r>
          </w:p>
        </w:tc>
      </w:tr>
      <w:tr>
        <w:trPr>
          <w:cantSplit/>
        </w:trPr>
        <w:tc>
          <w:tcPr>
            <w:tcW w:w="967" w:type="dxa"/>
            <w:shd w:val="clear" w:color="auto" w:fill="auto"/>
            <w:tcMar>
              <w:top w:w="113" w:type="dxa"/>
              <w:bottom w:w="113" w:type="dxa"/>
            </w:tcMar>
          </w:tcPr>
          <w:p>
            <w:pPr>
              <w:pStyle w:val="7Tablebodycopy"/>
            </w:pPr>
            <w:r>
              <w:t>7</w:t>
            </w:r>
          </w:p>
        </w:tc>
        <w:tc>
          <w:tcPr>
            <w:tcW w:w="13686" w:type="dxa"/>
            <w:shd w:val="clear" w:color="auto" w:fill="auto"/>
            <w:tcMar>
              <w:top w:w="113" w:type="dxa"/>
              <w:bottom w:w="113" w:type="dxa"/>
            </w:tcMar>
          </w:tcPr>
          <w:p>
            <w:pPr>
              <w:pStyle w:val="7Tablebodycopy"/>
            </w:pPr>
            <w:r>
              <w:rPr>
                <w:rFonts w:cs="Arial"/>
                <w:b/>
              </w:rPr>
              <w:t>Loss of sense of self and identity within and without the school community</w:t>
            </w:r>
          </w:p>
        </w:tc>
      </w:tr>
      <w:tr>
        <w:trPr>
          <w:cantSplit/>
        </w:trPr>
        <w:tc>
          <w:tcPr>
            <w:tcW w:w="967" w:type="dxa"/>
            <w:shd w:val="clear" w:color="auto" w:fill="auto"/>
            <w:tcMar>
              <w:top w:w="113" w:type="dxa"/>
              <w:bottom w:w="113" w:type="dxa"/>
            </w:tcMar>
          </w:tcPr>
          <w:p>
            <w:pPr>
              <w:pStyle w:val="7Tablebodycopy"/>
            </w:pPr>
            <w:r>
              <w:t>8</w:t>
            </w:r>
          </w:p>
        </w:tc>
        <w:tc>
          <w:tcPr>
            <w:tcW w:w="13686" w:type="dxa"/>
            <w:shd w:val="clear" w:color="auto" w:fill="auto"/>
            <w:tcMar>
              <w:top w:w="113" w:type="dxa"/>
              <w:bottom w:w="113" w:type="dxa"/>
            </w:tcMar>
          </w:tcPr>
          <w:p>
            <w:pPr>
              <w:pStyle w:val="7Tablebodycopy"/>
            </w:pPr>
            <w:r>
              <w:rPr>
                <w:rFonts w:cs="Arial"/>
                <w:b/>
              </w:rPr>
              <w:t>Increased anxieties around friendships, life/death, socialising, and school.</w:t>
            </w:r>
          </w:p>
        </w:tc>
      </w:tr>
    </w:tbl>
    <w:p/>
    <w:p/>
    <w:p>
      <w:pPr>
        <w:pStyle w:val="2Subheadpink"/>
        <w:rPr>
          <w:color w:val="auto"/>
        </w:rPr>
      </w:pPr>
      <w:r>
        <w:rPr>
          <w:color w:val="auto"/>
        </w:rPr>
        <w:t>Planned expenditure for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04"/>
        <w:gridCol w:w="1372"/>
        <w:gridCol w:w="2004"/>
        <w:gridCol w:w="2063"/>
        <w:gridCol w:w="1137"/>
        <w:gridCol w:w="1028"/>
      </w:tblGrid>
      <w:tr>
        <w:trPr>
          <w:cantSplit/>
        </w:trPr>
        <w:tc>
          <w:tcPr>
            <w:tcW w:w="8908" w:type="dxa"/>
            <w:gridSpan w:val="6"/>
            <w:shd w:val="clear" w:color="auto" w:fill="9CC2E5"/>
            <w:tcMar>
              <w:top w:w="113" w:type="dxa"/>
              <w:bottom w:w="113" w:type="dxa"/>
            </w:tcMar>
          </w:tcPr>
          <w:p>
            <w:pPr>
              <w:pStyle w:val="7Tablebodycopy"/>
            </w:pPr>
            <w:r>
              <w:t>Targeted support</w:t>
            </w:r>
          </w:p>
        </w:tc>
      </w:tr>
      <w:tr>
        <w:trPr>
          <w:cantSplit/>
        </w:trPr>
        <w:tc>
          <w:tcPr>
            <w:tcW w:w="1304" w:type="dxa"/>
            <w:shd w:val="clear" w:color="auto" w:fill="auto"/>
            <w:tcMar>
              <w:top w:w="113" w:type="dxa"/>
              <w:bottom w:w="113" w:type="dxa"/>
            </w:tcMar>
          </w:tcPr>
          <w:p>
            <w:pPr>
              <w:pStyle w:val="7Tablebodycopy"/>
            </w:pPr>
            <w:r>
              <w:t>Action</w:t>
            </w:r>
          </w:p>
        </w:tc>
        <w:tc>
          <w:tcPr>
            <w:tcW w:w="1372" w:type="dxa"/>
            <w:shd w:val="clear" w:color="auto" w:fill="auto"/>
            <w:tcMar>
              <w:top w:w="113" w:type="dxa"/>
              <w:bottom w:w="113" w:type="dxa"/>
            </w:tcMar>
          </w:tcPr>
          <w:p>
            <w:pPr>
              <w:pStyle w:val="7Tablebodycopy"/>
            </w:pPr>
            <w:r>
              <w:t>Intended outcome and success criteria</w:t>
            </w:r>
          </w:p>
        </w:tc>
        <w:tc>
          <w:tcPr>
            <w:tcW w:w="2004" w:type="dxa"/>
          </w:tcPr>
          <w:p>
            <w:pPr>
              <w:pStyle w:val="7Tablebodybulleted"/>
              <w:numPr>
                <w:ilvl w:val="0"/>
                <w:numId w:val="0"/>
              </w:numPr>
            </w:pPr>
            <w:r>
              <w:t>What’s the evidence and rationale for this choice?</w:t>
            </w:r>
          </w:p>
        </w:tc>
        <w:tc>
          <w:tcPr>
            <w:tcW w:w="2063" w:type="dxa"/>
          </w:tcPr>
          <w:p>
            <w:pPr>
              <w:pStyle w:val="7Tablebodybulleted"/>
              <w:numPr>
                <w:ilvl w:val="0"/>
                <w:numId w:val="0"/>
              </w:numPr>
              <w:ind w:right="27"/>
            </w:pPr>
            <w:r>
              <w:t>How will you make sure it’s implemented well?</w:t>
            </w:r>
          </w:p>
        </w:tc>
        <w:tc>
          <w:tcPr>
            <w:tcW w:w="1137" w:type="dxa"/>
          </w:tcPr>
          <w:p>
            <w:pPr>
              <w:pStyle w:val="7Tablebodybulleted"/>
              <w:numPr>
                <w:ilvl w:val="0"/>
                <w:numId w:val="0"/>
              </w:numPr>
            </w:pPr>
            <w:r>
              <w:t>Staff lead</w:t>
            </w:r>
          </w:p>
        </w:tc>
        <w:tc>
          <w:tcPr>
            <w:tcW w:w="1028" w:type="dxa"/>
          </w:tcPr>
          <w:p>
            <w:pPr>
              <w:pStyle w:val="7Tablebodybulleted"/>
              <w:numPr>
                <w:ilvl w:val="0"/>
                <w:numId w:val="0"/>
              </w:numPr>
              <w:ind w:right="-18"/>
            </w:pPr>
            <w:r>
              <w:t>When will you review this?</w:t>
            </w:r>
          </w:p>
        </w:tc>
      </w:tr>
      <w:tr>
        <w:trPr>
          <w:cantSplit/>
        </w:trPr>
        <w:tc>
          <w:tcPr>
            <w:tcW w:w="1304" w:type="dxa"/>
            <w:shd w:val="clear" w:color="auto" w:fill="auto"/>
            <w:tcMar>
              <w:top w:w="113" w:type="dxa"/>
              <w:bottom w:w="113" w:type="dxa"/>
            </w:tcMar>
          </w:tcPr>
          <w:p>
            <w:pPr>
              <w:rPr>
                <w:rFonts w:cstheme="minorHAnsi"/>
                <w:bCs/>
                <w:sz w:val="20"/>
                <w:szCs w:val="20"/>
              </w:rPr>
            </w:pPr>
            <w:r>
              <w:rPr>
                <w:rFonts w:cstheme="minorHAnsi"/>
                <w:bCs/>
                <w:sz w:val="20"/>
                <w:szCs w:val="20"/>
              </w:rPr>
              <w:t xml:space="preserve">All pupils to attend school full time as soon as possible. </w:t>
            </w:r>
          </w:p>
        </w:tc>
        <w:tc>
          <w:tcPr>
            <w:tcW w:w="1372" w:type="dxa"/>
            <w:shd w:val="clear" w:color="auto" w:fill="auto"/>
            <w:tcMar>
              <w:top w:w="113" w:type="dxa"/>
              <w:bottom w:w="113" w:type="dxa"/>
            </w:tcMar>
          </w:tcPr>
          <w:p>
            <w:pPr>
              <w:rPr>
                <w:rFonts w:cstheme="minorHAnsi"/>
                <w:bCs/>
                <w:sz w:val="20"/>
                <w:szCs w:val="20"/>
              </w:rPr>
            </w:pPr>
            <w:r>
              <w:rPr>
                <w:rFonts w:cstheme="minorHAnsi"/>
                <w:bCs/>
                <w:sz w:val="20"/>
                <w:szCs w:val="20"/>
              </w:rPr>
              <w:t>Use of Keyworkers to support pupils back into school</w:t>
            </w:r>
          </w:p>
          <w:p>
            <w:pPr>
              <w:rPr>
                <w:rFonts w:cstheme="minorHAnsi"/>
                <w:bCs/>
                <w:sz w:val="20"/>
                <w:szCs w:val="20"/>
              </w:rPr>
            </w:pPr>
            <w:r>
              <w:rPr>
                <w:rFonts w:cstheme="minorHAnsi"/>
                <w:bCs/>
                <w:sz w:val="20"/>
                <w:szCs w:val="20"/>
              </w:rPr>
              <w:t>SLT monitor and support pupils back into school.</w:t>
            </w:r>
          </w:p>
        </w:tc>
        <w:tc>
          <w:tcPr>
            <w:tcW w:w="2004" w:type="dxa"/>
          </w:tcPr>
          <w:p>
            <w:pPr>
              <w:rPr>
                <w:rFonts w:cstheme="minorHAnsi"/>
                <w:bCs/>
                <w:sz w:val="20"/>
                <w:szCs w:val="20"/>
              </w:rPr>
            </w:pPr>
            <w:r>
              <w:rPr>
                <w:rFonts w:cstheme="minorHAnsi"/>
                <w:bCs/>
                <w:sz w:val="20"/>
                <w:szCs w:val="20"/>
              </w:rPr>
              <w:t>Increased attendance will lead to increased opportunities for learning; improved friendships; build self- esteem; and develop sense of identity in their community.</w:t>
            </w:r>
          </w:p>
        </w:tc>
        <w:tc>
          <w:tcPr>
            <w:tcW w:w="2063" w:type="dxa"/>
          </w:tcPr>
          <w:p>
            <w:pPr>
              <w:rPr>
                <w:rFonts w:cstheme="minorHAnsi"/>
                <w:bCs/>
                <w:sz w:val="20"/>
                <w:szCs w:val="20"/>
              </w:rPr>
            </w:pPr>
            <w:r>
              <w:rPr>
                <w:rFonts w:cstheme="minorHAnsi"/>
                <w:bCs/>
                <w:sz w:val="20"/>
                <w:szCs w:val="20"/>
              </w:rPr>
              <w:t>Monitor attendance and react quickly to implementing support, taking into account individual needs and anxieties.</w:t>
            </w:r>
          </w:p>
          <w:p>
            <w:pPr>
              <w:rPr>
                <w:rFonts w:cstheme="minorHAnsi"/>
                <w:bCs/>
                <w:sz w:val="20"/>
                <w:szCs w:val="20"/>
              </w:rPr>
            </w:pPr>
          </w:p>
        </w:tc>
        <w:tc>
          <w:tcPr>
            <w:tcW w:w="1137" w:type="dxa"/>
          </w:tcPr>
          <w:p>
            <w:pPr>
              <w:pStyle w:val="7Tablebodycopy"/>
            </w:pPr>
            <w:r>
              <w:t>SLT</w:t>
            </w:r>
          </w:p>
        </w:tc>
        <w:tc>
          <w:tcPr>
            <w:tcW w:w="1028" w:type="dxa"/>
          </w:tcPr>
          <w:p>
            <w:pPr>
              <w:pStyle w:val="7Tablebodycopy"/>
            </w:pPr>
            <w:r>
              <w:rPr>
                <w:rFonts w:cstheme="minorHAnsi"/>
                <w:bCs/>
                <w:szCs w:val="20"/>
              </w:rPr>
              <w:t>July</w:t>
            </w:r>
          </w:p>
        </w:tc>
      </w:tr>
      <w:tr>
        <w:trPr>
          <w:cantSplit/>
        </w:trPr>
        <w:tc>
          <w:tcPr>
            <w:tcW w:w="1304" w:type="dxa"/>
            <w:shd w:val="clear" w:color="auto" w:fill="auto"/>
            <w:tcMar>
              <w:top w:w="113" w:type="dxa"/>
              <w:bottom w:w="113" w:type="dxa"/>
            </w:tcMar>
          </w:tcPr>
          <w:p>
            <w:pPr>
              <w:rPr>
                <w:rFonts w:cstheme="minorHAnsi"/>
                <w:bCs/>
                <w:sz w:val="20"/>
                <w:szCs w:val="20"/>
              </w:rPr>
            </w:pPr>
            <w:r>
              <w:rPr>
                <w:rFonts w:cstheme="minorHAnsi"/>
                <w:bCs/>
                <w:iCs/>
                <w:sz w:val="20"/>
                <w:szCs w:val="20"/>
              </w:rPr>
              <w:lastRenderedPageBreak/>
              <w:t>Pupils make good progress, as defined by tutors or subject coordinators, in their EHCP outcomes</w:t>
            </w:r>
          </w:p>
        </w:tc>
        <w:tc>
          <w:tcPr>
            <w:tcW w:w="1372" w:type="dxa"/>
            <w:shd w:val="clear" w:color="auto" w:fill="auto"/>
            <w:tcMar>
              <w:top w:w="113" w:type="dxa"/>
              <w:bottom w:w="113" w:type="dxa"/>
            </w:tcMar>
          </w:tcPr>
          <w:p>
            <w:pPr>
              <w:rPr>
                <w:rFonts w:cstheme="minorHAnsi"/>
                <w:bCs/>
                <w:sz w:val="20"/>
                <w:szCs w:val="20"/>
              </w:rPr>
            </w:pPr>
            <w:r>
              <w:rPr>
                <w:rFonts w:cstheme="minorHAnsi"/>
                <w:bCs/>
                <w:sz w:val="20"/>
                <w:szCs w:val="20"/>
              </w:rPr>
              <w:t>The use of improved outdoor learning area and sensory therapy is well documented in supporting pupil achievements</w:t>
            </w:r>
          </w:p>
        </w:tc>
        <w:tc>
          <w:tcPr>
            <w:tcW w:w="2004" w:type="dxa"/>
          </w:tcPr>
          <w:p>
            <w:pPr>
              <w:rPr>
                <w:rFonts w:cstheme="minorHAnsi"/>
                <w:bCs/>
                <w:sz w:val="20"/>
                <w:szCs w:val="20"/>
              </w:rPr>
            </w:pPr>
            <w:r>
              <w:rPr>
                <w:rFonts w:cstheme="minorHAnsi"/>
                <w:bCs/>
                <w:sz w:val="20"/>
                <w:szCs w:val="20"/>
              </w:rPr>
              <w:t>To develop independent strategies in supporting physical and sensory needs to reduce anxieties and increase motivation to learn.</w:t>
            </w:r>
          </w:p>
          <w:p>
            <w:pPr>
              <w:rPr>
                <w:rFonts w:cstheme="minorHAnsi"/>
                <w:bCs/>
                <w:sz w:val="20"/>
                <w:szCs w:val="20"/>
              </w:rPr>
            </w:pPr>
          </w:p>
        </w:tc>
        <w:tc>
          <w:tcPr>
            <w:tcW w:w="2063" w:type="dxa"/>
          </w:tcPr>
          <w:p>
            <w:pPr>
              <w:rPr>
                <w:rFonts w:cstheme="minorHAnsi"/>
                <w:bCs/>
                <w:sz w:val="20"/>
                <w:szCs w:val="20"/>
              </w:rPr>
            </w:pPr>
            <w:r>
              <w:rPr>
                <w:rFonts w:cstheme="minorHAnsi"/>
                <w:bCs/>
                <w:sz w:val="20"/>
                <w:szCs w:val="20"/>
              </w:rPr>
              <w:t>Research into appropriate interventions which have been peer reviewed. Monitoring of impacts termly.</w:t>
            </w:r>
          </w:p>
          <w:p>
            <w:pPr>
              <w:rPr>
                <w:rFonts w:cstheme="minorHAnsi"/>
                <w:bCs/>
                <w:sz w:val="20"/>
                <w:szCs w:val="20"/>
              </w:rPr>
            </w:pPr>
          </w:p>
        </w:tc>
        <w:tc>
          <w:tcPr>
            <w:tcW w:w="1137" w:type="dxa"/>
          </w:tcPr>
          <w:p>
            <w:pPr>
              <w:pStyle w:val="7Tablebodycopy"/>
            </w:pPr>
            <w:r>
              <w:t>SLT</w:t>
            </w:r>
          </w:p>
        </w:tc>
        <w:tc>
          <w:tcPr>
            <w:tcW w:w="1028" w:type="dxa"/>
          </w:tcPr>
          <w:p>
            <w:pPr>
              <w:pStyle w:val="7Tablebodycopy"/>
            </w:pPr>
            <w:r>
              <w:rPr>
                <w:rFonts w:cstheme="minorHAnsi"/>
                <w:bCs/>
                <w:szCs w:val="20"/>
              </w:rPr>
              <w:t>July</w:t>
            </w:r>
          </w:p>
        </w:tc>
      </w:tr>
      <w:tr>
        <w:trPr>
          <w:cantSplit/>
        </w:trPr>
        <w:tc>
          <w:tcPr>
            <w:tcW w:w="1304" w:type="dxa"/>
            <w:shd w:val="clear" w:color="auto" w:fill="auto"/>
            <w:tcMar>
              <w:top w:w="113" w:type="dxa"/>
              <w:bottom w:w="113" w:type="dxa"/>
            </w:tcMar>
          </w:tcPr>
          <w:p>
            <w:pPr>
              <w:rPr>
                <w:rFonts w:cstheme="minorHAnsi"/>
                <w:bCs/>
                <w:sz w:val="20"/>
                <w:szCs w:val="20"/>
              </w:rPr>
            </w:pPr>
            <w:r>
              <w:rPr>
                <w:rFonts w:cstheme="minorHAnsi"/>
                <w:bCs/>
                <w:sz w:val="20"/>
                <w:szCs w:val="20"/>
              </w:rPr>
              <w:t>To participate and cooperate fully in lessons throughout the day, making good learning progress</w:t>
            </w:r>
          </w:p>
        </w:tc>
        <w:tc>
          <w:tcPr>
            <w:tcW w:w="1372" w:type="dxa"/>
            <w:shd w:val="clear" w:color="auto" w:fill="auto"/>
            <w:tcMar>
              <w:top w:w="113" w:type="dxa"/>
              <w:bottom w:w="113" w:type="dxa"/>
            </w:tcMar>
          </w:tcPr>
          <w:p>
            <w:pPr>
              <w:pStyle w:val="ListParagraph"/>
              <w:numPr>
                <w:ilvl w:val="0"/>
                <w:numId w:val="3"/>
              </w:numPr>
              <w:ind w:left="0"/>
              <w:rPr>
                <w:rFonts w:cstheme="minorHAnsi"/>
                <w:bCs/>
                <w:sz w:val="20"/>
                <w:szCs w:val="20"/>
              </w:rPr>
            </w:pPr>
            <w:r>
              <w:rPr>
                <w:rFonts w:cstheme="minorHAnsi"/>
                <w:bCs/>
                <w:sz w:val="20"/>
                <w:szCs w:val="20"/>
              </w:rPr>
              <w:t xml:space="preserve">Restoring sensory imbalances. </w:t>
            </w:r>
          </w:p>
          <w:p>
            <w:pPr>
              <w:pStyle w:val="ListParagraph"/>
              <w:numPr>
                <w:ilvl w:val="0"/>
                <w:numId w:val="3"/>
              </w:numPr>
              <w:ind w:left="0"/>
              <w:rPr>
                <w:rFonts w:cstheme="minorHAnsi"/>
                <w:bCs/>
                <w:sz w:val="20"/>
                <w:szCs w:val="20"/>
              </w:rPr>
            </w:pPr>
            <w:r>
              <w:rPr>
                <w:rFonts w:cstheme="minorHAnsi"/>
                <w:bCs/>
                <w:sz w:val="20"/>
                <w:szCs w:val="20"/>
              </w:rPr>
              <w:t>Outdoor activities to encourage teamwork and build self-esteem.</w:t>
            </w:r>
          </w:p>
          <w:p>
            <w:pPr>
              <w:rPr>
                <w:rFonts w:cstheme="minorHAnsi"/>
                <w:bCs/>
                <w:sz w:val="20"/>
                <w:szCs w:val="20"/>
              </w:rPr>
            </w:pPr>
            <w:r>
              <w:rPr>
                <w:rFonts w:cstheme="minorHAnsi"/>
                <w:bCs/>
                <w:sz w:val="20"/>
                <w:szCs w:val="20"/>
              </w:rPr>
              <w:t>Environment to meet kinaesthetic needs and help modulate behaviours and improve independent skills.</w:t>
            </w:r>
          </w:p>
        </w:tc>
        <w:tc>
          <w:tcPr>
            <w:tcW w:w="2004" w:type="dxa"/>
          </w:tcPr>
          <w:p>
            <w:pPr>
              <w:rPr>
                <w:rFonts w:cstheme="minorHAnsi"/>
                <w:bCs/>
                <w:sz w:val="20"/>
                <w:szCs w:val="20"/>
              </w:rPr>
            </w:pPr>
            <w:r>
              <w:rPr>
                <w:rFonts w:cstheme="minorHAnsi"/>
                <w:bCs/>
                <w:sz w:val="20"/>
                <w:szCs w:val="20"/>
              </w:rPr>
              <w:t>OT advice for individuals.</w:t>
            </w:r>
          </w:p>
          <w:p>
            <w:pPr>
              <w:rPr>
                <w:rFonts w:cstheme="minorHAnsi"/>
                <w:bCs/>
                <w:sz w:val="20"/>
                <w:szCs w:val="20"/>
              </w:rPr>
            </w:pPr>
            <w:r>
              <w:rPr>
                <w:rFonts w:cstheme="minorHAnsi"/>
                <w:bCs/>
                <w:sz w:val="20"/>
                <w:szCs w:val="20"/>
              </w:rPr>
              <w:t>Sensory integration advice from specialists</w:t>
            </w:r>
          </w:p>
          <w:p>
            <w:pPr>
              <w:rPr>
                <w:rFonts w:cstheme="minorHAnsi"/>
                <w:bCs/>
                <w:sz w:val="20"/>
                <w:szCs w:val="20"/>
              </w:rPr>
            </w:pPr>
            <w:r>
              <w:rPr>
                <w:rFonts w:cstheme="minorHAnsi"/>
                <w:bCs/>
                <w:sz w:val="20"/>
                <w:szCs w:val="20"/>
              </w:rPr>
              <w:t>Support from intervention teams for targeted approach which meets individual need.</w:t>
            </w:r>
          </w:p>
          <w:p>
            <w:pPr>
              <w:rPr>
                <w:rFonts w:cstheme="minorHAnsi"/>
                <w:bCs/>
                <w:sz w:val="20"/>
                <w:szCs w:val="20"/>
              </w:rPr>
            </w:pPr>
            <w:r>
              <w:rPr>
                <w:rFonts w:cstheme="minorHAnsi"/>
                <w:bCs/>
                <w:sz w:val="20"/>
                <w:szCs w:val="20"/>
              </w:rPr>
              <w:t>Builds teamwork and participation which helps support a growth mind-set.</w:t>
            </w:r>
          </w:p>
          <w:p>
            <w:pPr>
              <w:rPr>
                <w:rFonts w:cstheme="minorHAnsi"/>
                <w:bCs/>
                <w:sz w:val="20"/>
                <w:szCs w:val="20"/>
              </w:rPr>
            </w:pPr>
          </w:p>
        </w:tc>
        <w:tc>
          <w:tcPr>
            <w:tcW w:w="2063" w:type="dxa"/>
          </w:tcPr>
          <w:p>
            <w:pPr>
              <w:rPr>
                <w:rFonts w:cstheme="minorHAnsi"/>
                <w:bCs/>
                <w:sz w:val="20"/>
                <w:szCs w:val="20"/>
              </w:rPr>
            </w:pPr>
            <w:r>
              <w:rPr>
                <w:rFonts w:cstheme="minorHAnsi"/>
                <w:bCs/>
                <w:sz w:val="20"/>
                <w:szCs w:val="20"/>
              </w:rPr>
              <w:t>Research into appropriate interventions which have been peer reviewed. Monitoring of impacts termly.</w:t>
            </w:r>
          </w:p>
          <w:p>
            <w:pPr>
              <w:rPr>
                <w:rFonts w:cstheme="minorHAnsi"/>
                <w:bCs/>
                <w:sz w:val="20"/>
                <w:szCs w:val="20"/>
              </w:rPr>
            </w:pPr>
            <w:r>
              <w:rPr>
                <w:rFonts w:cstheme="minorHAnsi"/>
                <w:bCs/>
                <w:sz w:val="20"/>
                <w:szCs w:val="20"/>
              </w:rPr>
              <w:t>.</w:t>
            </w:r>
          </w:p>
        </w:tc>
        <w:tc>
          <w:tcPr>
            <w:tcW w:w="1137" w:type="dxa"/>
          </w:tcPr>
          <w:p>
            <w:pPr>
              <w:pStyle w:val="7Tablebodycopy"/>
            </w:pPr>
            <w:r>
              <w:t>SLT</w:t>
            </w:r>
          </w:p>
        </w:tc>
        <w:tc>
          <w:tcPr>
            <w:tcW w:w="1028" w:type="dxa"/>
          </w:tcPr>
          <w:p>
            <w:pPr>
              <w:pStyle w:val="7Tablebodycopy"/>
            </w:pPr>
            <w:r>
              <w:rPr>
                <w:rFonts w:cstheme="minorHAnsi"/>
                <w:bCs/>
                <w:szCs w:val="20"/>
              </w:rPr>
              <w:t>July</w:t>
            </w:r>
          </w:p>
        </w:tc>
      </w:tr>
      <w:tr>
        <w:trPr>
          <w:cantSplit/>
        </w:trPr>
        <w:tc>
          <w:tcPr>
            <w:tcW w:w="7880" w:type="dxa"/>
            <w:gridSpan w:val="5"/>
            <w:shd w:val="clear" w:color="auto" w:fill="auto"/>
            <w:tcMar>
              <w:top w:w="113" w:type="dxa"/>
              <w:bottom w:w="113" w:type="dxa"/>
            </w:tcMar>
          </w:tcPr>
          <w:p>
            <w:pPr>
              <w:pStyle w:val="7Tablebodycopy"/>
              <w:jc w:val="right"/>
            </w:pPr>
            <w:r>
              <w:t>Total budgeted cost:</w:t>
            </w:r>
          </w:p>
        </w:tc>
        <w:tc>
          <w:tcPr>
            <w:tcW w:w="1028" w:type="dxa"/>
          </w:tcPr>
          <w:p>
            <w:pPr>
              <w:pStyle w:val="7Tablebodycopy"/>
            </w:pPr>
            <w:r>
              <w:t>19,920</w:t>
            </w:r>
          </w:p>
        </w:tc>
      </w:tr>
    </w:tbl>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40A8"/>
    <w:multiLevelType w:val="hybridMultilevel"/>
    <w:tmpl w:val="9EB4E990"/>
    <w:lvl w:ilvl="0" w:tplc="B94E6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43267"/>
    <w:multiLevelType w:val="multilevel"/>
    <w:tmpl w:val="CD34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90611-662C-4116-A20D-B38DFDDA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
    <w:qFormat/>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Pr>
      <w:rFonts w:ascii="Arial" w:eastAsia="MS Mincho" w:hAnsi="Arial" w:cs="Times New Roman"/>
      <w:sz w:val="20"/>
      <w:szCs w:val="24"/>
      <w:lang w:val="en-US"/>
    </w:rPr>
  </w:style>
  <w:style w:type="paragraph" w:customStyle="1" w:styleId="7Tablebodycopy">
    <w:name w:val="7 Table body copy"/>
    <w:basedOn w:val="1bodycopy"/>
    <w:qFormat/>
    <w:pPr>
      <w:spacing w:after="60"/>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7Tablebodybulleted">
    <w:name w:val="7 Table body bulleted"/>
    <w:basedOn w:val="Normal"/>
    <w:qFormat/>
    <w:pPr>
      <w:numPr>
        <w:numId w:val="2"/>
      </w:numPr>
      <w:spacing w:after="120" w:line="240" w:lineRule="auto"/>
      <w:ind w:right="284"/>
    </w:pPr>
    <w:rPr>
      <w:rFonts w:ascii="Arial" w:eastAsia="MS Mincho" w:hAnsi="Arial" w:cs="Times New Roman"/>
      <w:sz w:val="20"/>
      <w:szCs w:val="24"/>
      <w:lang w:val="en-US"/>
    </w:rPr>
  </w:style>
  <w:style w:type="paragraph" w:styleId="ListParagraph">
    <w:name w:val="List Paragraph"/>
    <w:basedOn w:val="Normal"/>
    <w:uiPriority w:val="34"/>
    <w:qFormat/>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0694">
      <w:bodyDiv w:val="1"/>
      <w:marLeft w:val="0"/>
      <w:marRight w:val="0"/>
      <w:marTop w:val="0"/>
      <w:marBottom w:val="0"/>
      <w:divBdr>
        <w:top w:val="none" w:sz="0" w:space="0" w:color="auto"/>
        <w:left w:val="none" w:sz="0" w:space="0" w:color="auto"/>
        <w:bottom w:val="none" w:sz="0" w:space="0" w:color="auto"/>
        <w:right w:val="none" w:sz="0" w:space="0" w:color="auto"/>
      </w:divBdr>
    </w:div>
    <w:div w:id="11667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Lucy</dc:creator>
  <cp:keywords/>
  <dc:description/>
  <cp:lastModifiedBy>Carl Curless</cp:lastModifiedBy>
  <cp:revision>5</cp:revision>
  <dcterms:created xsi:type="dcterms:W3CDTF">2021-03-17T12:23:00Z</dcterms:created>
  <dcterms:modified xsi:type="dcterms:W3CDTF">2021-03-17T20:26:00Z</dcterms:modified>
</cp:coreProperties>
</file>