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100" w14:textId="3C684329" w:rsidR="00E21C0A" w:rsidRPr="00111136" w:rsidRDefault="00E21C0A" w:rsidP="00E21C0A">
      <w:pPr>
        <w:jc w:val="center"/>
        <w:rPr>
          <w:b/>
          <w:sz w:val="24"/>
          <w:szCs w:val="24"/>
        </w:rPr>
      </w:pPr>
      <w:r w:rsidRPr="00111136">
        <w:rPr>
          <w:b/>
          <w:sz w:val="24"/>
          <w:szCs w:val="24"/>
        </w:rPr>
        <w:t xml:space="preserve">Speech, Language and Communication Provision Map for </w:t>
      </w:r>
      <w:r w:rsidR="001C7A09">
        <w:rPr>
          <w:b/>
          <w:sz w:val="24"/>
          <w:szCs w:val="24"/>
        </w:rPr>
        <w:t xml:space="preserve">Hope High </w:t>
      </w:r>
      <w:r w:rsidRPr="00111136">
        <w:rPr>
          <w:b/>
          <w:sz w:val="24"/>
          <w:szCs w:val="24"/>
        </w:rPr>
        <w:t>School</w:t>
      </w:r>
      <w:r w:rsidR="001C7A09">
        <w:rPr>
          <w:b/>
          <w:sz w:val="24"/>
          <w:szCs w:val="24"/>
        </w:rPr>
        <w:t xml:space="preserve">: </w:t>
      </w:r>
      <w:r w:rsidR="00DE7CD9">
        <w:rPr>
          <w:b/>
          <w:sz w:val="24"/>
          <w:szCs w:val="24"/>
        </w:rPr>
        <w:t>Autumn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11136" w:rsidRPr="00111136" w14:paraId="2FC458FB" w14:textId="77777777" w:rsidTr="00562CB8">
        <w:tc>
          <w:tcPr>
            <w:tcW w:w="4649" w:type="dxa"/>
            <w:shd w:val="clear" w:color="auto" w:fill="A8D08D" w:themeFill="accent6" w:themeFillTint="99"/>
          </w:tcPr>
          <w:p w14:paraId="4FF6D225" w14:textId="5E57C8DF" w:rsidR="00111136" w:rsidRPr="00111136" w:rsidRDefault="00111136" w:rsidP="00111136">
            <w:pPr>
              <w:shd w:val="clear" w:color="auto" w:fill="A8D08D" w:themeFill="accent6" w:themeFillTint="99"/>
              <w:jc w:val="center"/>
              <w:rPr>
                <w:b/>
                <w:sz w:val="24"/>
                <w:szCs w:val="24"/>
              </w:rPr>
            </w:pPr>
            <w:r w:rsidRPr="00111136">
              <w:rPr>
                <w:b/>
                <w:sz w:val="24"/>
                <w:szCs w:val="24"/>
              </w:rPr>
              <w:t>Universal Provision</w:t>
            </w:r>
            <w:r w:rsidR="00247E5F">
              <w:rPr>
                <w:b/>
                <w:sz w:val="24"/>
                <w:szCs w:val="24"/>
              </w:rPr>
              <w:t xml:space="preserve"> (Tier 1)</w:t>
            </w:r>
          </w:p>
        </w:tc>
        <w:tc>
          <w:tcPr>
            <w:tcW w:w="4649" w:type="dxa"/>
            <w:shd w:val="clear" w:color="auto" w:fill="FFE599" w:themeFill="accent4" w:themeFillTint="66"/>
          </w:tcPr>
          <w:p w14:paraId="4AE8C78F" w14:textId="2A5A5D6F" w:rsidR="00111136" w:rsidRPr="00111136" w:rsidRDefault="00111136" w:rsidP="00E21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Targeted Provision</w:t>
            </w:r>
            <w:r w:rsidR="00247E5F">
              <w:rPr>
                <w:b/>
                <w:sz w:val="24"/>
                <w:szCs w:val="24"/>
              </w:rPr>
              <w:t xml:space="preserve"> (Tier 2)</w:t>
            </w:r>
          </w:p>
        </w:tc>
        <w:tc>
          <w:tcPr>
            <w:tcW w:w="4650" w:type="dxa"/>
            <w:shd w:val="clear" w:color="auto" w:fill="FD7D73"/>
          </w:tcPr>
          <w:p w14:paraId="5F3C84ED" w14:textId="3BF387C4" w:rsidR="00111136" w:rsidRPr="00111136" w:rsidRDefault="00111136" w:rsidP="00E21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Specialist Provision</w:t>
            </w:r>
            <w:r w:rsidR="00247E5F">
              <w:rPr>
                <w:b/>
                <w:sz w:val="24"/>
                <w:szCs w:val="24"/>
              </w:rPr>
              <w:t xml:space="preserve"> (Tier 3)</w:t>
            </w:r>
          </w:p>
        </w:tc>
      </w:tr>
      <w:tr w:rsidR="00111136" w:rsidRPr="00111136" w14:paraId="41A1D852" w14:textId="77777777" w:rsidTr="006508F7">
        <w:tc>
          <w:tcPr>
            <w:tcW w:w="4649" w:type="dxa"/>
            <w:shd w:val="clear" w:color="auto" w:fill="auto"/>
          </w:tcPr>
          <w:p w14:paraId="440450F5" w14:textId="68C7FAB5" w:rsidR="006508F7" w:rsidRPr="006508F7" w:rsidRDefault="00DE7CD9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entry to school, a</w:t>
            </w:r>
            <w:r w:rsidR="006508F7" w:rsidRPr="006508F7">
              <w:rPr>
                <w:sz w:val="20"/>
                <w:szCs w:val="20"/>
              </w:rPr>
              <w:t xml:space="preserve">ll pupils </w:t>
            </w:r>
            <w:r>
              <w:rPr>
                <w:sz w:val="20"/>
                <w:szCs w:val="20"/>
              </w:rPr>
              <w:t xml:space="preserve">participate </w:t>
            </w:r>
            <w:r w:rsidR="00A15A56">
              <w:rPr>
                <w:sz w:val="20"/>
                <w:szCs w:val="20"/>
              </w:rPr>
              <w:t xml:space="preserve">in </w:t>
            </w:r>
            <w:r w:rsidR="006508F7" w:rsidRPr="006508F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whole school </w:t>
            </w:r>
            <w:r w:rsidR="006508F7" w:rsidRPr="006508F7">
              <w:rPr>
                <w:sz w:val="20"/>
                <w:szCs w:val="20"/>
              </w:rPr>
              <w:t xml:space="preserve">language assessment </w:t>
            </w:r>
            <w:r>
              <w:rPr>
                <w:sz w:val="20"/>
                <w:szCs w:val="20"/>
              </w:rPr>
              <w:t>delivered by the Happy Talk SALT</w:t>
            </w:r>
            <w:r w:rsidR="00A15A56">
              <w:rPr>
                <w:sz w:val="20"/>
                <w:szCs w:val="20"/>
              </w:rPr>
              <w:t>.</w:t>
            </w:r>
          </w:p>
          <w:p w14:paraId="74A291EE" w14:textId="754258FF" w:rsidR="006508F7" w:rsidRPr="006508F7" w:rsidRDefault="006508F7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08F7">
              <w:rPr>
                <w:sz w:val="20"/>
                <w:szCs w:val="20"/>
              </w:rPr>
              <w:t xml:space="preserve">Pupils </w:t>
            </w:r>
            <w:r w:rsidR="00DE7CD9">
              <w:rPr>
                <w:sz w:val="20"/>
                <w:szCs w:val="20"/>
              </w:rPr>
              <w:t>for whom no difficulties are identified on the whole school</w:t>
            </w:r>
            <w:r w:rsidRPr="006508F7">
              <w:rPr>
                <w:sz w:val="20"/>
                <w:szCs w:val="20"/>
              </w:rPr>
              <w:t xml:space="preserve"> language assessment and </w:t>
            </w:r>
            <w:r w:rsidR="00DE7CD9">
              <w:rPr>
                <w:sz w:val="20"/>
                <w:szCs w:val="20"/>
              </w:rPr>
              <w:t xml:space="preserve">who </w:t>
            </w:r>
            <w:r w:rsidRPr="006508F7">
              <w:rPr>
                <w:sz w:val="20"/>
                <w:szCs w:val="20"/>
              </w:rPr>
              <w:t xml:space="preserve">do not have additional speech or social communication difficulties remain at universal provision and </w:t>
            </w:r>
            <w:r w:rsidR="00DE7CD9">
              <w:rPr>
                <w:sz w:val="20"/>
                <w:szCs w:val="20"/>
              </w:rPr>
              <w:t xml:space="preserve">are </w:t>
            </w:r>
            <w:r w:rsidRPr="006508F7">
              <w:rPr>
                <w:sz w:val="20"/>
                <w:szCs w:val="20"/>
              </w:rPr>
              <w:t>supported through whole school teaching and activities.</w:t>
            </w:r>
          </w:p>
          <w:p w14:paraId="1BC549E1" w14:textId="080653FE" w:rsidR="006508F7" w:rsidRPr="006508F7" w:rsidRDefault="00DE7CD9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receive </w:t>
            </w:r>
            <w:r w:rsidR="006508F7" w:rsidRPr="006508F7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 xml:space="preserve"> </w:t>
            </w:r>
            <w:r w:rsidR="006508F7" w:rsidRPr="006508F7">
              <w:rPr>
                <w:sz w:val="20"/>
                <w:szCs w:val="20"/>
              </w:rPr>
              <w:t>to support quality first teaching and differentiation for SLCNs</w:t>
            </w:r>
            <w:r w:rsidR="00A15A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advice/support available on request from</w:t>
            </w:r>
            <w:r w:rsidR="00A15A56">
              <w:rPr>
                <w:sz w:val="20"/>
                <w:szCs w:val="20"/>
              </w:rPr>
              <w:t xml:space="preserve"> SENCo or school SALT as appropriate</w:t>
            </w:r>
            <w:r w:rsidR="006508F7" w:rsidRPr="006508F7">
              <w:rPr>
                <w:sz w:val="20"/>
                <w:szCs w:val="20"/>
              </w:rPr>
              <w:t>.</w:t>
            </w:r>
          </w:p>
          <w:p w14:paraId="7AAFFE4C" w14:textId="77777777" w:rsidR="006508F7" w:rsidRPr="006508F7" w:rsidRDefault="006508F7" w:rsidP="006508F7">
            <w:pPr>
              <w:ind w:left="360"/>
              <w:rPr>
                <w:sz w:val="20"/>
                <w:szCs w:val="20"/>
              </w:rPr>
            </w:pPr>
          </w:p>
          <w:p w14:paraId="4CBBA757" w14:textId="51B8BE81" w:rsidR="006508F7" w:rsidRPr="006508F7" w:rsidRDefault="006508F7" w:rsidP="006508F7">
            <w:pPr>
              <w:ind w:left="360"/>
              <w:rPr>
                <w:sz w:val="20"/>
                <w:szCs w:val="20"/>
              </w:rPr>
            </w:pPr>
            <w:r w:rsidRPr="006508F7">
              <w:rPr>
                <w:sz w:val="20"/>
                <w:szCs w:val="20"/>
              </w:rPr>
              <w:t>Whole school provision at a universal level</w:t>
            </w:r>
            <w:r w:rsidR="00A15A56">
              <w:rPr>
                <w:sz w:val="20"/>
                <w:szCs w:val="20"/>
              </w:rPr>
              <w:t xml:space="preserve"> inc</w:t>
            </w:r>
            <w:r w:rsidRPr="006508F7">
              <w:rPr>
                <w:sz w:val="20"/>
                <w:szCs w:val="20"/>
              </w:rPr>
              <w:t>lude</w:t>
            </w:r>
            <w:r w:rsidR="00A15A56">
              <w:rPr>
                <w:sz w:val="20"/>
                <w:szCs w:val="20"/>
              </w:rPr>
              <w:t>s</w:t>
            </w:r>
            <w:r w:rsidRPr="006508F7">
              <w:rPr>
                <w:sz w:val="20"/>
                <w:szCs w:val="20"/>
              </w:rPr>
              <w:t>:</w:t>
            </w:r>
          </w:p>
          <w:p w14:paraId="2CAD8A8A" w14:textId="2F5795C7" w:rsidR="006508F7" w:rsidRPr="006508F7" w:rsidRDefault="00A15A56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6508F7" w:rsidRPr="006508F7">
              <w:rPr>
                <w:sz w:val="20"/>
                <w:szCs w:val="20"/>
              </w:rPr>
              <w:t xml:space="preserve"> of visuals within class/school (visual planners/timetables, </w:t>
            </w:r>
            <w:r>
              <w:rPr>
                <w:sz w:val="20"/>
                <w:szCs w:val="20"/>
              </w:rPr>
              <w:t xml:space="preserve">visual task boards, </w:t>
            </w:r>
            <w:r w:rsidR="006508F7" w:rsidRPr="006508F7">
              <w:rPr>
                <w:sz w:val="20"/>
                <w:szCs w:val="20"/>
              </w:rPr>
              <w:t>colourful semantics</w:t>
            </w:r>
            <w:r>
              <w:rPr>
                <w:sz w:val="20"/>
                <w:szCs w:val="20"/>
              </w:rPr>
              <w:t>/</w:t>
            </w:r>
            <w:r w:rsidR="006508F7" w:rsidRPr="006508F7">
              <w:rPr>
                <w:sz w:val="20"/>
                <w:szCs w:val="20"/>
              </w:rPr>
              <w:t>narrative planning templates)</w:t>
            </w:r>
          </w:p>
          <w:p w14:paraId="18A889C1" w14:textId="77777777" w:rsidR="006508F7" w:rsidRPr="006508F7" w:rsidRDefault="006508F7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08F7">
              <w:rPr>
                <w:sz w:val="20"/>
                <w:szCs w:val="20"/>
              </w:rPr>
              <w:t>Robust Vocabulary Teaching</w:t>
            </w:r>
          </w:p>
          <w:p w14:paraId="14B97EBE" w14:textId="73F112F5" w:rsidR="006508F7" w:rsidRPr="006508F7" w:rsidRDefault="006508F7" w:rsidP="006508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08F7">
              <w:rPr>
                <w:sz w:val="20"/>
                <w:szCs w:val="20"/>
              </w:rPr>
              <w:t>Social Activities throughout the day (</w:t>
            </w:r>
            <w:proofErr w:type="spellStart"/>
            <w:proofErr w:type="gramStart"/>
            <w:r w:rsidRPr="006508F7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508F7">
              <w:rPr>
                <w:sz w:val="20"/>
                <w:szCs w:val="20"/>
              </w:rPr>
              <w:t xml:space="preserve"> </w:t>
            </w:r>
            <w:r w:rsidR="00A15A56">
              <w:rPr>
                <w:sz w:val="20"/>
                <w:szCs w:val="20"/>
              </w:rPr>
              <w:t>Tutor Group time, Social Times</w:t>
            </w:r>
            <w:r w:rsidR="00DE7CD9">
              <w:rPr>
                <w:sz w:val="20"/>
                <w:szCs w:val="20"/>
              </w:rPr>
              <w:t>, Sensory breaks</w:t>
            </w:r>
            <w:r w:rsidRPr="006508F7">
              <w:rPr>
                <w:sz w:val="20"/>
                <w:szCs w:val="20"/>
              </w:rPr>
              <w:t>)</w:t>
            </w:r>
          </w:p>
          <w:p w14:paraId="504F5E46" w14:textId="68B6B769" w:rsidR="006508F7" w:rsidRPr="00DE7CD9" w:rsidRDefault="006508F7" w:rsidP="00A15A56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DE7CD9">
              <w:rPr>
                <w:iCs/>
                <w:sz w:val="20"/>
                <w:szCs w:val="20"/>
              </w:rPr>
              <w:t>Environmental planning &amp; organisation (</w:t>
            </w:r>
            <w:r w:rsidR="00DE7CD9">
              <w:rPr>
                <w:iCs/>
                <w:sz w:val="20"/>
                <w:szCs w:val="20"/>
              </w:rPr>
              <w:t>Spaces to talk, sensory retreats, intervention rooms/spaces</w:t>
            </w:r>
            <w:r w:rsidRPr="00DE7CD9">
              <w:rPr>
                <w:iCs/>
                <w:sz w:val="20"/>
                <w:szCs w:val="20"/>
              </w:rPr>
              <w:t>).</w:t>
            </w:r>
          </w:p>
          <w:p w14:paraId="1A9669B5" w14:textId="77777777" w:rsidR="00111136" w:rsidRPr="00247E5F" w:rsidRDefault="00111136" w:rsidP="00E21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14:paraId="02B09A0E" w14:textId="7B363A7D" w:rsidR="00247E5F" w:rsidRPr="00DE7CD9" w:rsidRDefault="00DE7CD9" w:rsidP="00247E5F">
            <w:p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Pupils who are identified as having difficulties on the whole school language assessment, who it is agreed do not require specialist SALT support will</w:t>
            </w:r>
            <w:r w:rsidR="00C22FB8" w:rsidRPr="00DE7CD9">
              <w:rPr>
                <w:sz w:val="20"/>
                <w:szCs w:val="20"/>
              </w:rPr>
              <w:t xml:space="preserve"> be </w:t>
            </w:r>
            <w:r w:rsidR="00247E5F" w:rsidRPr="00DE7CD9">
              <w:rPr>
                <w:sz w:val="20"/>
                <w:szCs w:val="20"/>
              </w:rPr>
              <w:t>supported through additional targeted provision in school.</w:t>
            </w:r>
            <w:r w:rsidR="00C22FB8" w:rsidRPr="00DE7CD9">
              <w:rPr>
                <w:sz w:val="20"/>
                <w:szCs w:val="20"/>
              </w:rPr>
              <w:t xml:space="preserve">  Students who are reluctant to engage within intervention sessions with the SALT in school may also access these provisions.</w:t>
            </w:r>
          </w:p>
          <w:p w14:paraId="6B73B266" w14:textId="77777777" w:rsidR="00247E5F" w:rsidRPr="00DE7CD9" w:rsidRDefault="00247E5F" w:rsidP="00247E5F">
            <w:pPr>
              <w:rPr>
                <w:sz w:val="20"/>
                <w:szCs w:val="20"/>
              </w:rPr>
            </w:pPr>
          </w:p>
          <w:p w14:paraId="133AC7C7" w14:textId="77777777" w:rsidR="00DB461A" w:rsidRPr="00DE7CD9" w:rsidRDefault="00247E5F" w:rsidP="00DB461A">
            <w:p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Provision at a targeted level may include:</w:t>
            </w:r>
            <w:r w:rsidRPr="00DE7CD9">
              <w:rPr>
                <w:sz w:val="20"/>
                <w:szCs w:val="20"/>
              </w:rPr>
              <w:br/>
            </w:r>
          </w:p>
          <w:p w14:paraId="2FE5D652" w14:textId="6A7F55CA" w:rsidR="00247E5F" w:rsidRPr="00DE7CD9" w:rsidRDefault="00247E5F" w:rsidP="00DB46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Identifying specific strategies from universal provision which will benefit the pupil and ensuring these are sufficiently differentiated for the pupil</w:t>
            </w:r>
            <w:r w:rsidR="00A15A56" w:rsidRPr="00DE7CD9">
              <w:rPr>
                <w:sz w:val="20"/>
                <w:szCs w:val="20"/>
              </w:rPr>
              <w:t xml:space="preserve"> (SENCo in conjunction with SALT)</w:t>
            </w:r>
            <w:r w:rsidR="00DB461A" w:rsidRPr="00DE7CD9">
              <w:rPr>
                <w:sz w:val="20"/>
                <w:szCs w:val="20"/>
              </w:rPr>
              <w:t>.</w:t>
            </w:r>
          </w:p>
          <w:p w14:paraId="023323D2" w14:textId="58A28E58" w:rsidR="00247E5F" w:rsidRPr="00DE7CD9" w:rsidRDefault="00247E5F" w:rsidP="00DB461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Delivery</w:t>
            </w:r>
            <w:r w:rsidR="00DB461A" w:rsidRPr="00DE7CD9">
              <w:rPr>
                <w:sz w:val="20"/>
                <w:szCs w:val="20"/>
              </w:rPr>
              <w:t xml:space="preserve"> of</w:t>
            </w:r>
            <w:r w:rsidRPr="00DE7CD9">
              <w:rPr>
                <w:sz w:val="20"/>
                <w:szCs w:val="20"/>
              </w:rPr>
              <w:t xml:space="preserve"> intervention groups by school staff for targeted pupils/classes</w:t>
            </w:r>
            <w:r w:rsidR="00471827" w:rsidRPr="00DE7CD9">
              <w:rPr>
                <w:sz w:val="20"/>
                <w:szCs w:val="20"/>
              </w:rPr>
              <w:t xml:space="preserve">, </w:t>
            </w:r>
            <w:r w:rsidR="00C22FB8" w:rsidRPr="00DE7CD9">
              <w:rPr>
                <w:sz w:val="20"/>
                <w:szCs w:val="20"/>
              </w:rPr>
              <w:t>including</w:t>
            </w:r>
            <w:r w:rsidRPr="00DE7CD9">
              <w:rPr>
                <w:sz w:val="20"/>
                <w:szCs w:val="20"/>
              </w:rPr>
              <w:t>:</w:t>
            </w:r>
          </w:p>
          <w:p w14:paraId="20618D35" w14:textId="71A1E5C1" w:rsidR="00247E5F" w:rsidRPr="00DE7CD9" w:rsidRDefault="00247E5F" w:rsidP="00A15A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Lego-based therapy groups</w:t>
            </w:r>
            <w:r w:rsidR="00C22FB8" w:rsidRPr="00DE7CD9">
              <w:rPr>
                <w:sz w:val="20"/>
                <w:szCs w:val="20"/>
              </w:rPr>
              <w:t xml:space="preserve"> </w:t>
            </w:r>
            <w:r w:rsidRPr="00DE7CD9">
              <w:rPr>
                <w:sz w:val="20"/>
                <w:szCs w:val="20"/>
              </w:rPr>
              <w:t xml:space="preserve"> </w:t>
            </w:r>
          </w:p>
          <w:p w14:paraId="45F30AD3" w14:textId="4B448147" w:rsidR="00DB461A" w:rsidRPr="00DE7CD9" w:rsidRDefault="00DB461A" w:rsidP="00A15A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Talk Boost Groups</w:t>
            </w:r>
          </w:p>
          <w:p w14:paraId="1E20510B" w14:textId="7A93A5FB" w:rsidR="00DE7CD9" w:rsidRPr="00DE7CD9" w:rsidRDefault="00DE7CD9" w:rsidP="00A15A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DE7CD9">
              <w:rPr>
                <w:sz w:val="20"/>
                <w:szCs w:val="20"/>
              </w:rPr>
              <w:t>Talkabout</w:t>
            </w:r>
            <w:proofErr w:type="spellEnd"/>
            <w:r w:rsidRPr="00DE7CD9">
              <w:rPr>
                <w:sz w:val="20"/>
                <w:szCs w:val="20"/>
              </w:rPr>
              <w:t xml:space="preserve"> groups</w:t>
            </w:r>
          </w:p>
          <w:p w14:paraId="7891540E" w14:textId="7A52A0B2" w:rsidR="00A15A56" w:rsidRPr="00DE7CD9" w:rsidRDefault="00A15A56" w:rsidP="00A15A56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663FBDD0" w14:textId="0F3F4397" w:rsidR="00A15A56" w:rsidRPr="00DE7CD9" w:rsidRDefault="00A15A56" w:rsidP="00A15A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Access to interventions which support social communication</w:t>
            </w:r>
            <w:r w:rsidR="00C22FB8" w:rsidRPr="00DE7CD9">
              <w:rPr>
                <w:sz w:val="20"/>
                <w:szCs w:val="20"/>
              </w:rPr>
              <w:t xml:space="preserve"> and emotional</w:t>
            </w:r>
            <w:r w:rsidRPr="00DE7CD9">
              <w:rPr>
                <w:sz w:val="20"/>
                <w:szCs w:val="20"/>
              </w:rPr>
              <w:t xml:space="preserve"> development:</w:t>
            </w:r>
          </w:p>
          <w:p w14:paraId="4EEBBBC8" w14:textId="7695A74A" w:rsidR="00A15A56" w:rsidRPr="00DE7CD9" w:rsidRDefault="00A15A56" w:rsidP="00A15A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Thrive</w:t>
            </w:r>
          </w:p>
          <w:p w14:paraId="76C15F08" w14:textId="3A3E6138" w:rsidR="00A15A56" w:rsidRPr="00DE7CD9" w:rsidRDefault="00A15A56" w:rsidP="00A15A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Willow Room</w:t>
            </w:r>
          </w:p>
          <w:p w14:paraId="06246B60" w14:textId="72171D40" w:rsidR="00C22FB8" w:rsidRPr="00DE7CD9" w:rsidRDefault="00C22FB8" w:rsidP="00A15A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Learning Resource Room</w:t>
            </w:r>
          </w:p>
          <w:p w14:paraId="74B4772B" w14:textId="728CAEB0" w:rsidR="00A15A56" w:rsidRPr="00DE7CD9" w:rsidRDefault="00A15A56" w:rsidP="00A15A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>Pastoral Support</w:t>
            </w:r>
          </w:p>
          <w:p w14:paraId="1761F409" w14:textId="77777777" w:rsidR="00111136" w:rsidRPr="00DE7CD9" w:rsidRDefault="00111136" w:rsidP="00E21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  <w:shd w:val="clear" w:color="auto" w:fill="auto"/>
          </w:tcPr>
          <w:p w14:paraId="2B11F34A" w14:textId="1945B873" w:rsidR="00DB461A" w:rsidRDefault="00DB461A" w:rsidP="00DB461A">
            <w:pPr>
              <w:rPr>
                <w:sz w:val="20"/>
                <w:szCs w:val="20"/>
              </w:rPr>
            </w:pPr>
            <w:r w:rsidRPr="00DB461A">
              <w:rPr>
                <w:sz w:val="20"/>
                <w:szCs w:val="20"/>
              </w:rPr>
              <w:t>Pupils who are identified through the whole school language assessment as having a moderate</w:t>
            </w:r>
            <w:r>
              <w:rPr>
                <w:sz w:val="20"/>
                <w:szCs w:val="20"/>
              </w:rPr>
              <w:t xml:space="preserve"> to severe</w:t>
            </w:r>
            <w:r w:rsidRPr="00DB461A">
              <w:rPr>
                <w:sz w:val="20"/>
                <w:szCs w:val="20"/>
              </w:rPr>
              <w:t xml:space="preserve"> delay in their language development, and</w:t>
            </w:r>
            <w:r>
              <w:rPr>
                <w:sz w:val="20"/>
                <w:szCs w:val="20"/>
              </w:rPr>
              <w:t>/or</w:t>
            </w:r>
            <w:r w:rsidRPr="00DB461A">
              <w:rPr>
                <w:sz w:val="20"/>
                <w:szCs w:val="20"/>
              </w:rPr>
              <w:t xml:space="preserve"> hav</w:t>
            </w:r>
            <w:r w:rsidR="00562CB8">
              <w:rPr>
                <w:sz w:val="20"/>
                <w:szCs w:val="20"/>
              </w:rPr>
              <w:t>e</w:t>
            </w:r>
            <w:r w:rsidRPr="00DB461A">
              <w:rPr>
                <w:sz w:val="20"/>
                <w:szCs w:val="20"/>
              </w:rPr>
              <w:t xml:space="preserve"> additional speech or social communication difficulties </w:t>
            </w:r>
            <w:r w:rsidR="00C22FB8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 w:rsidR="00DE7CD9">
              <w:rPr>
                <w:sz w:val="20"/>
                <w:szCs w:val="20"/>
              </w:rPr>
              <w:t xml:space="preserve">initially </w:t>
            </w:r>
            <w:r w:rsidRPr="00DB461A">
              <w:rPr>
                <w:sz w:val="20"/>
                <w:szCs w:val="20"/>
              </w:rPr>
              <w:t xml:space="preserve">supported through </w:t>
            </w:r>
            <w:r>
              <w:rPr>
                <w:sz w:val="20"/>
                <w:szCs w:val="20"/>
              </w:rPr>
              <w:t>specialist SALT</w:t>
            </w:r>
            <w:r w:rsidRPr="00DB461A">
              <w:rPr>
                <w:sz w:val="20"/>
                <w:szCs w:val="20"/>
              </w:rPr>
              <w:t xml:space="preserve"> provision in school.</w:t>
            </w:r>
          </w:p>
          <w:p w14:paraId="0CB7AD7A" w14:textId="7D86D192" w:rsidR="00DB461A" w:rsidRDefault="00DB461A" w:rsidP="00DB461A">
            <w:pPr>
              <w:rPr>
                <w:sz w:val="20"/>
                <w:szCs w:val="20"/>
              </w:rPr>
            </w:pPr>
          </w:p>
          <w:p w14:paraId="030A78D9" w14:textId="112F4116" w:rsidR="00DB461A" w:rsidRDefault="00DB461A" w:rsidP="00DB4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at a specialist level include</w:t>
            </w:r>
            <w:r w:rsidR="00C22FB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</w:t>
            </w:r>
          </w:p>
          <w:p w14:paraId="1F0DDA06" w14:textId="32EE0227" w:rsidR="00DE7CD9" w:rsidRPr="00DE7CD9" w:rsidRDefault="00DB461A" w:rsidP="006B605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7CD9">
              <w:rPr>
                <w:sz w:val="20"/>
                <w:szCs w:val="20"/>
              </w:rPr>
              <w:t xml:space="preserve">Further assessment of </w:t>
            </w:r>
            <w:r w:rsidR="00562CB8" w:rsidRPr="00DE7CD9">
              <w:rPr>
                <w:sz w:val="20"/>
                <w:szCs w:val="20"/>
              </w:rPr>
              <w:t>pupil</w:t>
            </w:r>
            <w:r w:rsidRPr="00DE7CD9">
              <w:rPr>
                <w:sz w:val="20"/>
                <w:szCs w:val="20"/>
              </w:rPr>
              <w:t>’s speech, language and communication needs</w:t>
            </w:r>
            <w:r w:rsidR="00DE7CD9" w:rsidRPr="00DE7CD9">
              <w:rPr>
                <w:sz w:val="20"/>
                <w:szCs w:val="20"/>
              </w:rPr>
              <w:t xml:space="preserve"> and </w:t>
            </w:r>
            <w:r w:rsidR="00DE7CD9">
              <w:rPr>
                <w:sz w:val="20"/>
                <w:szCs w:val="20"/>
              </w:rPr>
              <w:t>p</w:t>
            </w:r>
            <w:r w:rsidR="00562CB8" w:rsidRPr="00DE7CD9">
              <w:rPr>
                <w:sz w:val="20"/>
                <w:szCs w:val="20"/>
              </w:rPr>
              <w:t xml:space="preserve">rovision of a SALT report </w:t>
            </w:r>
            <w:r w:rsidR="00DE7CD9">
              <w:rPr>
                <w:sz w:val="20"/>
                <w:szCs w:val="20"/>
              </w:rPr>
              <w:t>with</w:t>
            </w:r>
            <w:r w:rsidR="00562CB8" w:rsidRPr="00DE7CD9">
              <w:rPr>
                <w:sz w:val="20"/>
                <w:szCs w:val="20"/>
              </w:rPr>
              <w:t xml:space="preserve"> </w:t>
            </w:r>
            <w:r w:rsidR="00DE7CD9" w:rsidRPr="00DE7CD9">
              <w:rPr>
                <w:sz w:val="20"/>
                <w:szCs w:val="20"/>
              </w:rPr>
              <w:t xml:space="preserve">recommendations for supporting </w:t>
            </w:r>
            <w:r w:rsidR="00DE7CD9">
              <w:rPr>
                <w:sz w:val="20"/>
                <w:szCs w:val="20"/>
              </w:rPr>
              <w:t>a pupil’s SLCNs across the day</w:t>
            </w:r>
            <w:r w:rsidR="00DE7CD9" w:rsidRPr="00DE7CD9">
              <w:rPr>
                <w:sz w:val="20"/>
                <w:szCs w:val="20"/>
              </w:rPr>
              <w:t>.</w:t>
            </w:r>
          </w:p>
          <w:p w14:paraId="1FCDA10F" w14:textId="47FF3D8E" w:rsidR="00562CB8" w:rsidRDefault="00DE7CD9" w:rsidP="00DB461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1:1/paired/small group intervention by the SALT/SI Support Worker in school following a </w:t>
            </w:r>
            <w:r w:rsidR="00562CB8">
              <w:rPr>
                <w:sz w:val="20"/>
                <w:szCs w:val="20"/>
              </w:rPr>
              <w:t>therapy plan</w:t>
            </w:r>
            <w:r>
              <w:rPr>
                <w:sz w:val="20"/>
                <w:szCs w:val="20"/>
              </w:rPr>
              <w:t xml:space="preserve"> provided by the SALT in school</w:t>
            </w:r>
            <w:r w:rsidR="00562CB8">
              <w:rPr>
                <w:sz w:val="20"/>
                <w:szCs w:val="20"/>
              </w:rPr>
              <w:t>.</w:t>
            </w:r>
          </w:p>
          <w:p w14:paraId="2919B831" w14:textId="1A78A281" w:rsidR="00DB461A" w:rsidRDefault="00DB461A" w:rsidP="00DB461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1:1</w:t>
            </w:r>
            <w:r w:rsidR="00DE7C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paired</w:t>
            </w:r>
            <w:r w:rsidR="00DE7C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small group therapy intervention delivered by the SALT in schoo</w:t>
            </w:r>
            <w:r w:rsidR="00DE7CD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  <w:p w14:paraId="2E911779" w14:textId="6C53BB66" w:rsidR="00DB461A" w:rsidRDefault="00DB461A" w:rsidP="00DB461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 of targets into </w:t>
            </w:r>
            <w:r w:rsidR="00562CB8">
              <w:rPr>
                <w:sz w:val="20"/>
                <w:szCs w:val="20"/>
              </w:rPr>
              <w:t>pupil</w:t>
            </w:r>
            <w:r>
              <w:rPr>
                <w:sz w:val="20"/>
                <w:szCs w:val="20"/>
              </w:rPr>
              <w:t>’s Individual Learning Plans/Pupil Passports</w:t>
            </w:r>
            <w:r w:rsidR="00DE7CD9">
              <w:rPr>
                <w:sz w:val="20"/>
                <w:szCs w:val="20"/>
              </w:rPr>
              <w:t xml:space="preserve"> (SENCO led)</w:t>
            </w:r>
            <w:r>
              <w:rPr>
                <w:sz w:val="20"/>
                <w:szCs w:val="20"/>
              </w:rPr>
              <w:t>.</w:t>
            </w:r>
          </w:p>
          <w:p w14:paraId="4BBFEA8F" w14:textId="27A572BB" w:rsidR="005B4594" w:rsidRPr="005B4594" w:rsidRDefault="005B4594" w:rsidP="0000628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B4594">
              <w:rPr>
                <w:sz w:val="20"/>
                <w:szCs w:val="20"/>
              </w:rPr>
              <w:t>Joint working with school staff, parents</w:t>
            </w:r>
            <w:r w:rsidR="00DE7CD9">
              <w:rPr>
                <w:sz w:val="20"/>
                <w:szCs w:val="20"/>
              </w:rPr>
              <w:t>/</w:t>
            </w:r>
            <w:r w:rsidRPr="005B4594">
              <w:rPr>
                <w:sz w:val="20"/>
                <w:szCs w:val="20"/>
              </w:rPr>
              <w:t>care staff as appropriate to deliver individualised programmes of support</w:t>
            </w:r>
            <w:r>
              <w:rPr>
                <w:sz w:val="20"/>
                <w:szCs w:val="20"/>
              </w:rPr>
              <w:t>, provid</w:t>
            </w:r>
            <w:r w:rsidR="00C22FB8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the SALT.</w:t>
            </w:r>
          </w:p>
          <w:p w14:paraId="4778D005" w14:textId="77777777" w:rsidR="00111136" w:rsidRPr="00DE7CD9" w:rsidRDefault="00DB461A" w:rsidP="00DE7CD9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E7CD9">
              <w:rPr>
                <w:sz w:val="20"/>
                <w:szCs w:val="20"/>
              </w:rPr>
              <w:t xml:space="preserve">Where numbers for therapy are high, the caseload </w:t>
            </w:r>
            <w:r w:rsidR="00C22FB8" w:rsidRPr="00DE7CD9">
              <w:rPr>
                <w:sz w:val="20"/>
                <w:szCs w:val="20"/>
              </w:rPr>
              <w:t xml:space="preserve">is </w:t>
            </w:r>
            <w:r w:rsidRPr="00DE7CD9">
              <w:rPr>
                <w:sz w:val="20"/>
                <w:szCs w:val="20"/>
              </w:rPr>
              <w:t>prioritised in conjunction with the SENC</w:t>
            </w:r>
            <w:r w:rsidR="00DE7CD9" w:rsidRPr="00DE7CD9">
              <w:rPr>
                <w:sz w:val="20"/>
                <w:szCs w:val="20"/>
              </w:rPr>
              <w:t>O.</w:t>
            </w:r>
          </w:p>
          <w:p w14:paraId="23DBC85A" w14:textId="49F141DE" w:rsidR="00DE7CD9" w:rsidRPr="00111136" w:rsidRDefault="00DE7CD9" w:rsidP="00DE7CD9">
            <w:p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48E93DC0" w14:textId="32CDCAC1" w:rsidR="00111136" w:rsidRDefault="00111136"/>
    <w:p w14:paraId="0B5967E6" w14:textId="4936FF17" w:rsidR="00E21C0A" w:rsidRDefault="00E21C0A"/>
    <w:sectPr w:rsidR="00E21C0A" w:rsidSect="00E21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BE02" w14:textId="77777777" w:rsidR="005457DE" w:rsidRDefault="005457DE" w:rsidP="00E21C0A">
      <w:pPr>
        <w:spacing w:after="0" w:line="240" w:lineRule="auto"/>
      </w:pPr>
      <w:r>
        <w:separator/>
      </w:r>
    </w:p>
  </w:endnote>
  <w:endnote w:type="continuationSeparator" w:id="0">
    <w:p w14:paraId="1F05FB5C" w14:textId="77777777" w:rsidR="005457DE" w:rsidRDefault="005457DE" w:rsidP="00E2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2BE" w14:textId="77777777" w:rsidR="00E21C0A" w:rsidRDefault="00E2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E2AF" w14:textId="77777777" w:rsidR="00E21C0A" w:rsidRDefault="00E21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29D" w14:textId="77777777" w:rsidR="00E21C0A" w:rsidRDefault="00E2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8C26" w14:textId="77777777" w:rsidR="005457DE" w:rsidRDefault="005457DE" w:rsidP="00E21C0A">
      <w:pPr>
        <w:spacing w:after="0" w:line="240" w:lineRule="auto"/>
      </w:pPr>
      <w:r>
        <w:separator/>
      </w:r>
    </w:p>
  </w:footnote>
  <w:footnote w:type="continuationSeparator" w:id="0">
    <w:p w14:paraId="2AC2FCC4" w14:textId="77777777" w:rsidR="005457DE" w:rsidRDefault="005457DE" w:rsidP="00E2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DDB2" w14:textId="77777777" w:rsidR="00E21C0A" w:rsidRDefault="00E2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881" w14:textId="2DA158AC" w:rsidR="00E21C0A" w:rsidRDefault="00E21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91E" w14:textId="77777777" w:rsidR="00E21C0A" w:rsidRDefault="00E2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A9"/>
    <w:multiLevelType w:val="hybridMultilevel"/>
    <w:tmpl w:val="327E91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94FA3"/>
    <w:multiLevelType w:val="hybridMultilevel"/>
    <w:tmpl w:val="01EAEC42"/>
    <w:lvl w:ilvl="0" w:tplc="8A22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2C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25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E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8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E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E4FED"/>
    <w:multiLevelType w:val="hybridMultilevel"/>
    <w:tmpl w:val="16F6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57B7"/>
    <w:multiLevelType w:val="hybridMultilevel"/>
    <w:tmpl w:val="342C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3F84"/>
    <w:multiLevelType w:val="hybridMultilevel"/>
    <w:tmpl w:val="F626AEC8"/>
    <w:lvl w:ilvl="0" w:tplc="A85C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44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8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8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2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A116C4"/>
    <w:multiLevelType w:val="hybridMultilevel"/>
    <w:tmpl w:val="457C08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04B95"/>
    <w:multiLevelType w:val="hybridMultilevel"/>
    <w:tmpl w:val="A98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15AE6"/>
    <w:multiLevelType w:val="hybridMultilevel"/>
    <w:tmpl w:val="C9F6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0A"/>
    <w:rsid w:val="00111136"/>
    <w:rsid w:val="001741DD"/>
    <w:rsid w:val="001C7A09"/>
    <w:rsid w:val="00247E5F"/>
    <w:rsid w:val="00356608"/>
    <w:rsid w:val="00471827"/>
    <w:rsid w:val="005457DE"/>
    <w:rsid w:val="00562CB8"/>
    <w:rsid w:val="005B4594"/>
    <w:rsid w:val="006508F7"/>
    <w:rsid w:val="00686CF7"/>
    <w:rsid w:val="00807C2F"/>
    <w:rsid w:val="00955C70"/>
    <w:rsid w:val="00974395"/>
    <w:rsid w:val="00A15A56"/>
    <w:rsid w:val="00BF4422"/>
    <w:rsid w:val="00C22FB8"/>
    <w:rsid w:val="00C37569"/>
    <w:rsid w:val="00C56356"/>
    <w:rsid w:val="00DB461A"/>
    <w:rsid w:val="00DE7CD9"/>
    <w:rsid w:val="00E21C0A"/>
    <w:rsid w:val="00E9437E"/>
    <w:rsid w:val="00F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724C3"/>
  <w15:chartTrackingRefBased/>
  <w15:docId w15:val="{4FCFB457-0196-4496-B079-80A6531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0A"/>
  </w:style>
  <w:style w:type="paragraph" w:styleId="Footer">
    <w:name w:val="footer"/>
    <w:basedOn w:val="Normal"/>
    <w:link w:val="FooterChar"/>
    <w:uiPriority w:val="99"/>
    <w:unhideWhenUsed/>
    <w:rsid w:val="00E2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0A"/>
  </w:style>
  <w:style w:type="table" w:styleId="TableGrid">
    <w:name w:val="Table Grid"/>
    <w:basedOn w:val="TableNormal"/>
    <w:uiPriority w:val="39"/>
    <w:rsid w:val="001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Cookson</dc:creator>
  <cp:keywords/>
  <dc:description/>
  <cp:lastModifiedBy>melanie cookson</cp:lastModifiedBy>
  <cp:revision>2</cp:revision>
  <dcterms:created xsi:type="dcterms:W3CDTF">2021-08-27T12:53:00Z</dcterms:created>
  <dcterms:modified xsi:type="dcterms:W3CDTF">2021-08-27T12:53:00Z</dcterms:modified>
</cp:coreProperties>
</file>