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586905F0" w:rsidR="070A8777" w:rsidRDefault="002375C4" w:rsidP="070A8777">
      <w:pPr>
        <w:jc w:val="center"/>
      </w:pPr>
      <w:r>
        <w:t>2019-20</w:t>
      </w:r>
      <w:r w:rsidR="00A33FA4">
        <w:t xml:space="preserve"> Autumn Update</w:t>
      </w:r>
    </w:p>
    <w:p w14:paraId="31F95893" w14:textId="3A949176" w:rsidR="009F6898" w:rsidRDefault="009F6898" w:rsidP="00E60C7C"/>
    <w:p w14:paraId="2C61D19B" w14:textId="0D2B94D1" w:rsidR="00E60C7C" w:rsidRPr="00A33FA4" w:rsidRDefault="00E60C7C" w:rsidP="5F0D3EEC">
      <w:pPr>
        <w:rPr>
          <w:b/>
          <w:bCs/>
        </w:rPr>
      </w:pPr>
      <w:r>
        <w:t>The Pupil Premium is additional funding for publicly funded schools in England to raise the attainment of disadvantaged pupils and close the gap between them and their peers.</w:t>
      </w:r>
    </w:p>
    <w:p w14:paraId="598F9905" w14:textId="3A6AECD5" w:rsidR="009F6898" w:rsidRPr="009F6898" w:rsidRDefault="009F6898" w:rsidP="5F0D3EEC">
      <w:pPr>
        <w:rPr>
          <w:rFonts w:cstheme="minorHAnsi"/>
        </w:rPr>
      </w:pPr>
      <w:r>
        <w:rPr>
          <w:rFonts w:cstheme="minorHAnsi"/>
          <w:color w:val="0B0C0C"/>
          <w:shd w:val="clear" w:color="auto" w:fill="FFFFFF"/>
        </w:rPr>
        <w:t>It is</w:t>
      </w:r>
      <w:r w:rsidRPr="009F6898">
        <w:rPr>
          <w:rFonts w:cstheme="minorHAnsi"/>
          <w:color w:val="0B0C0C"/>
          <w:shd w:val="clear" w:color="auto" w:fill="FFFFFF"/>
        </w:rPr>
        <w:t xml:space="preserve"> designed to allow schools to help disadvantaged pupils by improving their progress and the exam results they achieve.</w:t>
      </w:r>
    </w:p>
    <w:p w14:paraId="2EC7FC8C" w14:textId="77777777" w:rsidR="009F6898" w:rsidRDefault="009F6898" w:rsidP="5F0D3EEC"/>
    <w:p w14:paraId="0CCE9B0E" w14:textId="19A01EBD" w:rsidR="070A8777" w:rsidRDefault="5F0D3EEC" w:rsidP="5F0D3EEC">
      <w:pPr>
        <w:rPr>
          <w:b/>
          <w:bCs/>
        </w:rPr>
      </w:pPr>
      <w:r>
        <w:t xml:space="preserve">This year the allocation is (indicated at) </w:t>
      </w:r>
      <w:r w:rsidRPr="5F0D3EEC">
        <w:rPr>
          <w:b/>
          <w:bCs/>
        </w:rPr>
        <w:t>£</w:t>
      </w:r>
      <w:r w:rsidR="002375C4">
        <w:rPr>
          <w:b/>
          <w:bCs/>
        </w:rPr>
        <w:t>67,375</w:t>
      </w:r>
    </w:p>
    <w:p w14:paraId="44959B5B" w14:textId="77777777" w:rsidR="00741F16" w:rsidRDefault="00741F16" w:rsidP="00741F16">
      <w:pPr>
        <w:pStyle w:val="NoSpacing"/>
        <w:rPr>
          <w:rFonts w:asciiTheme="minorHAnsi" w:eastAsia="Arial,Arial,Times New Roman" w:hAnsiTheme="minorHAnsi" w:cs="Arial"/>
          <w:color w:val="000000" w:themeColor="text1"/>
          <w:sz w:val="18"/>
          <w:szCs w:val="18"/>
          <w:lang w:eastAsia="en-GB"/>
        </w:rPr>
      </w:pPr>
    </w:p>
    <w:p w14:paraId="3A75C8D4" w14:textId="77777777" w:rsidR="00741F16" w:rsidRDefault="00741F16" w:rsidP="00741F16">
      <w:pPr>
        <w:rPr>
          <w:b/>
          <w:bCs/>
          <w:color w:val="000000" w:themeColor="text1"/>
          <w:sz w:val="18"/>
          <w:szCs w:val="18"/>
        </w:rPr>
      </w:pPr>
      <w:r>
        <w:rPr>
          <w:b/>
          <w:bCs/>
          <w:color w:val="000000" w:themeColor="text1"/>
          <w:sz w:val="18"/>
          <w:szCs w:val="18"/>
        </w:rPr>
        <w:t>This is comprised of the estimated figure of £46,175</w:t>
      </w:r>
    </w:p>
    <w:p w14:paraId="53A62D87" w14:textId="77777777" w:rsidR="00741F16" w:rsidRDefault="00741F16" w:rsidP="00741F16">
      <w:pPr>
        <w:rPr>
          <w:b/>
          <w:bCs/>
          <w:color w:val="000000" w:themeColor="text1"/>
          <w:sz w:val="18"/>
          <w:szCs w:val="18"/>
        </w:rPr>
      </w:pPr>
      <w:r>
        <w:rPr>
          <w:b/>
          <w:bCs/>
          <w:color w:val="000000" w:themeColor="text1"/>
          <w:sz w:val="18"/>
          <w:szCs w:val="18"/>
        </w:rPr>
        <w:t>Plus £16,200 Estimated PEP allowance</w:t>
      </w:r>
    </w:p>
    <w:p w14:paraId="292D7CF2" w14:textId="77777777" w:rsidR="00741F16" w:rsidRDefault="00741F16" w:rsidP="00741F16">
      <w:pPr>
        <w:rPr>
          <w:b/>
          <w:bCs/>
          <w:color w:val="000000" w:themeColor="text1"/>
          <w:sz w:val="18"/>
          <w:szCs w:val="18"/>
        </w:rPr>
      </w:pPr>
      <w:r>
        <w:rPr>
          <w:b/>
          <w:bCs/>
          <w:color w:val="000000" w:themeColor="text1"/>
          <w:sz w:val="18"/>
          <w:szCs w:val="18"/>
        </w:rPr>
        <w:t>Plus £3000 Out of County allowance</w:t>
      </w:r>
    </w:p>
    <w:p w14:paraId="3BF314F5" w14:textId="15FF6FE7" w:rsidR="070A8777" w:rsidRDefault="070A8777" w:rsidP="070A8777">
      <w:pPr>
        <w:rPr>
          <w:b/>
          <w:bCs/>
        </w:rPr>
      </w:pPr>
    </w:p>
    <w:p w14:paraId="0D2D721E" w14:textId="06533FF3" w:rsidR="070A8777" w:rsidRDefault="070A8777" w:rsidP="070A8777"/>
    <w:p w14:paraId="0154EBAD" w14:textId="51BA7C26" w:rsidR="070A8777" w:rsidRDefault="070A8777" w:rsidP="070A8777">
      <w:r>
        <w:t>Barriers to learning at Hope High School:</w:t>
      </w:r>
    </w:p>
    <w:p w14:paraId="37216524" w14:textId="6753A779" w:rsidR="00F26133" w:rsidRDefault="002375C4" w:rsidP="00F26133">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2 years due to the introduction and embedding of the Accelerated Reader scheme. </w:t>
      </w:r>
    </w:p>
    <w:p w14:paraId="5CD6EDC9" w14:textId="698B18F0" w:rsidR="070A8777" w:rsidRDefault="070A8777" w:rsidP="002375C4">
      <w:pPr>
        <w:pStyle w:val="Subtitle"/>
      </w:pPr>
    </w:p>
    <w:p w14:paraId="650877ED" w14:textId="0291D62D" w:rsidR="070A8777" w:rsidRDefault="070A8777" w:rsidP="070A8777">
      <w:r>
        <w:t>It is proven that improving reading skills; understanding texts, improving vocabulary and developing reading for pleasure will improve literacy skills in the individual and therefore increase their chances of academic success.</w:t>
      </w:r>
    </w:p>
    <w:p w14:paraId="39654459" w14:textId="5BF8C68E" w:rsidR="070A8777" w:rsidRDefault="070A8777" w:rsidP="070A8777"/>
    <w:p w14:paraId="71E60B00" w14:textId="77777777" w:rsidR="00A33FA4" w:rsidRDefault="00A33FA4"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lastRenderedPageBreak/>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214101E7" w:rsidR="070A8777" w:rsidRDefault="070A8777" w:rsidP="070A8777"/>
    <w:p w14:paraId="55F2BAFB" w14:textId="77777777" w:rsidR="00A33FA4" w:rsidRDefault="00A33FA4"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5BFC14A3" w:rsidR="00EE54F9" w:rsidRDefault="00EE54F9" w:rsidP="002375C4"/>
    <w:p w14:paraId="70B088CE" w14:textId="77777777" w:rsidR="00A33FA4" w:rsidRDefault="00A33FA4"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2B27AF7A" w:rsidR="070A8777" w:rsidRDefault="00EE54F9" w:rsidP="070A8777">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w:t>
      </w:r>
      <w:proofErr w:type="gramStart"/>
      <w:r>
        <w:t>,ASD,OCD</w:t>
      </w:r>
      <w:proofErr w:type="gramEnd"/>
      <w:r>
        <w:t>, ODD), support pupils in managing bereavement and life changes.</w:t>
      </w:r>
    </w:p>
    <w:p w14:paraId="1DCE5C4E" w14:textId="758FFF30" w:rsidR="070A8777" w:rsidRDefault="070A8777" w:rsidP="070A8777"/>
    <w:p w14:paraId="6AC680D9" w14:textId="6BADE1EC" w:rsidR="070A8777" w:rsidRDefault="070A8777" w:rsidP="070A8777"/>
    <w:p w14:paraId="25C126AB" w14:textId="5A5CF225" w:rsidR="070A8777" w:rsidRDefault="070A8777" w:rsidP="070A8777"/>
    <w:p w14:paraId="3F4C8347" w14:textId="3F7D2DA3" w:rsidR="070A8777" w:rsidRDefault="070A8777" w:rsidP="070A8777"/>
    <w:p w14:paraId="404CA825" w14:textId="57DB7CCA" w:rsidR="00A33FA4" w:rsidRDefault="00A33FA4" w:rsidP="070A8777"/>
    <w:p w14:paraId="1A4F3A0F" w14:textId="6C7321C5" w:rsidR="00A33FA4" w:rsidRDefault="00A33FA4" w:rsidP="070A8777"/>
    <w:p w14:paraId="17E377FB" w14:textId="0C7EA3F1" w:rsidR="00A33FA4" w:rsidRDefault="00A33FA4" w:rsidP="070A8777"/>
    <w:p w14:paraId="7163FA29" w14:textId="2380FE24" w:rsidR="00A33FA4" w:rsidRDefault="00A33FA4" w:rsidP="070A8777"/>
    <w:p w14:paraId="26A27FAD" w14:textId="77777777" w:rsidR="00A33FA4" w:rsidRDefault="00A33FA4" w:rsidP="070A8777"/>
    <w:p w14:paraId="3BE88695" w14:textId="6B09CED8" w:rsidR="070A8777" w:rsidRDefault="070A8777" w:rsidP="070A8777"/>
    <w:p w14:paraId="626BC0D5" w14:textId="1F4D577C"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26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D617FAC" w14:textId="77F22EA0" w:rsidR="06066509" w:rsidRDefault="06066509" w:rsidP="06066509">
            <w:pPr>
              <w:spacing w:after="160" w:line="259" w:lineRule="auto"/>
            </w:pPr>
            <w:r>
              <w:rPr>
                <w:b w:val="0"/>
                <w:bCs w:val="0"/>
              </w:rPr>
              <w:lastRenderedPageBreak/>
              <w:t>Objective</w:t>
            </w:r>
          </w:p>
        </w:tc>
        <w:tc>
          <w:tcPr>
            <w:tcW w:w="4530"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99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96"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530"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99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0BEC53FD" w:rsidR="070A8777" w:rsidRDefault="00662927" w:rsidP="00662927">
            <w:pPr>
              <w:cnfStyle w:val="000000100000" w:firstRow="0" w:lastRow="0" w:firstColumn="0" w:lastColumn="0" w:oddVBand="0" w:evenVBand="0" w:oddHBand="1" w:evenHBand="0" w:firstRowFirstColumn="0" w:firstRowLastColumn="0" w:lastRowFirstColumn="0" w:lastRowLastColumn="0"/>
              <w:rPr>
                <w:sz w:val="18"/>
                <w:szCs w:val="18"/>
              </w:rPr>
            </w:pPr>
            <w:r w:rsidRPr="00662927">
              <w:t>£1,617</w:t>
            </w:r>
          </w:p>
        </w:tc>
        <w:tc>
          <w:tcPr>
            <w:tcW w:w="1996"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530"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99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51500150" w:rsidR="00662927" w:rsidRDefault="00662927" w:rsidP="00662927">
            <w:pPr>
              <w:cnfStyle w:val="000000000000" w:firstRow="0" w:lastRow="0" w:firstColumn="0" w:lastColumn="0" w:oddVBand="0" w:evenVBand="0" w:oddHBand="0" w:evenHBand="0" w:firstRowFirstColumn="0" w:firstRowLastColumn="0" w:lastRowFirstColumn="0" w:lastRowLastColumn="0"/>
            </w:pPr>
            <w:r>
              <w:t>£3,000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96"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530"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99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96"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26133">
        <w:tc>
          <w:tcPr>
            <w:cnfStyle w:val="001000000000" w:firstRow="0" w:lastRow="0" w:firstColumn="1" w:lastColumn="0" w:oddVBand="0" w:evenVBand="0" w:oddHBand="0" w:evenHBand="0" w:firstRowFirstColumn="0" w:firstRowLastColumn="0" w:lastRowFirstColumn="0" w:lastRowLastColumn="0"/>
            <w:tcW w:w="1926"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530"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99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0B5DB60A"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96"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26133" w14:paraId="4B620A2A" w14:textId="77777777" w:rsidTr="00F26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0974FEC0" w14:textId="678BD4AF" w:rsidR="00F26133" w:rsidRDefault="00F26133" w:rsidP="00F26133"/>
        </w:tc>
        <w:tc>
          <w:tcPr>
            <w:tcW w:w="4530" w:type="dxa"/>
          </w:tcPr>
          <w:p w14:paraId="6E2A6500" w14:textId="1A52E7CD" w:rsidR="00F26133" w:rsidRDefault="00F26133" w:rsidP="00F26133">
            <w:pPr>
              <w:jc w:val="right"/>
              <w:cnfStyle w:val="000000100000" w:firstRow="0" w:lastRow="0" w:firstColumn="0" w:lastColumn="0" w:oddVBand="0" w:evenVBand="0" w:oddHBand="1" w:evenHBand="0" w:firstRowFirstColumn="0" w:firstRowLastColumn="0" w:lastRowFirstColumn="0" w:lastRowLastColumn="0"/>
            </w:pPr>
            <w:r>
              <w:t>Total</w:t>
            </w:r>
          </w:p>
        </w:tc>
        <w:tc>
          <w:tcPr>
            <w:tcW w:w="990" w:type="dxa"/>
          </w:tcPr>
          <w:p w14:paraId="25FAEF1A" w14:textId="132A4D33" w:rsidR="00F26133" w:rsidRDefault="00F26133" w:rsidP="00193E83">
            <w:pPr>
              <w:cnfStyle w:val="000000100000" w:firstRow="0" w:lastRow="0" w:firstColumn="0" w:lastColumn="0" w:oddVBand="0" w:evenVBand="0" w:oddHBand="1" w:evenHBand="0" w:firstRowFirstColumn="0" w:firstRowLastColumn="0" w:lastRowFirstColumn="0" w:lastRowLastColumn="0"/>
              <w:rPr>
                <w:b/>
                <w:bCs/>
              </w:rPr>
            </w:pPr>
            <w:r w:rsidRPr="06066509">
              <w:rPr>
                <w:b/>
                <w:bCs/>
              </w:rPr>
              <w:t>£</w:t>
            </w:r>
            <w:r w:rsidR="00662927">
              <w:rPr>
                <w:b/>
                <w:bCs/>
              </w:rPr>
              <w:t>67,375</w:t>
            </w:r>
          </w:p>
        </w:tc>
        <w:tc>
          <w:tcPr>
            <w:tcW w:w="1996" w:type="dxa"/>
          </w:tcPr>
          <w:p w14:paraId="4E257DF2" w14:textId="7B02DC16" w:rsidR="00F26133" w:rsidRDefault="00F26133" w:rsidP="00F26133">
            <w:pPr>
              <w:cnfStyle w:val="000000100000" w:firstRow="0" w:lastRow="0" w:firstColumn="0" w:lastColumn="0" w:oddVBand="0" w:evenVBand="0" w:oddHBand="1" w:evenHBand="0" w:firstRowFirstColumn="0" w:firstRowLastColumn="0" w:lastRowFirstColumn="0" w:lastRowLastColumn="0"/>
            </w:pPr>
          </w:p>
        </w:tc>
      </w:tr>
    </w:tbl>
    <w:p w14:paraId="46661357" w14:textId="3D8EF691" w:rsidR="070A8777" w:rsidRDefault="070A8777" w:rsidP="070A8777">
      <w:pPr>
        <w:jc w:val="center"/>
      </w:pPr>
    </w:p>
    <w:p w14:paraId="7BBCDA42" w14:textId="4308C619" w:rsidR="7874973D" w:rsidRDefault="7874973D" w:rsidP="7874973D">
      <w:pPr>
        <w:jc w:val="center"/>
      </w:pPr>
    </w:p>
    <w:p w14:paraId="42A4740A" w14:textId="3A047DFF" w:rsidR="00A33FA4" w:rsidRDefault="00A33FA4" w:rsidP="7874973D">
      <w:pPr>
        <w:jc w:val="center"/>
      </w:pPr>
    </w:p>
    <w:p w14:paraId="59627BB9" w14:textId="77777777" w:rsidR="00A33FA4" w:rsidRDefault="00A33FA4" w:rsidP="7874973D">
      <w:pPr>
        <w:jc w:val="center"/>
      </w:pPr>
    </w:p>
    <w:p w14:paraId="2BEED836" w14:textId="77777777" w:rsidR="00550486" w:rsidRDefault="00550486" w:rsidP="00550486">
      <w:pPr>
        <w:rPr>
          <w:b/>
          <w:bCs/>
        </w:rPr>
      </w:pPr>
      <w:r w:rsidRPr="7874973D">
        <w:rPr>
          <w:b/>
          <w:bCs/>
        </w:rPr>
        <w:lastRenderedPageBreak/>
        <w:t>Evaluating impact</w:t>
      </w:r>
    </w:p>
    <w:tbl>
      <w:tblPr>
        <w:tblStyle w:val="GridTable4-Accent11"/>
        <w:tblW w:w="0" w:type="auto"/>
        <w:tblLayout w:type="fixed"/>
        <w:tblLook w:val="04A0" w:firstRow="1" w:lastRow="0" w:firstColumn="1" w:lastColumn="0" w:noHBand="0" w:noVBand="1"/>
      </w:tblPr>
      <w:tblGrid>
        <w:gridCol w:w="2340"/>
        <w:gridCol w:w="1080"/>
        <w:gridCol w:w="2910"/>
        <w:gridCol w:w="3030"/>
      </w:tblGrid>
      <w:tr w:rsidR="00550486" w14:paraId="4A3D4163" w14:textId="77777777" w:rsidTr="004E6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4E96A82" w14:textId="77777777" w:rsidR="00550486" w:rsidRDefault="00550486" w:rsidP="004E654C">
            <w:r>
              <w:t>End of term impact</w:t>
            </w:r>
          </w:p>
        </w:tc>
        <w:tc>
          <w:tcPr>
            <w:tcW w:w="1080" w:type="dxa"/>
          </w:tcPr>
          <w:p w14:paraId="09A7BD5E" w14:textId="77777777" w:rsidR="00550486" w:rsidRDefault="00550486" w:rsidP="004E654C">
            <w:pPr>
              <w:jc w:val="center"/>
              <w:cnfStyle w:val="100000000000" w:firstRow="1" w:lastRow="0" w:firstColumn="0" w:lastColumn="0" w:oddVBand="0" w:evenVBand="0" w:oddHBand="0" w:evenHBand="0" w:firstRowFirstColumn="0" w:firstRowLastColumn="0" w:lastRowFirstColumn="0" w:lastRowLastColumn="0"/>
            </w:pPr>
            <w:r>
              <w:t>By whom</w:t>
            </w:r>
          </w:p>
        </w:tc>
        <w:tc>
          <w:tcPr>
            <w:tcW w:w="2910" w:type="dxa"/>
          </w:tcPr>
          <w:p w14:paraId="03188536" w14:textId="77777777" w:rsidR="00550486" w:rsidRDefault="00550486" w:rsidP="004E654C">
            <w:pPr>
              <w:jc w:val="center"/>
              <w:cnfStyle w:val="100000000000" w:firstRow="1" w:lastRow="0" w:firstColumn="0" w:lastColumn="0" w:oddVBand="0" w:evenVBand="0" w:oddHBand="0" w:evenHBand="0" w:firstRowFirstColumn="0" w:firstRowLastColumn="0" w:lastRowFirstColumn="0" w:lastRowLastColumn="0"/>
            </w:pPr>
            <w:r>
              <w:t>How</w:t>
            </w:r>
          </w:p>
        </w:tc>
        <w:tc>
          <w:tcPr>
            <w:tcW w:w="3030" w:type="dxa"/>
          </w:tcPr>
          <w:p w14:paraId="5EBB15B9" w14:textId="77777777" w:rsidR="00550486" w:rsidRDefault="00550486" w:rsidP="004E654C">
            <w:pPr>
              <w:cnfStyle w:val="100000000000" w:firstRow="1" w:lastRow="0" w:firstColumn="0" w:lastColumn="0" w:oddVBand="0" w:evenVBand="0" w:oddHBand="0" w:evenHBand="0" w:firstRowFirstColumn="0" w:firstRowLastColumn="0" w:lastRowFirstColumn="0" w:lastRowLastColumn="0"/>
            </w:pPr>
            <w:r>
              <w:t>Summary of progress</w:t>
            </w:r>
          </w:p>
        </w:tc>
      </w:tr>
      <w:tr w:rsidR="00550486" w14:paraId="1A0CE7A4" w14:textId="77777777" w:rsidTr="004E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B024204" w14:textId="303676FE" w:rsidR="00550486" w:rsidRDefault="00E3721B" w:rsidP="004E654C">
            <w:r>
              <w:t>Autumn: 20/12/19</w:t>
            </w:r>
          </w:p>
        </w:tc>
        <w:tc>
          <w:tcPr>
            <w:tcW w:w="1080" w:type="dxa"/>
          </w:tcPr>
          <w:p w14:paraId="10AB5F22" w14:textId="772C4A3A" w:rsidR="00550486" w:rsidRDefault="00550486" w:rsidP="00E3721B">
            <w:pPr>
              <w:cnfStyle w:val="000000100000" w:firstRow="0" w:lastRow="0" w:firstColumn="0" w:lastColumn="0" w:oddVBand="0" w:evenVBand="0" w:oddHBand="1" w:evenHBand="0" w:firstRowFirstColumn="0" w:firstRowLastColumn="0" w:lastRowFirstColumn="0" w:lastRowLastColumn="0"/>
            </w:pPr>
            <w:r>
              <w:t>LOK/ VG</w:t>
            </w:r>
          </w:p>
        </w:tc>
        <w:tc>
          <w:tcPr>
            <w:tcW w:w="2910" w:type="dxa"/>
          </w:tcPr>
          <w:p w14:paraId="196D605D"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pupil engagement in reading.</w:t>
            </w:r>
          </w:p>
          <w:p w14:paraId="14168E6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4062BFB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2762B531" w14:textId="6AA68A8D" w:rsidR="00550486" w:rsidRDefault="00550486" w:rsidP="004E654C">
            <w:pPr>
              <w:cnfStyle w:val="000000100000" w:firstRow="0" w:lastRow="0" w:firstColumn="0" w:lastColumn="0" w:oddVBand="0" w:evenVBand="0" w:oddHBand="1" w:evenHBand="0" w:firstRowFirstColumn="0" w:firstRowLastColumn="0" w:lastRowFirstColumn="0" w:lastRowLastColumn="0"/>
            </w:pPr>
            <w:r w:rsidRPr="7874973D">
              <w:rPr>
                <w:sz w:val="20"/>
                <w:szCs w:val="20"/>
              </w:rPr>
              <w:t xml:space="preserve">All pupils are timetabled with short 1:1 reading sessions in class or in the Learning Resource Centre. </w:t>
            </w:r>
            <w:r>
              <w:rPr>
                <w:sz w:val="20"/>
                <w:szCs w:val="20"/>
              </w:rPr>
              <w:t xml:space="preserve">PP funding is used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Also each </w:t>
            </w:r>
            <w:r>
              <w:rPr>
                <w:sz w:val="20"/>
                <w:szCs w:val="20"/>
              </w:rPr>
              <w:t xml:space="preserve">class has Accelerated Reader as part of their timetable each week to promote the enjoyment of reading. </w:t>
            </w:r>
          </w:p>
          <w:p w14:paraId="10CDD220" w14:textId="77777777"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4302C761" w14:textId="29D717F6"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597DF2">
              <w:rPr>
                <w:sz w:val="20"/>
                <w:szCs w:val="20"/>
                <w:highlight w:val="yellow"/>
              </w:rPr>
              <w:t xml:space="preserve"> </w:t>
            </w:r>
            <w:r w:rsidRPr="00597DF2">
              <w:rPr>
                <w:sz w:val="18"/>
                <w:szCs w:val="18"/>
                <w:highlight w:val="yellow"/>
              </w:rPr>
              <w:t>Autumn Term 1</w:t>
            </w:r>
            <w:r w:rsidR="00E3721B">
              <w:rPr>
                <w:sz w:val="18"/>
                <w:szCs w:val="18"/>
                <w:highlight w:val="yellow"/>
              </w:rPr>
              <w:t>9</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sidR="00D56B47">
              <w:rPr>
                <w:sz w:val="18"/>
                <w:szCs w:val="18"/>
                <w:highlight w:val="yellow"/>
              </w:rPr>
              <w:t xml:space="preserve">43 </w:t>
            </w:r>
            <w:r w:rsidRPr="00597DF2">
              <w:rPr>
                <w:sz w:val="18"/>
                <w:szCs w:val="18"/>
                <w:highlight w:val="yellow"/>
              </w:rPr>
              <w:t>pupils):</w:t>
            </w:r>
          </w:p>
          <w:p w14:paraId="5CA79F17" w14:textId="1346DD34"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-zero progress - </w:t>
            </w:r>
            <w:r w:rsidR="00D56B47">
              <w:rPr>
                <w:sz w:val="16"/>
                <w:szCs w:val="16"/>
                <w:highlight w:val="yellow"/>
              </w:rPr>
              <w:t>1</w:t>
            </w:r>
          </w:p>
          <w:p w14:paraId="258F20CE" w14:textId="37DB04E9"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D56B47">
              <w:rPr>
                <w:sz w:val="16"/>
                <w:szCs w:val="16"/>
                <w:highlight w:val="yellow"/>
              </w:rPr>
              <w:t>34</w:t>
            </w:r>
          </w:p>
          <w:p w14:paraId="7EEA4471" w14:textId="7388AB46"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–12-18 months progress -</w:t>
            </w:r>
            <w:r w:rsidR="00D56B47">
              <w:rPr>
                <w:sz w:val="16"/>
                <w:szCs w:val="16"/>
                <w:highlight w:val="yellow"/>
              </w:rPr>
              <w:t xml:space="preserve"> 3</w:t>
            </w:r>
          </w:p>
          <w:p w14:paraId="7C50996F" w14:textId="77777777"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-18-37 months progress – 5</w:t>
            </w:r>
          </w:p>
          <w:p w14:paraId="3B1B373A" w14:textId="17E2CC3C" w:rsidR="00550486" w:rsidRPr="00597DF2"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sidR="00D56B47">
              <w:rPr>
                <w:sz w:val="16"/>
                <w:szCs w:val="16"/>
                <w:highlight w:val="yellow"/>
              </w:rPr>
              <w:t>4</w:t>
            </w:r>
          </w:p>
          <w:p w14:paraId="1E22884F" w14:textId="3BBF138E" w:rsidR="00550486" w:rsidRDefault="00550486"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2C5E0A99" w14:textId="1B8288C4" w:rsidR="00D56B47" w:rsidRPr="00597DF2" w:rsidRDefault="00D56B47"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CLA Pupils group 9</w:t>
            </w:r>
          </w:p>
          <w:p w14:paraId="2DD4092E" w14:textId="1075CA20" w:rsidR="00550486" w:rsidRPr="00597DF2" w:rsidRDefault="00D56B47" w:rsidP="004E654C">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98</w:t>
            </w:r>
            <w:r w:rsidR="00550486">
              <w:rPr>
                <w:sz w:val="16"/>
                <w:szCs w:val="16"/>
                <w:highlight w:val="yellow"/>
              </w:rPr>
              <w:t xml:space="preserve">% </w:t>
            </w:r>
            <w:r w:rsidR="00550486" w:rsidRPr="00597DF2">
              <w:rPr>
                <w:sz w:val="16"/>
                <w:szCs w:val="16"/>
                <w:highlight w:val="yellow"/>
              </w:rPr>
              <w:t>pupil</w:t>
            </w:r>
            <w:r w:rsidR="00550486">
              <w:rPr>
                <w:sz w:val="16"/>
                <w:szCs w:val="16"/>
                <w:highlight w:val="yellow"/>
              </w:rPr>
              <w:t>s</w:t>
            </w:r>
            <w:r w:rsidR="00550486" w:rsidRPr="00597DF2">
              <w:rPr>
                <w:sz w:val="16"/>
                <w:szCs w:val="16"/>
                <w:highlight w:val="yellow"/>
              </w:rPr>
              <w:t xml:space="preserve"> making progress</w:t>
            </w:r>
          </w:p>
          <w:p w14:paraId="3A70F251" w14:textId="0E451833" w:rsidR="00550486" w:rsidRPr="00F65E41" w:rsidRDefault="00D56B47" w:rsidP="004E65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highlight w:val="yellow"/>
              </w:rPr>
              <w:t>89</w:t>
            </w:r>
            <w:r w:rsidR="00550486">
              <w:rPr>
                <w:sz w:val="16"/>
                <w:szCs w:val="16"/>
                <w:highlight w:val="yellow"/>
              </w:rPr>
              <w:t xml:space="preserve">% </w:t>
            </w:r>
            <w:r w:rsidR="00550486" w:rsidRPr="00597DF2">
              <w:rPr>
                <w:sz w:val="16"/>
                <w:szCs w:val="16"/>
                <w:highlight w:val="yellow"/>
              </w:rPr>
              <w:t>CLA pupils making progress</w:t>
            </w:r>
          </w:p>
        </w:tc>
      </w:tr>
      <w:tr w:rsidR="00550486" w14:paraId="771412C4" w14:textId="77777777" w:rsidTr="004E654C">
        <w:tc>
          <w:tcPr>
            <w:cnfStyle w:val="001000000000" w:firstRow="0" w:lastRow="0" w:firstColumn="1" w:lastColumn="0" w:oddVBand="0" w:evenVBand="0" w:oddHBand="0" w:evenHBand="0" w:firstRowFirstColumn="0" w:firstRowLastColumn="0" w:lastRowFirstColumn="0" w:lastRowLastColumn="0"/>
            <w:tcW w:w="2340" w:type="dxa"/>
          </w:tcPr>
          <w:p w14:paraId="7C1F4CBA" w14:textId="1A32E502" w:rsidR="00550486" w:rsidRDefault="00550486" w:rsidP="00E3721B">
            <w:r>
              <w:t xml:space="preserve">Spring: </w:t>
            </w:r>
            <w:r w:rsidR="00E3721B">
              <w:t>3</w:t>
            </w:r>
            <w:r>
              <w:t>/4/</w:t>
            </w:r>
            <w:r w:rsidR="00E3721B">
              <w:t>20</w:t>
            </w:r>
          </w:p>
        </w:tc>
        <w:tc>
          <w:tcPr>
            <w:tcW w:w="1080" w:type="dxa"/>
          </w:tcPr>
          <w:p w14:paraId="57CF66B7" w14:textId="23378514" w:rsidR="00550486" w:rsidRDefault="00550486" w:rsidP="004E654C">
            <w:pPr>
              <w:cnfStyle w:val="000000000000" w:firstRow="0" w:lastRow="0" w:firstColumn="0" w:lastColumn="0" w:oddVBand="0" w:evenVBand="0" w:oddHBand="0" w:evenHBand="0" w:firstRowFirstColumn="0" w:firstRowLastColumn="0" w:lastRowFirstColumn="0" w:lastRowLastColumn="0"/>
            </w:pPr>
            <w:r>
              <w:t>LOK</w:t>
            </w:r>
            <w:r w:rsidR="00E3721B">
              <w:t xml:space="preserve">/VG  </w:t>
            </w:r>
          </w:p>
        </w:tc>
        <w:tc>
          <w:tcPr>
            <w:tcW w:w="2910" w:type="dxa"/>
          </w:tcPr>
          <w:p w14:paraId="4AA47117"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Monitor pupil engagement in reading.</w:t>
            </w:r>
          </w:p>
          <w:p w14:paraId="21936DCD"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 xml:space="preserve">Monitor 1:1 reading sessions </w:t>
            </w:r>
          </w:p>
          <w:p w14:paraId="2FE82146"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pPr>
            <w:r>
              <w:t>Monitor Accelerated Reading data</w:t>
            </w:r>
          </w:p>
        </w:tc>
        <w:tc>
          <w:tcPr>
            <w:tcW w:w="3030" w:type="dxa"/>
          </w:tcPr>
          <w:p w14:paraId="77513F10"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rPr>
                <w:sz w:val="20"/>
                <w:szCs w:val="20"/>
              </w:rPr>
            </w:pPr>
            <w:r w:rsidRPr="7874973D">
              <w:rPr>
                <w:sz w:val="20"/>
                <w:szCs w:val="20"/>
              </w:rPr>
              <w:t xml:space="preserve">All pupils are timetabled with short 1:1 reading sessions in class or in the Learning Resource Centre. </w:t>
            </w:r>
            <w:r>
              <w:rPr>
                <w:sz w:val="20"/>
                <w:szCs w:val="20"/>
              </w:rPr>
              <w:t xml:space="preserve">PP funding is used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w:t>
            </w:r>
          </w:p>
          <w:p w14:paraId="02ED3157" w14:textId="77777777" w:rsidR="00550486" w:rsidRDefault="00550486" w:rsidP="004E65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Some pupils are provided 1:1 interventions with the specialist teacher for dyslexia to help improve vocabulary, develop coping mechanisms and develop literacy understanding</w:t>
            </w:r>
          </w:p>
          <w:p w14:paraId="608A9911" w14:textId="096C4B35" w:rsidR="00550486" w:rsidRDefault="00550486" w:rsidP="004E654C">
            <w:pPr>
              <w:cnfStyle w:val="000000000000" w:firstRow="0" w:lastRow="0" w:firstColumn="0" w:lastColumn="0" w:oddVBand="0" w:evenVBand="0" w:oddHBand="0" w:evenHBand="0" w:firstRowFirstColumn="0" w:firstRowLastColumn="0" w:lastRowFirstColumn="0" w:lastRowLastColumn="0"/>
            </w:pPr>
            <w:r w:rsidRPr="7874973D">
              <w:rPr>
                <w:sz w:val="20"/>
                <w:szCs w:val="20"/>
              </w:rPr>
              <w:t xml:space="preserve">Also each </w:t>
            </w:r>
            <w:r>
              <w:rPr>
                <w:sz w:val="20"/>
                <w:szCs w:val="20"/>
              </w:rPr>
              <w:t xml:space="preserve">class has Accelerated Reader as part of their timetable each week to promote the enjoyment of reading. </w:t>
            </w:r>
          </w:p>
          <w:p w14:paraId="67D3BFE6" w14:textId="77777777"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4175CFF8" w14:textId="58F84536"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597DF2">
              <w:rPr>
                <w:sz w:val="20"/>
                <w:szCs w:val="20"/>
                <w:highlight w:val="yellow"/>
              </w:rPr>
              <w:lastRenderedPageBreak/>
              <w:t xml:space="preserve"> </w:t>
            </w:r>
            <w:r w:rsidR="00525101">
              <w:rPr>
                <w:sz w:val="18"/>
                <w:szCs w:val="18"/>
                <w:highlight w:val="yellow"/>
              </w:rPr>
              <w:t>Spring</w:t>
            </w:r>
            <w:bookmarkStart w:id="0" w:name="_GoBack"/>
            <w:bookmarkEnd w:id="0"/>
            <w:r w:rsidRPr="00597DF2">
              <w:rPr>
                <w:sz w:val="18"/>
                <w:szCs w:val="18"/>
                <w:highlight w:val="yellow"/>
              </w:rPr>
              <w:t xml:space="preserve"> Term 1</w:t>
            </w:r>
            <w:r>
              <w:rPr>
                <w:sz w:val="18"/>
                <w:szCs w:val="18"/>
                <w:highlight w:val="yellow"/>
              </w:rPr>
              <w:t>9</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Pr>
                <w:sz w:val="18"/>
                <w:szCs w:val="18"/>
                <w:highlight w:val="yellow"/>
              </w:rPr>
              <w:t xml:space="preserve">43 </w:t>
            </w:r>
            <w:r w:rsidRPr="00597DF2">
              <w:rPr>
                <w:sz w:val="18"/>
                <w:szCs w:val="18"/>
                <w:highlight w:val="yellow"/>
              </w:rPr>
              <w:t>pupils):</w:t>
            </w:r>
          </w:p>
          <w:p w14:paraId="5FB828C5" w14:textId="5E07B7CF"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-zero progress -0</w:t>
            </w:r>
          </w:p>
          <w:p w14:paraId="3700F8F1" w14:textId="1A30E4D8"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Pr>
                <w:sz w:val="16"/>
                <w:szCs w:val="16"/>
                <w:highlight w:val="yellow"/>
              </w:rPr>
              <w:t>19</w:t>
            </w:r>
          </w:p>
          <w:p w14:paraId="3B5AF431" w14:textId="1FC9E352"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–12-18 months progress -</w:t>
            </w:r>
            <w:r>
              <w:rPr>
                <w:sz w:val="16"/>
                <w:szCs w:val="16"/>
                <w:highlight w:val="yellow"/>
              </w:rPr>
              <w:t xml:space="preserve"> 14</w:t>
            </w:r>
          </w:p>
          <w:p w14:paraId="2B56CFF2" w14:textId="4B8C4A6C"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-18-36 months progress – 10</w:t>
            </w:r>
          </w:p>
          <w:p w14:paraId="5530EEF3" w14:textId="600FE12E" w:rsidR="00292143"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Pr>
                <w:sz w:val="16"/>
                <w:szCs w:val="16"/>
                <w:highlight w:val="yellow"/>
              </w:rPr>
              <w:t>4</w:t>
            </w:r>
          </w:p>
          <w:p w14:paraId="03806BA3" w14:textId="77777777" w:rsidR="00292143"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514BB864" w14:textId="77777777"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CLA Pupils group 9</w:t>
            </w:r>
          </w:p>
          <w:p w14:paraId="60EDC58B" w14:textId="77777777" w:rsidR="00292143" w:rsidRPr="00597DF2" w:rsidRDefault="00292143" w:rsidP="00292143">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 xml:space="preserve">98% </w:t>
            </w:r>
            <w:r w:rsidRPr="00597DF2">
              <w:rPr>
                <w:sz w:val="16"/>
                <w:szCs w:val="16"/>
                <w:highlight w:val="yellow"/>
              </w:rPr>
              <w:t>pupil</w:t>
            </w:r>
            <w:r>
              <w:rPr>
                <w:sz w:val="16"/>
                <w:szCs w:val="16"/>
                <w:highlight w:val="yellow"/>
              </w:rPr>
              <w:t>s</w:t>
            </w:r>
            <w:r w:rsidRPr="00597DF2">
              <w:rPr>
                <w:sz w:val="16"/>
                <w:szCs w:val="16"/>
                <w:highlight w:val="yellow"/>
              </w:rPr>
              <w:t xml:space="preserve"> making progress</w:t>
            </w:r>
          </w:p>
          <w:p w14:paraId="003A4980" w14:textId="1CC050F2" w:rsidR="00E3721B" w:rsidRDefault="00292143" w:rsidP="00292143">
            <w:pPr>
              <w:cnfStyle w:val="000000000000" w:firstRow="0" w:lastRow="0" w:firstColumn="0" w:lastColumn="0" w:oddVBand="0" w:evenVBand="0" w:oddHBand="0" w:evenHBand="0" w:firstRowFirstColumn="0" w:firstRowLastColumn="0" w:lastRowFirstColumn="0" w:lastRowLastColumn="0"/>
            </w:pPr>
            <w:r>
              <w:rPr>
                <w:sz w:val="16"/>
                <w:szCs w:val="16"/>
                <w:highlight w:val="yellow"/>
              </w:rPr>
              <w:t xml:space="preserve">89% </w:t>
            </w:r>
            <w:r w:rsidRPr="00597DF2">
              <w:rPr>
                <w:sz w:val="16"/>
                <w:szCs w:val="16"/>
                <w:highlight w:val="yellow"/>
              </w:rPr>
              <w:t>CLA pupils making progress</w:t>
            </w:r>
            <w:r w:rsidR="00550486" w:rsidRPr="00597DF2">
              <w:rPr>
                <w:sz w:val="20"/>
                <w:szCs w:val="20"/>
                <w:highlight w:val="yellow"/>
              </w:rPr>
              <w:t xml:space="preserve"> </w:t>
            </w:r>
          </w:p>
          <w:p w14:paraId="50F8E272" w14:textId="225EFFE1" w:rsidR="00550486" w:rsidRDefault="00550486" w:rsidP="004E654C">
            <w:pPr>
              <w:cnfStyle w:val="000000000000" w:firstRow="0" w:lastRow="0" w:firstColumn="0" w:lastColumn="0" w:oddVBand="0" w:evenVBand="0" w:oddHBand="0" w:evenHBand="0" w:firstRowFirstColumn="0" w:firstRowLastColumn="0" w:lastRowFirstColumn="0" w:lastRowLastColumn="0"/>
            </w:pPr>
          </w:p>
        </w:tc>
      </w:tr>
      <w:tr w:rsidR="00550486" w14:paraId="7B559778" w14:textId="77777777" w:rsidTr="004E6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820E3DC" w14:textId="29E8BAA3" w:rsidR="00550486" w:rsidRDefault="00E3721B" w:rsidP="004E654C">
            <w:r>
              <w:lastRenderedPageBreak/>
              <w:t>Summer: 15/7/20</w:t>
            </w:r>
          </w:p>
        </w:tc>
        <w:tc>
          <w:tcPr>
            <w:tcW w:w="1080" w:type="dxa"/>
          </w:tcPr>
          <w:p w14:paraId="00D2561A" w14:textId="644949F1" w:rsidR="00550486" w:rsidRDefault="00550486" w:rsidP="004E654C">
            <w:pPr>
              <w:cnfStyle w:val="000000100000" w:firstRow="0" w:lastRow="0" w:firstColumn="0" w:lastColumn="0" w:oddVBand="0" w:evenVBand="0" w:oddHBand="1" w:evenHBand="0" w:firstRowFirstColumn="0" w:firstRowLastColumn="0" w:lastRowFirstColumn="0" w:lastRowLastColumn="0"/>
            </w:pPr>
            <w:r>
              <w:t>LOK</w:t>
            </w:r>
            <w:r w:rsidR="00E3721B">
              <w:t>/VG</w:t>
            </w:r>
          </w:p>
        </w:tc>
        <w:tc>
          <w:tcPr>
            <w:tcW w:w="2910" w:type="dxa"/>
          </w:tcPr>
          <w:p w14:paraId="203DDB7E"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pupil engagement in reading.</w:t>
            </w:r>
          </w:p>
          <w:p w14:paraId="001A4586"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0AE9CF02" w14:textId="77777777" w:rsidR="00550486" w:rsidRDefault="00550486" w:rsidP="004E654C">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46B726BA" w14:textId="52510FC1" w:rsidR="00550486" w:rsidRDefault="00320A6A" w:rsidP="004E654C">
            <w:pPr>
              <w:cnfStyle w:val="000000100000" w:firstRow="0" w:lastRow="0" w:firstColumn="0" w:lastColumn="0" w:oddVBand="0" w:evenVBand="0" w:oddHBand="1" w:evenHBand="0" w:firstRowFirstColumn="0" w:firstRowLastColumn="0" w:lastRowFirstColumn="0" w:lastRowLastColumn="0"/>
            </w:pPr>
            <w:r>
              <w:t>No Assessments due to C19</w:t>
            </w:r>
          </w:p>
        </w:tc>
      </w:tr>
    </w:tbl>
    <w:p w14:paraId="1DA0D11B" w14:textId="77777777" w:rsidR="00550486" w:rsidRDefault="00550486" w:rsidP="00550486"/>
    <w:p w14:paraId="31A8B4AA" w14:textId="24F597E8" w:rsidR="7874973D" w:rsidRDefault="7874973D" w:rsidP="7874973D">
      <w:pPr>
        <w:jc w:val="center"/>
      </w:pPr>
    </w:p>
    <w:p w14:paraId="335076C9" w14:textId="4F0D2A5D" w:rsidR="7874973D" w:rsidRDefault="7874973D" w:rsidP="7874973D">
      <w:pPr>
        <w:jc w:val="center"/>
      </w:pPr>
    </w:p>
    <w:p w14:paraId="7A6B1981" w14:textId="5BDAB55F" w:rsidR="7874973D" w:rsidRDefault="7874973D" w:rsidP="7874973D">
      <w:pPr>
        <w:jc w:val="center"/>
      </w:pPr>
    </w:p>
    <w:p w14:paraId="5E57EAE1" w14:textId="6F60DC29" w:rsidR="7874973D" w:rsidRDefault="7874973D" w:rsidP="7874973D">
      <w:pPr>
        <w:jc w:val="center"/>
      </w:pPr>
    </w:p>
    <w:sectPr w:rsidR="78749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193E83"/>
    <w:rsid w:val="002375C4"/>
    <w:rsid w:val="00246DD9"/>
    <w:rsid w:val="00292143"/>
    <w:rsid w:val="00320A6A"/>
    <w:rsid w:val="003E4FBA"/>
    <w:rsid w:val="004C2FD1"/>
    <w:rsid w:val="00525101"/>
    <w:rsid w:val="00550486"/>
    <w:rsid w:val="00662927"/>
    <w:rsid w:val="006B60AA"/>
    <w:rsid w:val="006C53FE"/>
    <w:rsid w:val="006F2B7B"/>
    <w:rsid w:val="00741F16"/>
    <w:rsid w:val="007645B0"/>
    <w:rsid w:val="00851D84"/>
    <w:rsid w:val="009F6898"/>
    <w:rsid w:val="00A21F30"/>
    <w:rsid w:val="00A33FA4"/>
    <w:rsid w:val="00A67874"/>
    <w:rsid w:val="00C04A84"/>
    <w:rsid w:val="00C941D4"/>
    <w:rsid w:val="00D56B47"/>
    <w:rsid w:val="00D63EC7"/>
    <w:rsid w:val="00E3721B"/>
    <w:rsid w:val="00E60C7C"/>
    <w:rsid w:val="00E711D5"/>
    <w:rsid w:val="00EE54F9"/>
    <w:rsid w:val="00F26133"/>
    <w:rsid w:val="00F65E41"/>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4</cp:revision>
  <dcterms:created xsi:type="dcterms:W3CDTF">2020-12-02T11:34:00Z</dcterms:created>
  <dcterms:modified xsi:type="dcterms:W3CDTF">2020-12-10T11:22:00Z</dcterms:modified>
</cp:coreProperties>
</file>