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74B40020" w14:textId="0A4F6549" w:rsidR="070A8777" w:rsidRDefault="002375C4" w:rsidP="070A8777">
      <w:pPr>
        <w:jc w:val="center"/>
      </w:pPr>
      <w:r>
        <w:t>20</w:t>
      </w:r>
      <w:r w:rsidR="00FA47C0">
        <w:t>20-21</w:t>
      </w:r>
    </w:p>
    <w:p w14:paraId="31F95893" w14:textId="3A949176" w:rsidR="009F6898" w:rsidRDefault="009F6898" w:rsidP="00E60C7C"/>
    <w:p w14:paraId="4B6D72A7" w14:textId="143AE1E9" w:rsidR="00E60C7C" w:rsidRDefault="00E60C7C" w:rsidP="00E60C7C">
      <w:pPr>
        <w:rPr>
          <w:b/>
          <w:bCs/>
        </w:rPr>
      </w:pPr>
      <w:r>
        <w:t>The Pupil Premium is additional funding for publicly funded schools in England to raise the attainment of disadvantaged pupils and close the gap between them and their peers.</w:t>
      </w:r>
    </w:p>
    <w:p w14:paraId="74EE40A3" w14:textId="77777777" w:rsidR="009F6898" w:rsidRPr="009F6898" w:rsidRDefault="009F6898" w:rsidP="009F6898">
      <w:pPr>
        <w:pStyle w:val="NormalWeb"/>
        <w:spacing w:before="300" w:beforeAutospacing="0" w:after="300" w:afterAutospacing="0"/>
        <w:rPr>
          <w:rFonts w:asciiTheme="minorHAnsi" w:hAnsiTheme="minorHAnsi" w:cstheme="minorHAnsi"/>
          <w:color w:val="0B0C0C"/>
          <w:sz w:val="22"/>
          <w:szCs w:val="22"/>
        </w:rPr>
      </w:pPr>
      <w:r w:rsidRPr="009F6898">
        <w:rPr>
          <w:rFonts w:asciiTheme="minorHAnsi" w:hAnsiTheme="minorHAnsi" w:cstheme="minorHAnsi"/>
          <w:color w:val="0B0C0C"/>
          <w:sz w:val="22"/>
          <w:szCs w:val="22"/>
        </w:rPr>
        <w:t>Evidence shows that children from disadvantaged backgrounds:</w:t>
      </w:r>
    </w:p>
    <w:p w14:paraId="733295A9"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generally face extra challenges in reaching their potential at school</w:t>
      </w:r>
    </w:p>
    <w:p w14:paraId="76A47CB0"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often do not perform as well as their peers</w:t>
      </w:r>
    </w:p>
    <w:p w14:paraId="2C61D19B" w14:textId="709D31E2" w:rsidR="00E60C7C" w:rsidRDefault="00E60C7C" w:rsidP="5F0D3EEC"/>
    <w:p w14:paraId="598F9905" w14:textId="3A6AECD5" w:rsidR="009F6898" w:rsidRPr="009F6898" w:rsidRDefault="009F6898" w:rsidP="5F0D3EEC">
      <w:pPr>
        <w:rPr>
          <w:rFonts w:cstheme="minorHAnsi"/>
        </w:rPr>
      </w:pPr>
      <w:r>
        <w:rPr>
          <w:rFonts w:cstheme="minorHAnsi"/>
          <w:color w:val="0B0C0C"/>
          <w:shd w:val="clear" w:color="auto" w:fill="FFFFFF"/>
        </w:rPr>
        <w:t>It is</w:t>
      </w:r>
      <w:r w:rsidRPr="009F6898">
        <w:rPr>
          <w:rFonts w:cstheme="minorHAnsi"/>
          <w:color w:val="0B0C0C"/>
          <w:shd w:val="clear" w:color="auto" w:fill="FFFFFF"/>
        </w:rPr>
        <w:t xml:space="preserve"> designed to allow schools to help disadvantaged pupils by improving their progress and the exam results they achieve.</w:t>
      </w:r>
    </w:p>
    <w:p w14:paraId="2EC7FC8C" w14:textId="77777777" w:rsidR="009F6898" w:rsidRDefault="009F6898" w:rsidP="5F0D3EEC"/>
    <w:p w14:paraId="0CCE9B0E" w14:textId="779D01AF" w:rsidR="070A8777" w:rsidRDefault="5F0D3EEC" w:rsidP="5F0D3EEC">
      <w:pPr>
        <w:rPr>
          <w:b/>
          <w:bCs/>
        </w:rPr>
      </w:pPr>
      <w:r>
        <w:t xml:space="preserve">This year the allocation is (indicated at) </w:t>
      </w:r>
      <w:r w:rsidRPr="5F0D3EEC">
        <w:rPr>
          <w:b/>
          <w:bCs/>
        </w:rPr>
        <w:t>£</w:t>
      </w:r>
      <w:r w:rsidR="00FA47C0">
        <w:rPr>
          <w:b/>
          <w:bCs/>
        </w:rPr>
        <w:t>80,225</w:t>
      </w:r>
    </w:p>
    <w:p w14:paraId="44959B5B" w14:textId="77777777" w:rsidR="00741F16" w:rsidRDefault="00741F16" w:rsidP="00741F16">
      <w:pPr>
        <w:pStyle w:val="NoSpacing"/>
        <w:rPr>
          <w:rFonts w:asciiTheme="minorHAnsi" w:eastAsia="Arial,Arial,Times New Roman" w:hAnsiTheme="minorHAnsi" w:cs="Arial"/>
          <w:color w:val="000000" w:themeColor="text1"/>
          <w:sz w:val="18"/>
          <w:szCs w:val="18"/>
          <w:lang w:eastAsia="en-GB"/>
        </w:rPr>
      </w:pPr>
    </w:p>
    <w:p w14:paraId="3A75C8D4" w14:textId="57EB9AB7" w:rsidR="00741F16" w:rsidRDefault="00741F16" w:rsidP="00741F16">
      <w:pPr>
        <w:rPr>
          <w:b/>
          <w:bCs/>
          <w:color w:val="000000" w:themeColor="text1"/>
          <w:sz w:val="18"/>
          <w:szCs w:val="18"/>
        </w:rPr>
      </w:pPr>
      <w:r>
        <w:rPr>
          <w:b/>
          <w:bCs/>
          <w:color w:val="000000" w:themeColor="text1"/>
          <w:sz w:val="18"/>
          <w:szCs w:val="18"/>
        </w:rPr>
        <w:t>This is comprised of the estimated figure of £4</w:t>
      </w:r>
      <w:r w:rsidR="00FA47C0">
        <w:rPr>
          <w:b/>
          <w:bCs/>
          <w:color w:val="000000" w:themeColor="text1"/>
          <w:sz w:val="18"/>
          <w:szCs w:val="18"/>
        </w:rPr>
        <w:t>7,225</w:t>
      </w:r>
    </w:p>
    <w:p w14:paraId="53A62D87" w14:textId="5AEE8EA3" w:rsidR="00741F16" w:rsidRDefault="00741F16" w:rsidP="00741F16">
      <w:pPr>
        <w:rPr>
          <w:b/>
          <w:bCs/>
          <w:color w:val="000000" w:themeColor="text1"/>
          <w:sz w:val="18"/>
          <w:szCs w:val="18"/>
        </w:rPr>
      </w:pPr>
      <w:r>
        <w:rPr>
          <w:b/>
          <w:bCs/>
          <w:color w:val="000000" w:themeColor="text1"/>
          <w:sz w:val="18"/>
          <w:szCs w:val="18"/>
        </w:rPr>
        <w:t>Plus £</w:t>
      </w:r>
      <w:r w:rsidR="00FA47C0">
        <w:rPr>
          <w:b/>
          <w:bCs/>
          <w:color w:val="000000" w:themeColor="text1"/>
          <w:sz w:val="18"/>
          <w:szCs w:val="18"/>
        </w:rPr>
        <w:t>18,000</w:t>
      </w:r>
      <w:r>
        <w:rPr>
          <w:b/>
          <w:bCs/>
          <w:color w:val="000000" w:themeColor="text1"/>
          <w:sz w:val="18"/>
          <w:szCs w:val="18"/>
        </w:rPr>
        <w:t xml:space="preserve"> Estimated PEP allowance</w:t>
      </w:r>
    </w:p>
    <w:p w14:paraId="3BF314F5" w14:textId="41A26D26" w:rsidR="070A8777" w:rsidRPr="00D31F7B" w:rsidRDefault="00FA47C0" w:rsidP="070A8777">
      <w:pPr>
        <w:rPr>
          <w:b/>
          <w:bCs/>
          <w:color w:val="000000" w:themeColor="text1"/>
          <w:sz w:val="18"/>
          <w:szCs w:val="18"/>
        </w:rPr>
      </w:pPr>
      <w:r>
        <w:rPr>
          <w:b/>
          <w:bCs/>
          <w:color w:val="000000" w:themeColor="text1"/>
          <w:sz w:val="18"/>
          <w:szCs w:val="18"/>
        </w:rPr>
        <w:t>Plus £15000</w:t>
      </w:r>
      <w:r w:rsidR="00741F16">
        <w:rPr>
          <w:b/>
          <w:bCs/>
          <w:color w:val="000000" w:themeColor="text1"/>
          <w:sz w:val="18"/>
          <w:szCs w:val="18"/>
        </w:rPr>
        <w:t xml:space="preserve"> Out of County allowance</w:t>
      </w:r>
    </w:p>
    <w:p w14:paraId="0D2D721E" w14:textId="06533FF3" w:rsidR="070A8777" w:rsidRDefault="070A8777" w:rsidP="070A8777"/>
    <w:p w14:paraId="0154EBAD" w14:textId="51BA7C26" w:rsidR="070A8777" w:rsidRDefault="070A8777" w:rsidP="070A8777">
      <w:r>
        <w:t>Barriers to learning at Hope High School:</w:t>
      </w:r>
    </w:p>
    <w:p w14:paraId="1AD4C131" w14:textId="38AFD75E" w:rsidR="070A8777" w:rsidRDefault="002375C4" w:rsidP="070A8777">
      <w:pPr>
        <w:pStyle w:val="ListParagraph"/>
        <w:numPr>
          <w:ilvl w:val="0"/>
          <w:numId w:val="3"/>
        </w:numPr>
      </w:pPr>
      <w:r>
        <w:t xml:space="preserve">Pupil reading ages across the school remain years behind </w:t>
      </w:r>
      <w:proofErr w:type="gramStart"/>
      <w:r>
        <w:t>pupils</w:t>
      </w:r>
      <w:proofErr w:type="gramEnd"/>
      <w:r>
        <w:t xml:space="preserve"> chronological age, despite rapid progress in reading ages over the last </w:t>
      </w:r>
      <w:r w:rsidR="00EF0AF1">
        <w:t>3</w:t>
      </w:r>
      <w:r>
        <w:t xml:space="preserve"> years due </w:t>
      </w:r>
      <w:r w:rsidR="00D31F7B">
        <w:t xml:space="preserve">starting points. However rapid and sustained progress across Key Stage 3 is evident due </w:t>
      </w:r>
      <w:r>
        <w:t xml:space="preserve">to the </w:t>
      </w:r>
      <w:r w:rsidR="00D31F7B">
        <w:t>culture of</w:t>
      </w:r>
      <w:r>
        <w:t xml:space="preserve"> embedding </w:t>
      </w:r>
      <w:r w:rsidR="00D31F7B">
        <w:t>the Accelerated Reader scheme in whole school curriculum.</w:t>
      </w:r>
    </w:p>
    <w:p w14:paraId="4CE5F8DB" w14:textId="2D88BCE1" w:rsidR="009E711D" w:rsidRDefault="009E711D" w:rsidP="009E711D">
      <w:pPr>
        <w:pStyle w:val="ListParagraph"/>
      </w:pPr>
    </w:p>
    <w:p w14:paraId="71C2DCFA" w14:textId="77777777" w:rsidR="009E711D" w:rsidRDefault="009E711D" w:rsidP="009E711D">
      <w:pPr>
        <w:pStyle w:val="ListParagraph"/>
      </w:pPr>
    </w:p>
    <w:tbl>
      <w:tblPr>
        <w:tblStyle w:val="TableGrid"/>
        <w:tblW w:w="0" w:type="auto"/>
        <w:tblLook w:val="04A0" w:firstRow="1" w:lastRow="0" w:firstColumn="1" w:lastColumn="0" w:noHBand="0" w:noVBand="1"/>
      </w:tblPr>
      <w:tblGrid>
        <w:gridCol w:w="1536"/>
        <w:gridCol w:w="2692"/>
        <w:gridCol w:w="2807"/>
        <w:gridCol w:w="2927"/>
      </w:tblGrid>
      <w:tr w:rsidR="000D39E1" w14:paraId="3C794EF4" w14:textId="77777777" w:rsidTr="000D39E1">
        <w:tc>
          <w:tcPr>
            <w:tcW w:w="1536" w:type="dxa"/>
          </w:tcPr>
          <w:p w14:paraId="4E9C3373" w14:textId="77777777" w:rsidR="000D39E1" w:rsidRDefault="000D39E1" w:rsidP="00FA47C0"/>
        </w:tc>
        <w:tc>
          <w:tcPr>
            <w:tcW w:w="2692" w:type="dxa"/>
          </w:tcPr>
          <w:p w14:paraId="33B5F96F" w14:textId="201BC5CF" w:rsidR="000D39E1" w:rsidRDefault="000D39E1" w:rsidP="00FA47C0">
            <w:pPr>
              <w:rPr>
                <w:b/>
              </w:rPr>
            </w:pPr>
            <w:r>
              <w:rPr>
                <w:b/>
              </w:rPr>
              <w:t>Average Progress Year 2017-18</w:t>
            </w:r>
          </w:p>
        </w:tc>
        <w:tc>
          <w:tcPr>
            <w:tcW w:w="2807" w:type="dxa"/>
          </w:tcPr>
          <w:p w14:paraId="596EABAD" w14:textId="4037B20A" w:rsidR="000D39E1" w:rsidRPr="00FA47C0" w:rsidRDefault="000D39E1" w:rsidP="00FA47C0">
            <w:pPr>
              <w:rPr>
                <w:b/>
              </w:rPr>
            </w:pPr>
            <w:r>
              <w:rPr>
                <w:b/>
              </w:rPr>
              <w:t xml:space="preserve">Average Progress - </w:t>
            </w:r>
            <w:r w:rsidRPr="00FA47C0">
              <w:rPr>
                <w:b/>
              </w:rPr>
              <w:t>Year 2018-19</w:t>
            </w:r>
          </w:p>
        </w:tc>
        <w:tc>
          <w:tcPr>
            <w:tcW w:w="2927" w:type="dxa"/>
          </w:tcPr>
          <w:p w14:paraId="05BCF114" w14:textId="182138EB" w:rsidR="000D39E1" w:rsidRPr="00FA47C0" w:rsidRDefault="000D39E1" w:rsidP="00FA47C0">
            <w:pPr>
              <w:rPr>
                <w:b/>
              </w:rPr>
            </w:pPr>
            <w:r>
              <w:rPr>
                <w:b/>
              </w:rPr>
              <w:t xml:space="preserve">Average Progress - </w:t>
            </w:r>
            <w:r w:rsidRPr="00FA47C0">
              <w:rPr>
                <w:b/>
              </w:rPr>
              <w:t>Year 2019-20</w:t>
            </w:r>
          </w:p>
        </w:tc>
      </w:tr>
      <w:tr w:rsidR="000D39E1" w14:paraId="304192B9" w14:textId="77777777" w:rsidTr="000D39E1">
        <w:tc>
          <w:tcPr>
            <w:tcW w:w="1536" w:type="dxa"/>
          </w:tcPr>
          <w:p w14:paraId="14D6B372" w14:textId="32D76932" w:rsidR="000D39E1" w:rsidRDefault="000D39E1" w:rsidP="00FA47C0">
            <w:r>
              <w:t>Year 7</w:t>
            </w:r>
          </w:p>
        </w:tc>
        <w:tc>
          <w:tcPr>
            <w:tcW w:w="2692" w:type="dxa"/>
          </w:tcPr>
          <w:p w14:paraId="0BB92E88" w14:textId="1920089E" w:rsidR="000D39E1" w:rsidRDefault="009E711D" w:rsidP="00FA47C0">
            <w:r>
              <w:t>19 months</w:t>
            </w:r>
          </w:p>
        </w:tc>
        <w:tc>
          <w:tcPr>
            <w:tcW w:w="2807" w:type="dxa"/>
          </w:tcPr>
          <w:p w14:paraId="0BAED6DD" w14:textId="672EDBF5" w:rsidR="000D39E1" w:rsidRDefault="000D39E1" w:rsidP="00FA47C0">
            <w:r>
              <w:t>17 months</w:t>
            </w:r>
          </w:p>
        </w:tc>
        <w:tc>
          <w:tcPr>
            <w:tcW w:w="2927" w:type="dxa"/>
          </w:tcPr>
          <w:p w14:paraId="4D758379" w14:textId="6F5361BD" w:rsidR="000D39E1" w:rsidRDefault="000D39E1" w:rsidP="00FA47C0">
            <w:r>
              <w:t>13 months</w:t>
            </w:r>
          </w:p>
        </w:tc>
      </w:tr>
      <w:tr w:rsidR="000D39E1" w14:paraId="40CC63E0" w14:textId="77777777" w:rsidTr="000D39E1">
        <w:tc>
          <w:tcPr>
            <w:tcW w:w="1536" w:type="dxa"/>
          </w:tcPr>
          <w:p w14:paraId="5EA68DE9" w14:textId="6FC6B049" w:rsidR="000D39E1" w:rsidRDefault="000D39E1" w:rsidP="00FA47C0">
            <w:r>
              <w:t>Year 8</w:t>
            </w:r>
          </w:p>
        </w:tc>
        <w:tc>
          <w:tcPr>
            <w:tcW w:w="2692" w:type="dxa"/>
          </w:tcPr>
          <w:p w14:paraId="1EC2180A" w14:textId="0BF8469B" w:rsidR="000D39E1" w:rsidRDefault="009E711D" w:rsidP="00FA47C0">
            <w:r>
              <w:t>12 months</w:t>
            </w:r>
          </w:p>
        </w:tc>
        <w:tc>
          <w:tcPr>
            <w:tcW w:w="2807" w:type="dxa"/>
          </w:tcPr>
          <w:p w14:paraId="369F0128" w14:textId="5A3AD9CB" w:rsidR="000D39E1" w:rsidRDefault="000D39E1" w:rsidP="00FA47C0">
            <w:r>
              <w:t>11 months</w:t>
            </w:r>
          </w:p>
        </w:tc>
        <w:tc>
          <w:tcPr>
            <w:tcW w:w="2927" w:type="dxa"/>
          </w:tcPr>
          <w:p w14:paraId="0CFC2963" w14:textId="0C762D28" w:rsidR="000D39E1" w:rsidRDefault="000D39E1" w:rsidP="00FA47C0">
            <w:r>
              <w:t>26 months</w:t>
            </w:r>
          </w:p>
        </w:tc>
      </w:tr>
      <w:tr w:rsidR="000D39E1" w14:paraId="3FB350ED" w14:textId="77777777" w:rsidTr="000D39E1">
        <w:tc>
          <w:tcPr>
            <w:tcW w:w="1536" w:type="dxa"/>
          </w:tcPr>
          <w:p w14:paraId="7C2068F4" w14:textId="3AF23F9F" w:rsidR="000D39E1" w:rsidRDefault="000D39E1" w:rsidP="00FA47C0">
            <w:r>
              <w:t>Year 9</w:t>
            </w:r>
          </w:p>
        </w:tc>
        <w:tc>
          <w:tcPr>
            <w:tcW w:w="2692" w:type="dxa"/>
          </w:tcPr>
          <w:p w14:paraId="686C1A5D" w14:textId="4E61DC32" w:rsidR="000D39E1" w:rsidRDefault="009E711D" w:rsidP="00FA47C0">
            <w:r>
              <w:t>19 months</w:t>
            </w:r>
          </w:p>
        </w:tc>
        <w:tc>
          <w:tcPr>
            <w:tcW w:w="2807" w:type="dxa"/>
          </w:tcPr>
          <w:p w14:paraId="02675E04" w14:textId="17210290" w:rsidR="000D39E1" w:rsidRDefault="000D39E1" w:rsidP="00FA47C0">
            <w:r>
              <w:t>10 months</w:t>
            </w:r>
          </w:p>
        </w:tc>
        <w:tc>
          <w:tcPr>
            <w:tcW w:w="2927" w:type="dxa"/>
          </w:tcPr>
          <w:p w14:paraId="528E7F37" w14:textId="1F5B5884" w:rsidR="000D39E1" w:rsidRDefault="000D39E1" w:rsidP="00FA47C0">
            <w:r>
              <w:t>11 months</w:t>
            </w:r>
          </w:p>
        </w:tc>
      </w:tr>
      <w:tr w:rsidR="000D39E1" w14:paraId="496E2E3F" w14:textId="77777777" w:rsidTr="000D39E1">
        <w:tc>
          <w:tcPr>
            <w:tcW w:w="1536" w:type="dxa"/>
          </w:tcPr>
          <w:p w14:paraId="5D346CD0" w14:textId="698119C7" w:rsidR="000D39E1" w:rsidRDefault="000D39E1" w:rsidP="00FA47C0"/>
        </w:tc>
        <w:tc>
          <w:tcPr>
            <w:tcW w:w="2692" w:type="dxa"/>
          </w:tcPr>
          <w:p w14:paraId="21E1C29D" w14:textId="77777777" w:rsidR="000D39E1" w:rsidRDefault="000D39E1" w:rsidP="00FA47C0"/>
        </w:tc>
        <w:tc>
          <w:tcPr>
            <w:tcW w:w="2807" w:type="dxa"/>
          </w:tcPr>
          <w:p w14:paraId="3F3F43CD" w14:textId="163C49A3" w:rsidR="000D39E1" w:rsidRDefault="000D39E1" w:rsidP="00FA47C0"/>
        </w:tc>
        <w:tc>
          <w:tcPr>
            <w:tcW w:w="2927" w:type="dxa"/>
          </w:tcPr>
          <w:p w14:paraId="7918D9F3" w14:textId="77777777" w:rsidR="000D39E1" w:rsidRDefault="000D39E1" w:rsidP="00FA47C0"/>
        </w:tc>
      </w:tr>
    </w:tbl>
    <w:p w14:paraId="056F917C" w14:textId="77777777" w:rsidR="00FA47C0" w:rsidRDefault="00FA47C0" w:rsidP="00FA47C0"/>
    <w:p w14:paraId="37216524" w14:textId="5CA1CF87" w:rsidR="00F26133" w:rsidRDefault="00F26133" w:rsidP="00F26133"/>
    <w:p w14:paraId="5CD6EDC9" w14:textId="698B18F0" w:rsidR="070A8777" w:rsidRDefault="070A8777" w:rsidP="002375C4">
      <w:pPr>
        <w:pStyle w:val="Subtitle"/>
      </w:pPr>
    </w:p>
    <w:p w14:paraId="650877ED" w14:textId="0291D62D" w:rsidR="070A8777" w:rsidRDefault="070A8777" w:rsidP="070A8777">
      <w:r>
        <w:t>It is proven that improving reading skills; understanding texts, improving vocabulary and developing reading for pleasure will improve literacy skills in the individual and therefore increase their chances of academic success.</w:t>
      </w:r>
    </w:p>
    <w:p w14:paraId="39654459" w14:textId="0F421570" w:rsidR="070A8777" w:rsidRDefault="070A8777" w:rsidP="070A8777"/>
    <w:p w14:paraId="753D19DD" w14:textId="77777777" w:rsidR="00D31F7B" w:rsidRDefault="00D31F7B"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44162B9F" w:rsidR="070A8777" w:rsidRDefault="070A8777" w:rsidP="070A8777"/>
    <w:p w14:paraId="219441D0" w14:textId="77777777" w:rsidR="00D31F7B" w:rsidRDefault="00D31F7B"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4FAD943D" w:rsidR="00EE54F9" w:rsidRDefault="00EE54F9" w:rsidP="002375C4"/>
    <w:p w14:paraId="511CD388" w14:textId="77777777" w:rsidR="00D31F7B" w:rsidRDefault="00D31F7B"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5BA44979" w:rsidR="070A8777" w:rsidRDefault="00EE54F9" w:rsidP="070A8777">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w:t>
      </w:r>
      <w:proofErr w:type="gramStart"/>
      <w:r>
        <w:t>,ASD,OCD</w:t>
      </w:r>
      <w:proofErr w:type="gramEnd"/>
      <w:r>
        <w:t>, ODD), support pupils in managing bereavement and life changes.</w:t>
      </w:r>
    </w:p>
    <w:p w14:paraId="48A37B1A" w14:textId="42B66D9C" w:rsidR="009E711D" w:rsidRDefault="009E711D" w:rsidP="070A8777"/>
    <w:p w14:paraId="6B97D95A" w14:textId="77777777" w:rsidR="009E711D" w:rsidRDefault="009E711D" w:rsidP="070A8777"/>
    <w:p w14:paraId="626BC0D5" w14:textId="5D8102EA"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A4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D617FAC" w14:textId="77F22EA0" w:rsidR="06066509" w:rsidRDefault="06066509" w:rsidP="06066509">
            <w:pPr>
              <w:spacing w:after="160" w:line="259" w:lineRule="auto"/>
            </w:pPr>
            <w:r>
              <w:rPr>
                <w:b w:val="0"/>
                <w:bCs w:val="0"/>
              </w:rPr>
              <w:lastRenderedPageBreak/>
              <w:t>Objective</w:t>
            </w:r>
          </w:p>
        </w:tc>
        <w:tc>
          <w:tcPr>
            <w:tcW w:w="4311"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128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60"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311"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128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7A8C4532" w:rsidR="070A8777" w:rsidRDefault="00662927" w:rsidP="00EF0AF1">
            <w:pPr>
              <w:cnfStyle w:val="000000100000" w:firstRow="0" w:lastRow="0" w:firstColumn="0" w:lastColumn="0" w:oddVBand="0" w:evenVBand="0" w:oddHBand="1" w:evenHBand="0" w:firstRowFirstColumn="0" w:firstRowLastColumn="0" w:lastRowFirstColumn="0" w:lastRowLastColumn="0"/>
              <w:rPr>
                <w:sz w:val="18"/>
                <w:szCs w:val="18"/>
              </w:rPr>
            </w:pPr>
            <w:r w:rsidRPr="00662927">
              <w:t>£</w:t>
            </w:r>
            <w:r w:rsidR="00EF0AF1">
              <w:t>1</w:t>
            </w:r>
            <w:r w:rsidR="00FA47C0">
              <w:t>,000</w:t>
            </w:r>
          </w:p>
        </w:tc>
        <w:tc>
          <w:tcPr>
            <w:tcW w:w="1960"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311"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128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6D3EE572" w:rsidR="00662927" w:rsidRDefault="00662927" w:rsidP="00662927">
            <w:pPr>
              <w:cnfStyle w:val="000000000000" w:firstRow="0" w:lastRow="0" w:firstColumn="0" w:lastColumn="0" w:oddVBand="0" w:evenVBand="0" w:oddHBand="0" w:evenHBand="0" w:firstRowFirstColumn="0" w:firstRowLastColumn="0" w:lastRowFirstColumn="0" w:lastRowLastColumn="0"/>
            </w:pPr>
            <w:r>
              <w:t>£</w:t>
            </w:r>
            <w:r w:rsidR="00EF0AF1">
              <w:t>9,000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60"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311"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128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60"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311"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128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6A748583"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1332D653" w14:textId="77777777" w:rsidR="00FA47C0" w:rsidRDefault="00FA47C0" w:rsidP="00193E83">
            <w:pPr>
              <w:cnfStyle w:val="000000000000" w:firstRow="0" w:lastRow="0" w:firstColumn="0" w:lastColumn="0" w:oddVBand="0" w:evenVBand="0" w:oddHBand="0" w:evenHBand="0" w:firstRowFirstColumn="0" w:firstRowLastColumn="0" w:lastRowFirstColumn="0" w:lastRowLastColumn="0"/>
            </w:pP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60"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A47C0" w14:paraId="4B620A2A"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0974FEC0" w14:textId="5CF0ACA4" w:rsidR="00FA47C0" w:rsidRDefault="00FA47C0" w:rsidP="00FA47C0">
            <w:r>
              <w:rPr>
                <w:b w:val="0"/>
                <w:bCs w:val="0"/>
              </w:rPr>
              <w:t>Promote reading throughout the school</w:t>
            </w:r>
          </w:p>
        </w:tc>
        <w:tc>
          <w:tcPr>
            <w:tcW w:w="4311" w:type="dxa"/>
          </w:tcPr>
          <w:p w14:paraId="05C8E220"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Accelerated Reader to become established on the timetable with each class.</w:t>
            </w:r>
          </w:p>
          <w:p w14:paraId="0697A565"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Teacher (LOK) works with TA3 (VG) in Learning Resource Centre; supporting/ directing and leading the AR reading </w:t>
            </w:r>
            <w:proofErr w:type="spellStart"/>
            <w:r>
              <w:t>programme</w:t>
            </w:r>
            <w:proofErr w:type="spellEnd"/>
            <w:r>
              <w:t>.</w:t>
            </w:r>
          </w:p>
          <w:p w14:paraId="02B0B6E9"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Track progress every term and </w:t>
            </w:r>
            <w:proofErr w:type="spellStart"/>
            <w:r>
              <w:t>analyse</w:t>
            </w:r>
            <w:proofErr w:type="spellEnd"/>
            <w:r>
              <w:t xml:space="preserve"> data.</w:t>
            </w:r>
          </w:p>
          <w:p w14:paraId="6E2A6500" w14:textId="181C03C2" w:rsidR="00FA47C0" w:rsidRDefault="00FA47C0" w:rsidP="00FA47C0">
            <w:pPr>
              <w:jc w:val="right"/>
              <w:cnfStyle w:val="000000100000" w:firstRow="0" w:lastRow="0" w:firstColumn="0" w:lastColumn="0" w:oddVBand="0" w:evenVBand="0" w:oddHBand="1" w:evenHBand="0" w:firstRowFirstColumn="0" w:firstRowLastColumn="0" w:lastRowFirstColumn="0" w:lastRowLastColumn="0"/>
            </w:pPr>
          </w:p>
        </w:tc>
        <w:tc>
          <w:tcPr>
            <w:tcW w:w="1280" w:type="dxa"/>
          </w:tcPr>
          <w:p w14:paraId="5C24FCAA" w14:textId="11FDE8BE"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SLT/ </w:t>
            </w:r>
            <w:r>
              <w:t>Leadership</w:t>
            </w:r>
          </w:p>
          <w:p w14:paraId="3EBC2493" w14:textId="2DD3B641" w:rsidR="00FA47C0" w:rsidRDefault="00FA47C0" w:rsidP="00FA47C0">
            <w:pPr>
              <w:cnfStyle w:val="000000100000" w:firstRow="0" w:lastRow="0" w:firstColumn="0" w:lastColumn="0" w:oddVBand="0" w:evenVBand="0" w:oddHBand="1" w:evenHBand="0" w:firstRowFirstColumn="0" w:firstRowLastColumn="0" w:lastRowFirstColumn="0" w:lastRowLastColumn="0"/>
            </w:pPr>
            <w:r>
              <w:t>Time</w:t>
            </w:r>
          </w:p>
          <w:p w14:paraId="5DF084D9" w14:textId="6D66B6A7" w:rsidR="00FA47C0" w:rsidRDefault="00FA47C0" w:rsidP="00FA47C0">
            <w:pPr>
              <w:cnfStyle w:val="000000100000" w:firstRow="0" w:lastRow="0" w:firstColumn="0" w:lastColumn="0" w:oddVBand="0" w:evenVBand="0" w:oddHBand="1" w:evenHBand="0" w:firstRowFirstColumn="0" w:firstRowLastColumn="0" w:lastRowFirstColumn="0" w:lastRowLastColumn="0"/>
            </w:pPr>
            <w:r>
              <w:t>Resources</w:t>
            </w:r>
          </w:p>
          <w:p w14:paraId="5FFBD271"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p>
          <w:p w14:paraId="25FAEF1A" w14:textId="0A0577EC" w:rsidR="00FA47C0" w:rsidRDefault="00FA47C0" w:rsidP="00FA47C0">
            <w:pPr>
              <w:cnfStyle w:val="000000100000" w:firstRow="0" w:lastRow="0" w:firstColumn="0" w:lastColumn="0" w:oddVBand="0" w:evenVBand="0" w:oddHBand="1" w:evenHBand="0" w:firstRowFirstColumn="0" w:firstRowLastColumn="0" w:lastRowFirstColumn="0" w:lastRowLastColumn="0"/>
              <w:rPr>
                <w:b/>
                <w:bCs/>
              </w:rPr>
            </w:pPr>
            <w:r w:rsidRPr="06066509">
              <w:rPr>
                <w:sz w:val="18"/>
                <w:szCs w:val="18"/>
              </w:rPr>
              <w:t>£</w:t>
            </w:r>
            <w:r w:rsidR="00EF0AF1">
              <w:rPr>
                <w:sz w:val="18"/>
                <w:szCs w:val="18"/>
              </w:rPr>
              <w:t>4467</w:t>
            </w:r>
          </w:p>
        </w:tc>
        <w:tc>
          <w:tcPr>
            <w:tcW w:w="1960" w:type="dxa"/>
          </w:tcPr>
          <w:p w14:paraId="4E257DF2" w14:textId="5749F14A" w:rsidR="00FA47C0" w:rsidRDefault="00FA47C0" w:rsidP="00FA47C0">
            <w:pPr>
              <w:cnfStyle w:val="000000100000" w:firstRow="0" w:lastRow="0" w:firstColumn="0" w:lastColumn="0" w:oddVBand="0" w:evenVBand="0" w:oddHBand="1" w:evenHBand="0" w:firstRowFirstColumn="0" w:firstRowLastColumn="0" w:lastRowFirstColumn="0" w:lastRowLastColumn="0"/>
            </w:pPr>
            <w:r>
              <w:t>LOK has established AR and reading as a settled part of the timetable. Pupils enjoy the lesson and read in response</w:t>
            </w:r>
          </w:p>
        </w:tc>
      </w:tr>
      <w:tr w:rsidR="00FA47C0" w14:paraId="516C4738"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7953A1AD" w14:textId="77777777" w:rsidR="00FA47C0" w:rsidRDefault="00FA47C0" w:rsidP="00F26133"/>
        </w:tc>
        <w:tc>
          <w:tcPr>
            <w:tcW w:w="4311" w:type="dxa"/>
          </w:tcPr>
          <w:p w14:paraId="186E6F13" w14:textId="022D19CB" w:rsidR="00FA47C0" w:rsidRDefault="00FA47C0" w:rsidP="00F26133">
            <w:pPr>
              <w:jc w:val="right"/>
              <w:cnfStyle w:val="000000000000" w:firstRow="0" w:lastRow="0" w:firstColumn="0" w:lastColumn="0" w:oddVBand="0" w:evenVBand="0" w:oddHBand="0" w:evenHBand="0" w:firstRowFirstColumn="0" w:firstRowLastColumn="0" w:lastRowFirstColumn="0" w:lastRowLastColumn="0"/>
            </w:pPr>
            <w:r>
              <w:t>Total</w:t>
            </w:r>
          </w:p>
        </w:tc>
        <w:tc>
          <w:tcPr>
            <w:tcW w:w="1280" w:type="dxa"/>
          </w:tcPr>
          <w:p w14:paraId="5FA7DDE1" w14:textId="29E5531B" w:rsidR="00FA47C0" w:rsidRPr="06066509" w:rsidRDefault="00FA47C0" w:rsidP="00FA47C0">
            <w:pPr>
              <w:cnfStyle w:val="000000000000" w:firstRow="0" w:lastRow="0" w:firstColumn="0" w:lastColumn="0" w:oddVBand="0" w:evenVBand="0" w:oddHBand="0" w:evenHBand="0" w:firstRowFirstColumn="0" w:firstRowLastColumn="0" w:lastRowFirstColumn="0" w:lastRowLastColumn="0"/>
              <w:rPr>
                <w:b/>
                <w:bCs/>
              </w:rPr>
            </w:pPr>
            <w:r>
              <w:rPr>
                <w:b/>
                <w:bCs/>
              </w:rPr>
              <w:t>£</w:t>
            </w:r>
            <w:r w:rsidR="00EF0AF1">
              <w:rPr>
                <w:b/>
                <w:bCs/>
              </w:rPr>
              <w:t>80,225</w:t>
            </w:r>
          </w:p>
        </w:tc>
        <w:tc>
          <w:tcPr>
            <w:tcW w:w="1960" w:type="dxa"/>
          </w:tcPr>
          <w:p w14:paraId="45F7E07F" w14:textId="77777777" w:rsidR="00FA47C0" w:rsidRDefault="00FA47C0" w:rsidP="00F26133">
            <w:pPr>
              <w:cnfStyle w:val="000000000000" w:firstRow="0" w:lastRow="0" w:firstColumn="0" w:lastColumn="0" w:oddVBand="0" w:evenVBand="0" w:oddHBand="0" w:evenHBand="0" w:firstRowFirstColumn="0" w:firstRowLastColumn="0" w:lastRowFirstColumn="0" w:lastRowLastColumn="0"/>
            </w:pPr>
          </w:p>
        </w:tc>
      </w:tr>
    </w:tbl>
    <w:p w14:paraId="5E57EAE1" w14:textId="33293ADD" w:rsidR="7874973D" w:rsidRDefault="7874973D" w:rsidP="009E711D">
      <w:bookmarkStart w:id="0" w:name="_GoBack"/>
      <w:bookmarkEnd w:id="0"/>
    </w:p>
    <w:sectPr w:rsidR="7874973D" w:rsidSect="00D31F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Arial,Times New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0D39E1"/>
    <w:rsid w:val="00193E83"/>
    <w:rsid w:val="002375C4"/>
    <w:rsid w:val="00246DD9"/>
    <w:rsid w:val="003E4FBA"/>
    <w:rsid w:val="004C2FD1"/>
    <w:rsid w:val="00662927"/>
    <w:rsid w:val="006B60AA"/>
    <w:rsid w:val="006C53FE"/>
    <w:rsid w:val="006F2B7B"/>
    <w:rsid w:val="00741F16"/>
    <w:rsid w:val="00851D84"/>
    <w:rsid w:val="009E711D"/>
    <w:rsid w:val="009F6898"/>
    <w:rsid w:val="00A21F30"/>
    <w:rsid w:val="00A67874"/>
    <w:rsid w:val="00C04A84"/>
    <w:rsid w:val="00C941D4"/>
    <w:rsid w:val="00D31F7B"/>
    <w:rsid w:val="00D63EC7"/>
    <w:rsid w:val="00E60C7C"/>
    <w:rsid w:val="00E711D5"/>
    <w:rsid w:val="00EE54F9"/>
    <w:rsid w:val="00EF0AF1"/>
    <w:rsid w:val="00F26133"/>
    <w:rsid w:val="00F65E41"/>
    <w:rsid w:val="00FA47C0"/>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741F1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E99-3FB4-46C2-83DA-F4272283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4</cp:revision>
  <dcterms:created xsi:type="dcterms:W3CDTF">2020-12-02T09:57:00Z</dcterms:created>
  <dcterms:modified xsi:type="dcterms:W3CDTF">2020-12-02T11:25:00Z</dcterms:modified>
</cp:coreProperties>
</file>