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7860"/>
      </w:tblGrid>
      <w:tr w:rsidR="00884B52" w:rsidRPr="00C96649" w14:paraId="3B6F34E5" w14:textId="77777777" w:rsidTr="00C96649">
        <w:tc>
          <w:tcPr>
            <w:tcW w:w="10456" w:type="dxa"/>
            <w:gridSpan w:val="2"/>
            <w:shd w:val="clear" w:color="auto" w:fill="FF5050"/>
          </w:tcPr>
          <w:p w14:paraId="05F5A2B2" w14:textId="3E7AF2F4" w:rsidR="00884B52" w:rsidRPr="00C96649" w:rsidRDefault="007968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Summer Term 2</w:t>
            </w:r>
            <w:r w:rsidR="00C96649" w:rsidRPr="00C96649">
              <w:rPr>
                <w:rFonts w:cstheme="minorHAnsi"/>
                <w:b/>
                <w:sz w:val="36"/>
                <w:szCs w:val="24"/>
              </w:rPr>
              <w:t xml:space="preserve"> Curriculum</w:t>
            </w:r>
          </w:p>
        </w:tc>
      </w:tr>
      <w:tr w:rsidR="00631930" w:rsidRPr="00C96649" w14:paraId="42CDD893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49F566E8" w14:textId="169E0C46" w:rsidR="00884B52" w:rsidRPr="00C96649" w:rsidRDefault="00884B52" w:rsidP="00884B52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>English</w:t>
            </w:r>
          </w:p>
          <w:p w14:paraId="22685985" w14:textId="5ECF8AF7" w:rsidR="00884B52" w:rsidRPr="00C96649" w:rsidRDefault="005131F5" w:rsidP="00A31A28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76670F" wp14:editId="7314B4A8">
                  <wp:extent cx="1085421" cy="762000"/>
                  <wp:effectExtent l="0" t="0" r="635" b="9525"/>
                  <wp:docPr id="3" name="Picture 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ading-clip-art-pictures-830x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21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65997509" w14:textId="25AFE2CC" w:rsidR="002C7A66" w:rsidRDefault="0048737E" w:rsidP="00796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term</w:t>
            </w:r>
            <w:r w:rsidR="00796876">
              <w:rPr>
                <w:b/>
                <w:sz w:val="24"/>
                <w:szCs w:val="24"/>
              </w:rPr>
              <w:t>, to link with our Stone Age topic, we will be reading the text “How to Wash a Woolly Mammoth.” We will be linking this to our non-fiction instructional writing.</w:t>
            </w:r>
          </w:p>
          <w:p w14:paraId="679C710B" w14:textId="77A99107" w:rsidR="00796876" w:rsidRDefault="00796876" w:rsidP="00796876">
            <w:pPr>
              <w:rPr>
                <w:b/>
                <w:sz w:val="24"/>
                <w:szCs w:val="24"/>
              </w:rPr>
            </w:pPr>
          </w:p>
          <w:p w14:paraId="3F2DB82C" w14:textId="395F892F" w:rsidR="00796876" w:rsidRDefault="00796876" w:rsidP="00796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will also be exploring the text “A Stone for Sascha”. This is a fabulous picture book for older readers and will provide a great challenge for our fiction writing.</w:t>
            </w:r>
          </w:p>
          <w:p w14:paraId="17887EAA" w14:textId="77777777" w:rsidR="00C23D6C" w:rsidRPr="00C96649" w:rsidRDefault="00C23D6C" w:rsidP="00863B77">
            <w:pPr>
              <w:rPr>
                <w:b/>
                <w:sz w:val="24"/>
                <w:szCs w:val="24"/>
              </w:rPr>
            </w:pPr>
          </w:p>
          <w:p w14:paraId="183EF871" w14:textId="0143E832" w:rsidR="00884B52" w:rsidRPr="00C96649" w:rsidRDefault="00C96649" w:rsidP="00863B77">
            <w:pPr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>We will</w:t>
            </w:r>
            <w:r w:rsidR="00863B77" w:rsidRPr="00C96649">
              <w:rPr>
                <w:b/>
                <w:sz w:val="24"/>
                <w:szCs w:val="24"/>
              </w:rPr>
              <w:t xml:space="preserve"> continue to explore a range of grammar devices through our English and develop our vocabulary through our reading texts. It is integral that the children read high quality texts, please use our lis</w:t>
            </w:r>
            <w:r w:rsidR="00796876">
              <w:rPr>
                <w:b/>
                <w:sz w:val="24"/>
                <w:szCs w:val="24"/>
              </w:rPr>
              <w:t>t of 100 books to read in Year 3 and 4</w:t>
            </w:r>
            <w:r w:rsidR="00863B77" w:rsidRPr="00C96649">
              <w:rPr>
                <w:b/>
                <w:sz w:val="24"/>
                <w:szCs w:val="24"/>
              </w:rPr>
              <w:t xml:space="preserve"> to help you choose something new.</w:t>
            </w:r>
          </w:p>
        </w:tc>
      </w:tr>
      <w:tr w:rsidR="00631930" w:rsidRPr="00C96649" w14:paraId="19B9F9B3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634044C7" w14:textId="77777777" w:rsidR="00884B52" w:rsidRPr="00C96649" w:rsidRDefault="00884B52" w:rsidP="00884B52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>Maths</w:t>
            </w:r>
          </w:p>
          <w:p w14:paraId="6DFA4ADA" w14:textId="26AB0886" w:rsidR="00884B52" w:rsidRPr="00C96649" w:rsidRDefault="006F26F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72B4F4" wp14:editId="2395D191">
                  <wp:extent cx="1151838" cy="95504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57" cy="10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73E37D95" w14:textId="22104EED" w:rsidR="00874264" w:rsidRDefault="00796876" w:rsidP="00C23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Year 3, we will be studying time, shape, mass and capacity. Year 4’s focus in maths will be statistics, shape and position and direction. </w:t>
            </w:r>
            <w:r w:rsidR="0048737E">
              <w:rPr>
                <w:b/>
                <w:sz w:val="24"/>
                <w:szCs w:val="24"/>
              </w:rPr>
              <w:t>Also, w</w:t>
            </w:r>
            <w:r w:rsidR="00C96649" w:rsidRPr="00C96649">
              <w:rPr>
                <w:b/>
                <w:sz w:val="24"/>
                <w:szCs w:val="24"/>
              </w:rPr>
              <w:t xml:space="preserve">e will </w:t>
            </w:r>
            <w:r w:rsidR="002C7A66">
              <w:rPr>
                <w:b/>
                <w:sz w:val="24"/>
                <w:szCs w:val="24"/>
              </w:rPr>
              <w:t xml:space="preserve">continue </w:t>
            </w:r>
            <w:r w:rsidR="00C96649" w:rsidRPr="00C96649">
              <w:rPr>
                <w:b/>
                <w:sz w:val="24"/>
                <w:szCs w:val="24"/>
              </w:rPr>
              <w:t>work on enhancing our basic arithmetic skills and ensuring we embed key skills.</w:t>
            </w:r>
          </w:p>
          <w:p w14:paraId="66B08CF9" w14:textId="1E1D131C" w:rsidR="00796876" w:rsidRDefault="00796876" w:rsidP="00C23D6C">
            <w:pPr>
              <w:rPr>
                <w:b/>
                <w:sz w:val="24"/>
                <w:szCs w:val="24"/>
              </w:rPr>
            </w:pPr>
          </w:p>
          <w:p w14:paraId="242798B3" w14:textId="77777777" w:rsidR="00796876" w:rsidRDefault="00796876" w:rsidP="00796876">
            <w:pPr>
              <w:rPr>
                <w:b/>
                <w:sz w:val="24"/>
                <w:szCs w:val="24"/>
              </w:rPr>
            </w:pPr>
          </w:p>
          <w:p w14:paraId="36168A07" w14:textId="3D81F29A" w:rsidR="00F90900" w:rsidRPr="00C96649" w:rsidRDefault="00796876" w:rsidP="00C23D6C">
            <w:pPr>
              <w:rPr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>We will be continuing to push our work on times tables and the use of Times Tables Rock stars to ensure we are fluent in all tables up to x 12.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876">
              <w:rPr>
                <w:b/>
                <w:sz w:val="24"/>
                <w:szCs w:val="24"/>
              </w:rPr>
              <w:t>Year 4s are expected to take a multiplication tables check in June, so it is imperative that they can rapidly recall their multiplication facts to 12x12. Remember to use Times Tables Rock Stars at home.</w:t>
            </w:r>
          </w:p>
        </w:tc>
      </w:tr>
      <w:tr w:rsidR="00631930" w:rsidRPr="00C96649" w14:paraId="27B48DC6" w14:textId="77777777" w:rsidTr="00C96649">
        <w:trPr>
          <w:trHeight w:val="2233"/>
        </w:trPr>
        <w:tc>
          <w:tcPr>
            <w:tcW w:w="2596" w:type="dxa"/>
            <w:shd w:val="clear" w:color="auto" w:fill="A6A6A6" w:themeFill="background1" w:themeFillShade="A6"/>
          </w:tcPr>
          <w:p w14:paraId="65969820" w14:textId="7C803869" w:rsidR="00F90900" w:rsidRPr="00C96649" w:rsidRDefault="00796876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C4950D0" wp14:editId="1B8E7D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276225</wp:posOffset>
                  </wp:positionV>
                  <wp:extent cx="1466850" cy="963779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1319" y="21358"/>
                      <wp:lineTo x="21319" y="0"/>
                      <wp:lineTo x="0" y="0"/>
                    </wp:wrapPolygon>
                  </wp:wrapTight>
                  <wp:docPr id="1" name="Picture 1" descr="C:\Users\hjennings\AppData\Local\Microsoft\Windows\INetCache\Content.MSO\EBB90A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jennings\AppData\Local\Microsoft\Windows\INetCache\Content.MSO\EBB90A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6850" cy="96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37E">
              <w:rPr>
                <w:rFonts w:cstheme="minorHAnsi"/>
                <w:b/>
                <w:bCs/>
                <w:noProof/>
                <w:lang w:eastAsia="en-GB"/>
              </w:rPr>
              <w:t>History</w:t>
            </w:r>
          </w:p>
          <w:p w14:paraId="0EAD02A0" w14:textId="4486A54C" w:rsidR="00AB0203" w:rsidRPr="00C96649" w:rsidRDefault="00AB0203" w:rsidP="008742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 w:themeFill="background2"/>
          </w:tcPr>
          <w:p w14:paraId="34C51F1B" w14:textId="21E9489F" w:rsidR="0048737E" w:rsidRDefault="00863B77" w:rsidP="00874264">
            <w:pPr>
              <w:spacing w:after="200"/>
              <w:rPr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>Thi</w:t>
            </w:r>
            <w:r w:rsidR="00C96649" w:rsidRPr="00C96649">
              <w:rPr>
                <w:b/>
                <w:sz w:val="24"/>
                <w:szCs w:val="24"/>
              </w:rPr>
              <w:t>s term our focus topic is “</w:t>
            </w:r>
            <w:r w:rsidR="00796876">
              <w:rPr>
                <w:b/>
                <w:sz w:val="24"/>
                <w:szCs w:val="24"/>
              </w:rPr>
              <w:t xml:space="preserve"> Ages of Man”</w:t>
            </w:r>
          </w:p>
          <w:p w14:paraId="0B7E0F21" w14:textId="12E34B1C" w:rsidR="00874264" w:rsidRPr="00C96649" w:rsidRDefault="0048737E" w:rsidP="00874264">
            <w:pPr>
              <w:spacing w:after="200"/>
              <w:rPr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 xml:space="preserve"> </w:t>
            </w:r>
            <w:r w:rsidR="00863B77" w:rsidRPr="00C96649">
              <w:rPr>
                <w:b/>
                <w:sz w:val="24"/>
                <w:szCs w:val="24"/>
              </w:rPr>
              <w:t xml:space="preserve">Our National Curriculum focus will be: </w:t>
            </w:r>
          </w:p>
          <w:p w14:paraId="1E4A6940" w14:textId="6867B893" w:rsidR="00874264" w:rsidRPr="002C7A66" w:rsidRDefault="00796876" w:rsidP="0048737E">
            <w:pPr>
              <w:pStyle w:val="ListParagraph"/>
              <w:numPr>
                <w:ilvl w:val="0"/>
                <w:numId w:val="3"/>
              </w:numPr>
              <w:spacing w:after="200"/>
              <w:rPr>
                <w:b/>
                <w:sz w:val="24"/>
                <w:szCs w:val="24"/>
              </w:rPr>
            </w:pPr>
            <w:r w:rsidRPr="00796876">
              <w:rPr>
                <w:b/>
              </w:rPr>
              <w:t>Changes in Britain from the Stone Age to the Iron Age</w:t>
            </w:r>
          </w:p>
        </w:tc>
      </w:tr>
      <w:tr w:rsidR="00631930" w:rsidRPr="00C96649" w14:paraId="0CD45B8C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56556FBF" w14:textId="77777777" w:rsidR="00874264" w:rsidRDefault="00796876" w:rsidP="00796876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C8C17B4" wp14:editId="48F0384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309880</wp:posOffset>
                  </wp:positionV>
                  <wp:extent cx="1076325" cy="1071245"/>
                  <wp:effectExtent l="0" t="0" r="9525" b="0"/>
                  <wp:wrapTight wrapText="bothSides">
                    <wp:wrapPolygon edited="0">
                      <wp:start x="0" y="0"/>
                      <wp:lineTo x="0" y="21126"/>
                      <wp:lineTo x="21409" y="21126"/>
                      <wp:lineTo x="21409" y="0"/>
                      <wp:lineTo x="0" y="0"/>
                    </wp:wrapPolygon>
                  </wp:wrapTight>
                  <wp:docPr id="5" name="Picture 5" descr="C:\Users\hjennings\AppData\Local\Microsoft\Windows\INetCache\Content.MSO\77D19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jennings\AppData\Local\Microsoft\Windows\INetCache\Content.MSO\77D19C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A66">
              <w:rPr>
                <w:rFonts w:cstheme="minorHAnsi"/>
                <w:b/>
                <w:bCs/>
                <w:sz w:val="24"/>
                <w:szCs w:val="24"/>
              </w:rPr>
              <w:t xml:space="preserve"> Art / </w:t>
            </w:r>
            <w:r w:rsidR="0048737E">
              <w:rPr>
                <w:rFonts w:cstheme="minorHAnsi"/>
                <w:b/>
                <w:bCs/>
                <w:sz w:val="24"/>
                <w:szCs w:val="24"/>
              </w:rPr>
              <w:t>DT</w:t>
            </w:r>
          </w:p>
          <w:p w14:paraId="54AFB062" w14:textId="5BCCAEA9" w:rsidR="00796876" w:rsidRPr="00C96649" w:rsidRDefault="00796876" w:rsidP="00796876">
            <w:pPr>
              <w:spacing w:after="20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 w:themeFill="background2"/>
          </w:tcPr>
          <w:p w14:paraId="4B55AD77" w14:textId="711CD1AA" w:rsidR="00874264" w:rsidRPr="00C96649" w:rsidRDefault="00863B77" w:rsidP="00874264">
            <w:pPr>
              <w:rPr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 xml:space="preserve">This term we </w:t>
            </w:r>
            <w:r w:rsidR="00874264" w:rsidRPr="00C96649">
              <w:rPr>
                <w:b/>
                <w:sz w:val="24"/>
                <w:szCs w:val="24"/>
              </w:rPr>
              <w:t xml:space="preserve">will be </w:t>
            </w:r>
            <w:r w:rsidR="00796876">
              <w:rPr>
                <w:b/>
                <w:sz w:val="24"/>
                <w:szCs w:val="24"/>
              </w:rPr>
              <w:t>focusing on DT and making mini greenhouses.</w:t>
            </w:r>
            <w:r w:rsidR="002C7A66">
              <w:rPr>
                <w:b/>
                <w:sz w:val="24"/>
                <w:szCs w:val="24"/>
              </w:rPr>
              <w:t xml:space="preserve"> </w:t>
            </w:r>
            <w:r w:rsidR="00796876">
              <w:rPr>
                <w:b/>
                <w:sz w:val="24"/>
                <w:szCs w:val="24"/>
              </w:rPr>
              <w:t>We will be investigating stable structures, creating suitable designs, following a design criteria, creating products and evaluating these products.</w:t>
            </w:r>
          </w:p>
          <w:p w14:paraId="730E7611" w14:textId="705135B8" w:rsidR="00863B77" w:rsidRPr="0048737E" w:rsidRDefault="00863B77" w:rsidP="002C7A66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C96649" w:rsidRPr="00C96649" w14:paraId="4613BC60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6E4426F5" w14:textId="392CCC86" w:rsidR="00884B52" w:rsidRPr="00C96649" w:rsidRDefault="00884B52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  <w:p w14:paraId="020B0EA7" w14:textId="1B87AC73" w:rsidR="006F26F0" w:rsidRPr="00C96649" w:rsidRDefault="006F26F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EF6BC7" wp14:editId="09CCF265">
                  <wp:extent cx="1066800" cy="62187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ientist-clipart-science-clip-art-school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6" cy="62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46C9D1ED" w14:textId="07768FD8" w:rsidR="00884B52" w:rsidRPr="00C96649" w:rsidRDefault="00C96649" w:rsidP="00863B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 xml:space="preserve">Our focus this term is: </w:t>
            </w:r>
            <w:r w:rsidR="00796876">
              <w:rPr>
                <w:rFonts w:cstheme="minorHAnsi"/>
                <w:b/>
                <w:bCs/>
                <w:sz w:val="24"/>
                <w:szCs w:val="24"/>
              </w:rPr>
              <w:t>Working Scientifically.</w:t>
            </w:r>
          </w:p>
          <w:p w14:paraId="4D40339C" w14:textId="04273DBF" w:rsidR="00863B77" w:rsidRPr="00C96649" w:rsidRDefault="00863B77" w:rsidP="00863B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>We will be covering the below National Curriculum objectives:</w:t>
            </w:r>
          </w:p>
          <w:p w14:paraId="0CFA2956" w14:textId="77777777" w:rsidR="009E49C0" w:rsidRDefault="009E49C0" w:rsidP="009E49C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Pupils should be taught to:</w:t>
            </w:r>
          </w:p>
          <w:p w14:paraId="7FD4E3B6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asking relevant questions and using different types of scientific enquiries to answer them</w:t>
            </w:r>
          </w:p>
          <w:p w14:paraId="2530ACD6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setting up simple practical enquiries, comparative and fair tests</w:t>
            </w:r>
          </w:p>
          <w:p w14:paraId="576360FD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14:paraId="1A8C9C2F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lastRenderedPageBreak/>
              <w:t>gathering, recording, classifying and presenting data in a variety of ways to help in answering questions</w:t>
            </w:r>
          </w:p>
          <w:p w14:paraId="1F507B7C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recording findings using simple scientific language, drawings, labelled diagrams, keys, bar charts, and tables</w:t>
            </w:r>
          </w:p>
          <w:p w14:paraId="6D9E17AA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reporting on findings from enquiries, including oral and written explanations, displays or presentations of results and conclusions</w:t>
            </w:r>
          </w:p>
          <w:p w14:paraId="64FEC9DE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using results to draw simple conclusions, make predictions for new values, suggest improvements and raise further questions</w:t>
            </w:r>
          </w:p>
          <w:p w14:paraId="1D934642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96876">
              <w:rPr>
                <w:rFonts w:cstheme="minorHAnsi"/>
                <w:b/>
                <w:sz w:val="24"/>
                <w:szCs w:val="24"/>
              </w:rPr>
              <w:t>identifying differences, similarities or changes related to simple scientific ideas and processes</w:t>
            </w:r>
          </w:p>
          <w:p w14:paraId="35FB0813" w14:textId="77777777" w:rsidR="00796876" w:rsidRPr="00796876" w:rsidRDefault="00796876" w:rsidP="007968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796876">
              <w:rPr>
                <w:rFonts w:cstheme="minorHAnsi"/>
                <w:b/>
                <w:sz w:val="24"/>
                <w:szCs w:val="24"/>
              </w:rPr>
              <w:t>using</w:t>
            </w:r>
            <w:proofErr w:type="gramEnd"/>
            <w:r w:rsidRPr="00796876">
              <w:rPr>
                <w:rFonts w:cstheme="minorHAnsi"/>
                <w:b/>
                <w:sz w:val="24"/>
                <w:szCs w:val="24"/>
              </w:rPr>
              <w:t xml:space="preserve"> straightforward scientific evidence to answer questions or to support their findings.</w:t>
            </w:r>
          </w:p>
          <w:p w14:paraId="7D3DC74C" w14:textId="3CDA78B4" w:rsidR="00863B77" w:rsidRPr="00C96649" w:rsidRDefault="00863B77" w:rsidP="009E49C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1930" w:rsidRPr="00C96649" w14:paraId="1078C689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7AF3C441" w14:textId="6618C6FD" w:rsidR="00631930" w:rsidRPr="00C96649" w:rsidRDefault="00631930" w:rsidP="006319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7260C724" wp14:editId="05C4B322">
                  <wp:extent cx="1511683" cy="792414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sh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79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421B5CAD" w14:textId="2B90755C" w:rsidR="00C96649" w:rsidRDefault="00796876" w:rsidP="00863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Our PSHE this term is focussed on our SRE topic.</w:t>
            </w:r>
          </w:p>
          <w:p w14:paraId="5FF31B58" w14:textId="4869CB55" w:rsidR="00796876" w:rsidRDefault="00796876" w:rsidP="00863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children in Year 3 and 4 will be taught age appropriate content from the sex and relationships governance guidance for schools.</w:t>
            </w:r>
          </w:p>
          <w:p w14:paraId="1DAA502D" w14:textId="77777777" w:rsidR="00796876" w:rsidRDefault="00796876" w:rsidP="00863B7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3D46DA" w14:textId="338CBA3B" w:rsidR="00C96649" w:rsidRPr="00C96649" w:rsidRDefault="00C96649" w:rsidP="00863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 will also be using “Votes for schools” within our classrooms this year.</w:t>
            </w:r>
          </w:p>
          <w:p w14:paraId="4A2119AC" w14:textId="77777777" w:rsidR="00141C00" w:rsidRDefault="00141C00" w:rsidP="00884B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A3D638" w14:textId="77777777" w:rsidR="009E49C0" w:rsidRDefault="009E49C0" w:rsidP="00884B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F59FE2" w14:textId="77777777" w:rsidR="009E49C0" w:rsidRDefault="009E49C0" w:rsidP="00884B5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BCF7BB" w14:textId="345E2672" w:rsidR="009E49C0" w:rsidRPr="00C96649" w:rsidRDefault="009E49C0" w:rsidP="00884B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6649" w:rsidRPr="00C96649" w14:paraId="5E493CB1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33AF3E9A" w14:textId="77777777" w:rsidR="00631930" w:rsidRPr="00C96649" w:rsidRDefault="00884B52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bCs/>
                <w:sz w:val="24"/>
                <w:szCs w:val="24"/>
              </w:rPr>
              <w:t>Computing</w:t>
            </w:r>
          </w:p>
          <w:p w14:paraId="0FAE1450" w14:textId="0EB58B3A" w:rsidR="00884B52" w:rsidRPr="00C96649" w:rsidRDefault="00631930" w:rsidP="00884B5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96649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AAD90E" wp14:editId="6655D5A3">
                  <wp:extent cx="857250" cy="7680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ANGB3R3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68" cy="77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B52" w:rsidRPr="00C966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60" w:type="dxa"/>
            <w:shd w:val="clear" w:color="auto" w:fill="E7E6E6" w:themeFill="background2"/>
          </w:tcPr>
          <w:p w14:paraId="244DF8A9" w14:textId="4C40D245" w:rsidR="0067670A" w:rsidRPr="00C96649" w:rsidRDefault="00425B6C" w:rsidP="009E49C0">
            <w:pPr>
              <w:spacing w:after="200"/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rFonts w:cstheme="minorHAnsi"/>
                <w:b/>
                <w:sz w:val="24"/>
                <w:szCs w:val="24"/>
              </w:rPr>
              <w:t>Our focus in computing will be “</w:t>
            </w:r>
            <w:r w:rsidR="00C96649">
              <w:rPr>
                <w:rFonts w:cstheme="minorHAnsi"/>
                <w:b/>
                <w:sz w:val="24"/>
                <w:szCs w:val="24"/>
              </w:rPr>
              <w:t xml:space="preserve">Learning to be </w:t>
            </w:r>
            <w:r w:rsidR="009E49C0">
              <w:rPr>
                <w:rFonts w:cstheme="minorHAnsi"/>
                <w:b/>
                <w:sz w:val="24"/>
                <w:szCs w:val="24"/>
              </w:rPr>
              <w:t>computer scientists</w:t>
            </w:r>
            <w:r w:rsidR="00C96649">
              <w:rPr>
                <w:rFonts w:cstheme="minorHAnsi"/>
                <w:b/>
                <w:sz w:val="24"/>
                <w:szCs w:val="24"/>
              </w:rPr>
              <w:t>.”</w:t>
            </w:r>
            <w:r w:rsidRPr="00C9664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96649" w:rsidRPr="00C96649" w14:paraId="4526E96C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1133E977" w14:textId="77777777" w:rsidR="00631930" w:rsidRPr="00C96649" w:rsidRDefault="00631930" w:rsidP="00F90900">
            <w:pPr>
              <w:spacing w:after="200"/>
              <w:rPr>
                <w:rFonts w:cstheme="minorHAnsi"/>
                <w:b/>
                <w:sz w:val="24"/>
                <w:szCs w:val="24"/>
              </w:rPr>
            </w:pPr>
          </w:p>
          <w:p w14:paraId="5F049686" w14:textId="75C7E89E" w:rsidR="00884B52" w:rsidRPr="00C96649" w:rsidRDefault="00631930" w:rsidP="00631930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C62018" wp14:editId="6696ABDF">
                  <wp:extent cx="940434" cy="7837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fa4fdad029c5a3f6717650c5a8461d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92" cy="79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5377DF0E" w14:textId="2D50B7B8" w:rsidR="00884B52" w:rsidRPr="00C96649" w:rsidRDefault="00425B6C" w:rsidP="0004636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C96649">
              <w:rPr>
                <w:rFonts w:cstheme="minorHAnsi"/>
                <w:b/>
                <w:iCs/>
                <w:sz w:val="24"/>
                <w:szCs w:val="24"/>
              </w:rPr>
              <w:t xml:space="preserve">Our PE this term is </w:t>
            </w:r>
            <w:r w:rsidR="00796876">
              <w:rPr>
                <w:rFonts w:cstheme="minorHAnsi"/>
                <w:b/>
                <w:iCs/>
                <w:sz w:val="24"/>
                <w:szCs w:val="24"/>
              </w:rPr>
              <w:t>cricket and athletics.</w:t>
            </w:r>
            <w:r w:rsidRPr="00C96649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4E0F89D1" w14:textId="07BCB186" w:rsidR="00425B6C" w:rsidRPr="00C96649" w:rsidRDefault="00425B6C" w:rsidP="0079687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C96649">
              <w:rPr>
                <w:rFonts w:cstheme="minorHAnsi"/>
                <w:b/>
                <w:iCs/>
                <w:sz w:val="24"/>
                <w:szCs w:val="24"/>
              </w:rPr>
              <w:t xml:space="preserve">PE is normally </w:t>
            </w:r>
            <w:r w:rsidR="00796876">
              <w:rPr>
                <w:rFonts w:cstheme="minorHAnsi"/>
                <w:b/>
                <w:iCs/>
                <w:sz w:val="24"/>
                <w:szCs w:val="24"/>
              </w:rPr>
              <w:t>Wednesday</w:t>
            </w:r>
            <w:r w:rsidR="00C96649">
              <w:rPr>
                <w:rFonts w:cstheme="minorHAnsi"/>
                <w:b/>
                <w:iCs/>
                <w:sz w:val="24"/>
                <w:szCs w:val="24"/>
              </w:rPr>
              <w:t xml:space="preserve"> and Friday</w:t>
            </w:r>
            <w:r w:rsidRPr="00C96649">
              <w:rPr>
                <w:rFonts w:cstheme="minorHAnsi"/>
                <w:b/>
                <w:iCs/>
                <w:sz w:val="24"/>
                <w:szCs w:val="24"/>
              </w:rPr>
              <w:t>. However, please make sure you have your full PE kit in school every day.</w:t>
            </w:r>
            <w:bookmarkStart w:id="0" w:name="_GoBack"/>
            <w:bookmarkEnd w:id="0"/>
          </w:p>
        </w:tc>
      </w:tr>
      <w:tr w:rsidR="00C96649" w:rsidRPr="00C96649" w14:paraId="2F0469E4" w14:textId="77777777" w:rsidTr="00C96649">
        <w:tc>
          <w:tcPr>
            <w:tcW w:w="2596" w:type="dxa"/>
            <w:shd w:val="clear" w:color="auto" w:fill="A6A6A6" w:themeFill="background1" w:themeFillShade="A6"/>
          </w:tcPr>
          <w:p w14:paraId="7DF39CFA" w14:textId="77777777" w:rsidR="00884B52" w:rsidRPr="00C96649" w:rsidRDefault="00884B52" w:rsidP="00884B52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  <w:p w14:paraId="7A5E5B8E" w14:textId="1B6A7B58" w:rsidR="00F90900" w:rsidRPr="00C96649" w:rsidRDefault="00F90900" w:rsidP="00884B52">
            <w:pPr>
              <w:spacing w:after="2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AA4F3" wp14:editId="7C298561">
                  <wp:extent cx="695325" cy="765916"/>
                  <wp:effectExtent l="0" t="0" r="0" b="0"/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OLRTPCH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672" cy="7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shd w:val="clear" w:color="auto" w:fill="E7E6E6" w:themeFill="background2"/>
          </w:tcPr>
          <w:p w14:paraId="10EB540E" w14:textId="7B988305" w:rsidR="00884B52" w:rsidRPr="00C96649" w:rsidRDefault="00863B77" w:rsidP="00796876">
            <w:pPr>
              <w:rPr>
                <w:rFonts w:cstheme="minorHAnsi"/>
                <w:b/>
                <w:sz w:val="24"/>
                <w:szCs w:val="24"/>
              </w:rPr>
            </w:pPr>
            <w:r w:rsidRPr="00C96649">
              <w:rPr>
                <w:b/>
                <w:sz w:val="24"/>
                <w:szCs w:val="24"/>
              </w:rPr>
              <w:t xml:space="preserve">In RE </w:t>
            </w:r>
            <w:r w:rsidR="00874264" w:rsidRPr="00C96649">
              <w:rPr>
                <w:b/>
                <w:sz w:val="24"/>
                <w:szCs w:val="24"/>
              </w:rPr>
              <w:t xml:space="preserve">this term we will be exploring </w:t>
            </w:r>
            <w:r w:rsidR="00796876">
              <w:rPr>
                <w:b/>
                <w:sz w:val="24"/>
                <w:szCs w:val="24"/>
              </w:rPr>
              <w:t>Faith in the Community.</w:t>
            </w:r>
          </w:p>
        </w:tc>
      </w:tr>
    </w:tbl>
    <w:p w14:paraId="4F86909D" w14:textId="77777777" w:rsidR="00945D2A" w:rsidRPr="00C96649" w:rsidRDefault="00945D2A">
      <w:pPr>
        <w:rPr>
          <w:rFonts w:cstheme="minorHAnsi"/>
          <w:b/>
          <w:sz w:val="24"/>
          <w:szCs w:val="24"/>
        </w:rPr>
      </w:pPr>
    </w:p>
    <w:sectPr w:rsidR="00945D2A" w:rsidRPr="00C96649" w:rsidSect="00425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3B8"/>
    <w:multiLevelType w:val="hybridMultilevel"/>
    <w:tmpl w:val="657E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C4C"/>
    <w:multiLevelType w:val="multilevel"/>
    <w:tmpl w:val="3D6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A6144"/>
    <w:multiLevelType w:val="hybridMultilevel"/>
    <w:tmpl w:val="5286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588"/>
    <w:multiLevelType w:val="hybridMultilevel"/>
    <w:tmpl w:val="66A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52"/>
    <w:rsid w:val="00013BE4"/>
    <w:rsid w:val="00017557"/>
    <w:rsid w:val="00046361"/>
    <w:rsid w:val="00055B85"/>
    <w:rsid w:val="000737C4"/>
    <w:rsid w:val="00141C00"/>
    <w:rsid w:val="00147447"/>
    <w:rsid w:val="001506D0"/>
    <w:rsid w:val="00185FFB"/>
    <w:rsid w:val="0020619B"/>
    <w:rsid w:val="0023404B"/>
    <w:rsid w:val="002C7A66"/>
    <w:rsid w:val="003511E0"/>
    <w:rsid w:val="00425B6C"/>
    <w:rsid w:val="0048737E"/>
    <w:rsid w:val="005050CE"/>
    <w:rsid w:val="005067DF"/>
    <w:rsid w:val="005131F5"/>
    <w:rsid w:val="00535454"/>
    <w:rsid w:val="0054294D"/>
    <w:rsid w:val="00557696"/>
    <w:rsid w:val="006268EA"/>
    <w:rsid w:val="00631930"/>
    <w:rsid w:val="00640B80"/>
    <w:rsid w:val="0067670A"/>
    <w:rsid w:val="006F26F0"/>
    <w:rsid w:val="00776412"/>
    <w:rsid w:val="00796876"/>
    <w:rsid w:val="007D7D48"/>
    <w:rsid w:val="00863B77"/>
    <w:rsid w:val="00874264"/>
    <w:rsid w:val="00884B52"/>
    <w:rsid w:val="00945D2A"/>
    <w:rsid w:val="00961015"/>
    <w:rsid w:val="00971EF0"/>
    <w:rsid w:val="009B2D20"/>
    <w:rsid w:val="009E49C0"/>
    <w:rsid w:val="00A31A28"/>
    <w:rsid w:val="00A547B7"/>
    <w:rsid w:val="00AA08D3"/>
    <w:rsid w:val="00AB0203"/>
    <w:rsid w:val="00AF6344"/>
    <w:rsid w:val="00AF678D"/>
    <w:rsid w:val="00B53D63"/>
    <w:rsid w:val="00B55531"/>
    <w:rsid w:val="00C13E41"/>
    <w:rsid w:val="00C2294D"/>
    <w:rsid w:val="00C23D6C"/>
    <w:rsid w:val="00C96649"/>
    <w:rsid w:val="00CD5997"/>
    <w:rsid w:val="00CE705E"/>
    <w:rsid w:val="00D35007"/>
    <w:rsid w:val="00D40182"/>
    <w:rsid w:val="00D569BD"/>
    <w:rsid w:val="00D7732A"/>
    <w:rsid w:val="00E63747"/>
    <w:rsid w:val="00E6766A"/>
    <w:rsid w:val="00EB46D5"/>
    <w:rsid w:val="00F90900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4BCF"/>
  <w15:chartTrackingRefBased/>
  <w15:docId w15:val="{74BD00B6-2891-4A54-98B9-E98E7C2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9AC3C-19BD-42E5-ADE5-2BED772A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3FCB2-DAB1-42B9-8201-640CC8EE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4836A-BB3F-488C-A5B6-0EBEBCD61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Mills</dc:creator>
  <cp:keywords/>
  <dc:description/>
  <cp:lastModifiedBy>Harriet Jennings</cp:lastModifiedBy>
  <cp:revision>2</cp:revision>
  <cp:lastPrinted>2019-09-09T16:31:00Z</cp:lastPrinted>
  <dcterms:created xsi:type="dcterms:W3CDTF">2022-06-05T20:19:00Z</dcterms:created>
  <dcterms:modified xsi:type="dcterms:W3CDTF">2022-06-05T20:19:00Z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