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46" w:type="dxa"/>
        <w:tblInd w:w="-1025" w:type="dxa"/>
        <w:tblLook w:val="04A0" w:firstRow="1" w:lastRow="0" w:firstColumn="1" w:lastColumn="0" w:noHBand="0" w:noVBand="1"/>
      </w:tblPr>
      <w:tblGrid>
        <w:gridCol w:w="27"/>
        <w:gridCol w:w="1993"/>
        <w:gridCol w:w="1421"/>
        <w:gridCol w:w="956"/>
        <w:gridCol w:w="1460"/>
        <w:gridCol w:w="1026"/>
        <w:gridCol w:w="1390"/>
        <w:gridCol w:w="718"/>
        <w:gridCol w:w="1700"/>
        <w:gridCol w:w="770"/>
        <w:gridCol w:w="1648"/>
        <w:gridCol w:w="635"/>
        <w:gridCol w:w="2294"/>
        <w:gridCol w:w="8"/>
      </w:tblGrid>
      <w:tr w:rsidR="00456A52" w:rsidTr="0040548B">
        <w:trPr>
          <w:gridBefore w:val="1"/>
          <w:wBefore w:w="27" w:type="dxa"/>
          <w:trHeight w:val="264"/>
        </w:trPr>
        <w:tc>
          <w:tcPr>
            <w:tcW w:w="16019" w:type="dxa"/>
            <w:gridSpan w:val="13"/>
            <w:shd w:val="clear" w:color="auto" w:fill="A6A6A6" w:themeFill="background1" w:themeFillShade="A6"/>
          </w:tcPr>
          <w:p w:rsidR="00456A52" w:rsidRPr="006F2B4C" w:rsidRDefault="00456A52" w:rsidP="00456A52">
            <w:pPr>
              <w:jc w:val="center"/>
              <w:rPr>
                <w:b/>
              </w:rPr>
            </w:pPr>
            <w:bookmarkStart w:id="0" w:name="_GoBack"/>
            <w:bookmarkEnd w:id="0"/>
            <w:r w:rsidRPr="006F2B4C">
              <w:rPr>
                <w:b/>
                <w:sz w:val="28"/>
              </w:rPr>
              <w:t>Personal Development Themes</w:t>
            </w:r>
          </w:p>
        </w:tc>
      </w:tr>
      <w:tr w:rsidR="00456A52" w:rsidTr="0040548B">
        <w:trPr>
          <w:gridBefore w:val="1"/>
          <w:wBefore w:w="27" w:type="dxa"/>
          <w:trHeight w:val="250"/>
        </w:trPr>
        <w:tc>
          <w:tcPr>
            <w:tcW w:w="3414" w:type="dxa"/>
            <w:gridSpan w:val="2"/>
            <w:shd w:val="clear" w:color="auto" w:fill="F2F2F2" w:themeFill="background1" w:themeFillShade="F2"/>
          </w:tcPr>
          <w:p w:rsidR="00456A52" w:rsidRPr="000F1598" w:rsidRDefault="00456A52" w:rsidP="000F1598">
            <w:pPr>
              <w:jc w:val="center"/>
              <w:rPr>
                <w:b/>
              </w:rPr>
            </w:pPr>
            <w:r w:rsidRPr="000F1598">
              <w:rPr>
                <w:b/>
              </w:rPr>
              <w:t>Autumn 1</w:t>
            </w:r>
          </w:p>
        </w:tc>
        <w:tc>
          <w:tcPr>
            <w:tcW w:w="2416" w:type="dxa"/>
            <w:gridSpan w:val="2"/>
            <w:shd w:val="clear" w:color="auto" w:fill="F2F2F2" w:themeFill="background1" w:themeFillShade="F2"/>
          </w:tcPr>
          <w:p w:rsidR="00456A52" w:rsidRPr="000F1598" w:rsidRDefault="00456A52" w:rsidP="000F1598">
            <w:pPr>
              <w:jc w:val="center"/>
              <w:rPr>
                <w:b/>
              </w:rPr>
            </w:pPr>
            <w:r w:rsidRPr="000F1598">
              <w:rPr>
                <w:b/>
              </w:rPr>
              <w:t>Autumn 2</w:t>
            </w:r>
          </w:p>
        </w:tc>
        <w:tc>
          <w:tcPr>
            <w:tcW w:w="2416" w:type="dxa"/>
            <w:gridSpan w:val="2"/>
            <w:shd w:val="clear" w:color="auto" w:fill="F2F2F2" w:themeFill="background1" w:themeFillShade="F2"/>
          </w:tcPr>
          <w:p w:rsidR="00456A52" w:rsidRPr="000F1598" w:rsidRDefault="00456A52" w:rsidP="000F1598">
            <w:pPr>
              <w:jc w:val="center"/>
              <w:rPr>
                <w:b/>
              </w:rPr>
            </w:pPr>
            <w:r w:rsidRPr="000F1598">
              <w:rPr>
                <w:b/>
              </w:rPr>
              <w:t>Spring 1</w:t>
            </w:r>
          </w:p>
        </w:tc>
        <w:tc>
          <w:tcPr>
            <w:tcW w:w="2418" w:type="dxa"/>
            <w:gridSpan w:val="2"/>
            <w:shd w:val="clear" w:color="auto" w:fill="F2F2F2" w:themeFill="background1" w:themeFillShade="F2"/>
          </w:tcPr>
          <w:p w:rsidR="00456A52" w:rsidRPr="000F1598" w:rsidRDefault="00456A52" w:rsidP="000F1598">
            <w:pPr>
              <w:jc w:val="center"/>
              <w:rPr>
                <w:b/>
              </w:rPr>
            </w:pPr>
            <w:r w:rsidRPr="000F1598">
              <w:rPr>
                <w:b/>
              </w:rPr>
              <w:t>Spring 2</w:t>
            </w:r>
          </w:p>
        </w:tc>
        <w:tc>
          <w:tcPr>
            <w:tcW w:w="2418" w:type="dxa"/>
            <w:gridSpan w:val="2"/>
            <w:shd w:val="clear" w:color="auto" w:fill="F2F2F2" w:themeFill="background1" w:themeFillShade="F2"/>
          </w:tcPr>
          <w:p w:rsidR="00456A52" w:rsidRPr="000F1598" w:rsidRDefault="00456A52" w:rsidP="000F1598">
            <w:pPr>
              <w:jc w:val="center"/>
              <w:rPr>
                <w:b/>
              </w:rPr>
            </w:pPr>
            <w:r w:rsidRPr="000F1598">
              <w:rPr>
                <w:b/>
              </w:rPr>
              <w:t>Summer 1</w:t>
            </w:r>
          </w:p>
        </w:tc>
        <w:tc>
          <w:tcPr>
            <w:tcW w:w="2937" w:type="dxa"/>
            <w:gridSpan w:val="3"/>
            <w:shd w:val="clear" w:color="auto" w:fill="F2F2F2" w:themeFill="background1" w:themeFillShade="F2"/>
          </w:tcPr>
          <w:p w:rsidR="00456A52" w:rsidRPr="000F1598" w:rsidRDefault="00456A52" w:rsidP="000F1598">
            <w:pPr>
              <w:jc w:val="center"/>
              <w:rPr>
                <w:b/>
              </w:rPr>
            </w:pPr>
            <w:r w:rsidRPr="000F1598">
              <w:rPr>
                <w:b/>
              </w:rPr>
              <w:t>Summer 2</w:t>
            </w:r>
          </w:p>
        </w:tc>
      </w:tr>
      <w:tr w:rsidR="00456A52" w:rsidTr="0040548B">
        <w:trPr>
          <w:gridBefore w:val="1"/>
          <w:wBefore w:w="27" w:type="dxa"/>
          <w:trHeight w:val="250"/>
        </w:trPr>
        <w:tc>
          <w:tcPr>
            <w:tcW w:w="3414" w:type="dxa"/>
            <w:gridSpan w:val="2"/>
          </w:tcPr>
          <w:p w:rsidR="00456A52" w:rsidRDefault="000F1598" w:rsidP="000F1598">
            <w:pPr>
              <w:pStyle w:val="ListParagraph"/>
              <w:numPr>
                <w:ilvl w:val="0"/>
                <w:numId w:val="3"/>
              </w:numPr>
            </w:pPr>
            <w:r>
              <w:t>Spiritual, moral, social and cultural development</w:t>
            </w:r>
          </w:p>
        </w:tc>
        <w:tc>
          <w:tcPr>
            <w:tcW w:w="2416" w:type="dxa"/>
            <w:gridSpan w:val="2"/>
          </w:tcPr>
          <w:p w:rsidR="00456A52" w:rsidRDefault="000F1598" w:rsidP="000F1598">
            <w:pPr>
              <w:pStyle w:val="ListParagraph"/>
              <w:numPr>
                <w:ilvl w:val="0"/>
                <w:numId w:val="3"/>
              </w:numPr>
            </w:pPr>
            <w:r>
              <w:t>Healthy living</w:t>
            </w:r>
          </w:p>
          <w:p w:rsidR="000F1598" w:rsidRDefault="000F1598" w:rsidP="000F1598">
            <w:pPr>
              <w:pStyle w:val="ListParagraph"/>
              <w:numPr>
                <w:ilvl w:val="0"/>
                <w:numId w:val="3"/>
              </w:numPr>
            </w:pPr>
            <w:r>
              <w:t>British Values</w:t>
            </w:r>
          </w:p>
        </w:tc>
        <w:tc>
          <w:tcPr>
            <w:tcW w:w="2416" w:type="dxa"/>
            <w:gridSpan w:val="2"/>
          </w:tcPr>
          <w:p w:rsidR="00456A52" w:rsidRDefault="000F1598" w:rsidP="000F1598">
            <w:pPr>
              <w:pStyle w:val="ListParagraph"/>
              <w:numPr>
                <w:ilvl w:val="0"/>
                <w:numId w:val="6"/>
              </w:numPr>
            </w:pPr>
            <w:r>
              <w:t>Equality and diversity</w:t>
            </w:r>
          </w:p>
        </w:tc>
        <w:tc>
          <w:tcPr>
            <w:tcW w:w="2418" w:type="dxa"/>
            <w:gridSpan w:val="2"/>
          </w:tcPr>
          <w:p w:rsidR="00456A52" w:rsidRDefault="000F1598" w:rsidP="000F1598">
            <w:pPr>
              <w:pStyle w:val="ListParagraph"/>
              <w:numPr>
                <w:ilvl w:val="0"/>
                <w:numId w:val="6"/>
              </w:numPr>
            </w:pPr>
            <w:r>
              <w:t>Careers guidance</w:t>
            </w:r>
          </w:p>
        </w:tc>
        <w:tc>
          <w:tcPr>
            <w:tcW w:w="2418" w:type="dxa"/>
            <w:gridSpan w:val="2"/>
          </w:tcPr>
          <w:p w:rsidR="00456A52" w:rsidRDefault="000F1598" w:rsidP="000F1598">
            <w:pPr>
              <w:pStyle w:val="ListParagraph"/>
              <w:numPr>
                <w:ilvl w:val="0"/>
                <w:numId w:val="5"/>
              </w:numPr>
            </w:pPr>
            <w:r>
              <w:t>Citizenship</w:t>
            </w:r>
          </w:p>
        </w:tc>
        <w:tc>
          <w:tcPr>
            <w:tcW w:w="2937" w:type="dxa"/>
            <w:gridSpan w:val="3"/>
          </w:tcPr>
          <w:p w:rsidR="00456A52" w:rsidRDefault="000F1598" w:rsidP="000F1598">
            <w:pPr>
              <w:pStyle w:val="ListParagraph"/>
              <w:numPr>
                <w:ilvl w:val="0"/>
                <w:numId w:val="4"/>
              </w:numPr>
            </w:pPr>
            <w:r>
              <w:t>Preparation for next stage</w:t>
            </w:r>
          </w:p>
        </w:tc>
      </w:tr>
      <w:tr w:rsidR="009717CE" w:rsidTr="0040548B">
        <w:trPr>
          <w:gridAfter w:val="1"/>
          <w:wAfter w:w="8" w:type="dxa"/>
          <w:trHeight w:val="376"/>
        </w:trPr>
        <w:tc>
          <w:tcPr>
            <w:tcW w:w="2020" w:type="dxa"/>
            <w:gridSpan w:val="2"/>
          </w:tcPr>
          <w:p w:rsidR="009717CE" w:rsidRPr="0040548B" w:rsidRDefault="009717CE" w:rsidP="00CE74B4">
            <w:pPr>
              <w:rPr>
                <w:b/>
              </w:rPr>
            </w:pPr>
            <w:r w:rsidRPr="006F2B4C">
              <w:rPr>
                <w:b/>
              </w:rPr>
              <w:t>Subject</w:t>
            </w:r>
            <w:r w:rsidR="0040548B">
              <w:rPr>
                <w:b/>
              </w:rPr>
              <w:t xml:space="preserve">: </w:t>
            </w:r>
            <w:r w:rsidR="0040548B" w:rsidRPr="0040548B">
              <w:t>Maths</w:t>
            </w:r>
          </w:p>
        </w:tc>
        <w:tc>
          <w:tcPr>
            <w:tcW w:w="2377" w:type="dxa"/>
            <w:gridSpan w:val="2"/>
            <w:shd w:val="clear" w:color="auto" w:fill="F2F2F2" w:themeFill="background1" w:themeFillShade="F2"/>
          </w:tcPr>
          <w:p w:rsidR="009717CE" w:rsidRPr="0050065B" w:rsidRDefault="009717CE" w:rsidP="0050065B">
            <w:pPr>
              <w:jc w:val="center"/>
              <w:rPr>
                <w:b/>
              </w:rPr>
            </w:pPr>
            <w:r>
              <w:rPr>
                <w:b/>
              </w:rPr>
              <w:t>Autumn 1</w:t>
            </w:r>
          </w:p>
        </w:tc>
        <w:tc>
          <w:tcPr>
            <w:tcW w:w="2486" w:type="dxa"/>
            <w:gridSpan w:val="2"/>
            <w:shd w:val="clear" w:color="auto" w:fill="F2F2F2" w:themeFill="background1" w:themeFillShade="F2"/>
          </w:tcPr>
          <w:p w:rsidR="009717CE" w:rsidRPr="0050065B" w:rsidRDefault="009717CE" w:rsidP="0050065B">
            <w:pPr>
              <w:jc w:val="center"/>
              <w:rPr>
                <w:b/>
              </w:rPr>
            </w:pPr>
            <w:r>
              <w:rPr>
                <w:b/>
              </w:rPr>
              <w:t>Autumn 2</w:t>
            </w:r>
          </w:p>
        </w:tc>
        <w:tc>
          <w:tcPr>
            <w:tcW w:w="2108" w:type="dxa"/>
            <w:gridSpan w:val="2"/>
            <w:shd w:val="clear" w:color="auto" w:fill="F2F2F2" w:themeFill="background1" w:themeFillShade="F2"/>
          </w:tcPr>
          <w:p w:rsidR="009717CE" w:rsidRPr="0050065B" w:rsidRDefault="009717CE" w:rsidP="0050065B">
            <w:pPr>
              <w:jc w:val="center"/>
              <w:rPr>
                <w:b/>
              </w:rPr>
            </w:pPr>
            <w:r>
              <w:rPr>
                <w:b/>
              </w:rPr>
              <w:t>Spring 1</w:t>
            </w:r>
          </w:p>
        </w:tc>
        <w:tc>
          <w:tcPr>
            <w:tcW w:w="2470" w:type="dxa"/>
            <w:gridSpan w:val="2"/>
            <w:shd w:val="clear" w:color="auto" w:fill="F2F2F2" w:themeFill="background1" w:themeFillShade="F2"/>
          </w:tcPr>
          <w:p w:rsidR="009717CE" w:rsidRPr="0050065B" w:rsidRDefault="009717CE" w:rsidP="0050065B">
            <w:pPr>
              <w:jc w:val="center"/>
              <w:rPr>
                <w:b/>
              </w:rPr>
            </w:pPr>
            <w:r>
              <w:rPr>
                <w:b/>
              </w:rPr>
              <w:t>Spring 2</w:t>
            </w:r>
          </w:p>
        </w:tc>
        <w:tc>
          <w:tcPr>
            <w:tcW w:w="2283" w:type="dxa"/>
            <w:gridSpan w:val="2"/>
            <w:shd w:val="clear" w:color="auto" w:fill="F2F2F2" w:themeFill="background1" w:themeFillShade="F2"/>
          </w:tcPr>
          <w:p w:rsidR="009717CE" w:rsidRPr="0050065B" w:rsidRDefault="009717CE" w:rsidP="0050065B">
            <w:pPr>
              <w:jc w:val="center"/>
              <w:rPr>
                <w:b/>
              </w:rPr>
            </w:pPr>
            <w:r>
              <w:rPr>
                <w:b/>
              </w:rPr>
              <w:t>Summer 1</w:t>
            </w:r>
          </w:p>
        </w:tc>
        <w:tc>
          <w:tcPr>
            <w:tcW w:w="2294" w:type="dxa"/>
            <w:shd w:val="clear" w:color="auto" w:fill="F2F2F2" w:themeFill="background1" w:themeFillShade="F2"/>
          </w:tcPr>
          <w:p w:rsidR="009717CE" w:rsidRDefault="009717CE" w:rsidP="0050065B">
            <w:pPr>
              <w:jc w:val="center"/>
              <w:rPr>
                <w:b/>
              </w:rPr>
            </w:pPr>
            <w:r>
              <w:rPr>
                <w:b/>
              </w:rPr>
              <w:t>Summer 2</w:t>
            </w:r>
          </w:p>
        </w:tc>
      </w:tr>
      <w:tr w:rsidR="006F2B4C" w:rsidTr="0040548B">
        <w:trPr>
          <w:gridAfter w:val="1"/>
          <w:wAfter w:w="8" w:type="dxa"/>
          <w:trHeight w:val="1144"/>
        </w:trPr>
        <w:tc>
          <w:tcPr>
            <w:tcW w:w="2020" w:type="dxa"/>
            <w:gridSpan w:val="2"/>
          </w:tcPr>
          <w:p w:rsidR="006F2B4C" w:rsidRPr="004C17AC" w:rsidRDefault="006F2B4C" w:rsidP="004C17AC">
            <w:pPr>
              <w:jc w:val="center"/>
              <w:rPr>
                <w:b/>
              </w:rPr>
            </w:pPr>
            <w:r>
              <w:rPr>
                <w:b/>
              </w:rPr>
              <w:t>Year 7</w:t>
            </w:r>
          </w:p>
        </w:tc>
        <w:tc>
          <w:tcPr>
            <w:tcW w:w="2377" w:type="dxa"/>
            <w:gridSpan w:val="2"/>
          </w:tcPr>
          <w:p w:rsidR="00E4041E" w:rsidRPr="006A2036" w:rsidRDefault="006A2036">
            <w:pPr>
              <w:rPr>
                <w:sz w:val="16"/>
                <w:szCs w:val="16"/>
              </w:rPr>
            </w:pPr>
            <w:r>
              <w:rPr>
                <w:sz w:val="16"/>
                <w:szCs w:val="16"/>
              </w:rPr>
              <w:t>Students will be given the opportunity to practise and embed numeracy skills through games - this will also promote accepting outcome and working together.</w:t>
            </w:r>
          </w:p>
        </w:tc>
        <w:tc>
          <w:tcPr>
            <w:tcW w:w="2486" w:type="dxa"/>
            <w:gridSpan w:val="2"/>
          </w:tcPr>
          <w:p w:rsidR="00E4041E" w:rsidRPr="004433BF" w:rsidRDefault="004433BF" w:rsidP="00240401">
            <w:pPr>
              <w:rPr>
                <w:sz w:val="16"/>
                <w:szCs w:val="16"/>
              </w:rPr>
            </w:pPr>
            <w:r>
              <w:rPr>
                <w:sz w:val="16"/>
                <w:szCs w:val="16"/>
              </w:rPr>
              <w:t xml:space="preserve">Students will be encouraged to be tolerant towards </w:t>
            </w:r>
            <w:r w:rsidR="008E5A03">
              <w:rPr>
                <w:sz w:val="16"/>
                <w:szCs w:val="16"/>
              </w:rPr>
              <w:t>their peers, allowing others the opportunity to learn and ask questions. Partner work and willingness to help and accept help from peers will be rewarded through ‘golden tickets’</w:t>
            </w:r>
          </w:p>
        </w:tc>
        <w:tc>
          <w:tcPr>
            <w:tcW w:w="2108" w:type="dxa"/>
            <w:gridSpan w:val="2"/>
          </w:tcPr>
          <w:p w:rsidR="001A1413" w:rsidRPr="004433BF" w:rsidRDefault="008E5A03">
            <w:pPr>
              <w:rPr>
                <w:sz w:val="16"/>
                <w:szCs w:val="16"/>
              </w:rPr>
            </w:pPr>
            <w:r>
              <w:rPr>
                <w:sz w:val="16"/>
                <w:szCs w:val="16"/>
              </w:rPr>
              <w:t xml:space="preserve">Students will be </w:t>
            </w:r>
            <w:r w:rsidR="000428F1">
              <w:rPr>
                <w:sz w:val="16"/>
                <w:szCs w:val="16"/>
              </w:rPr>
              <w:t>looking at typical school hours across different countries and will have discussions about the differences.</w:t>
            </w:r>
          </w:p>
        </w:tc>
        <w:tc>
          <w:tcPr>
            <w:tcW w:w="2470" w:type="dxa"/>
            <w:gridSpan w:val="2"/>
          </w:tcPr>
          <w:p w:rsidR="001A1413" w:rsidRPr="004433BF" w:rsidRDefault="00A3214A" w:rsidP="00A3214A">
            <w:pPr>
              <w:rPr>
                <w:sz w:val="16"/>
                <w:szCs w:val="16"/>
              </w:rPr>
            </w:pPr>
            <w:r>
              <w:rPr>
                <w:sz w:val="16"/>
                <w:szCs w:val="16"/>
              </w:rPr>
              <w:t>Students will learn how the skills learnt in Algebra can be helpful in many careers.</w:t>
            </w:r>
          </w:p>
        </w:tc>
        <w:tc>
          <w:tcPr>
            <w:tcW w:w="2283" w:type="dxa"/>
            <w:gridSpan w:val="2"/>
          </w:tcPr>
          <w:p w:rsidR="001A1413" w:rsidRPr="004433BF" w:rsidRDefault="006178B3">
            <w:pPr>
              <w:rPr>
                <w:sz w:val="16"/>
                <w:szCs w:val="16"/>
              </w:rPr>
            </w:pPr>
            <w:r>
              <w:rPr>
                <w:sz w:val="16"/>
                <w:szCs w:val="16"/>
              </w:rPr>
              <w:t xml:space="preserve">Students will be given the opportunity to work in pairs and small teams – using bearings to </w:t>
            </w:r>
            <w:r w:rsidR="003F6598">
              <w:rPr>
                <w:sz w:val="16"/>
                <w:szCs w:val="16"/>
              </w:rPr>
              <w:t>help each other to find ‘treasure’.</w:t>
            </w:r>
          </w:p>
        </w:tc>
        <w:tc>
          <w:tcPr>
            <w:tcW w:w="2294" w:type="dxa"/>
          </w:tcPr>
          <w:p w:rsidR="001A1413" w:rsidRPr="004433BF" w:rsidRDefault="00352F7F">
            <w:pPr>
              <w:rPr>
                <w:sz w:val="16"/>
                <w:szCs w:val="16"/>
              </w:rPr>
            </w:pPr>
            <w:r>
              <w:rPr>
                <w:sz w:val="16"/>
                <w:szCs w:val="16"/>
              </w:rPr>
              <w:t>Students will be given an overview of the topics they will be taught in their next academic year and consider the progress they have made this year.</w:t>
            </w:r>
          </w:p>
        </w:tc>
      </w:tr>
      <w:tr w:rsidR="006F2B4C" w:rsidTr="0040548B">
        <w:trPr>
          <w:gridAfter w:val="1"/>
          <w:wAfter w:w="8" w:type="dxa"/>
          <w:trHeight w:val="1213"/>
        </w:trPr>
        <w:tc>
          <w:tcPr>
            <w:tcW w:w="2020" w:type="dxa"/>
            <w:gridSpan w:val="2"/>
          </w:tcPr>
          <w:p w:rsidR="006F2B4C" w:rsidRPr="004C17AC" w:rsidRDefault="006F2B4C" w:rsidP="006F2B4C">
            <w:pPr>
              <w:jc w:val="center"/>
              <w:rPr>
                <w:b/>
              </w:rPr>
            </w:pPr>
            <w:r>
              <w:rPr>
                <w:b/>
              </w:rPr>
              <w:t xml:space="preserve">Year </w:t>
            </w:r>
            <w:r w:rsidR="00240401">
              <w:rPr>
                <w:b/>
              </w:rPr>
              <w:t>8</w:t>
            </w:r>
          </w:p>
        </w:tc>
        <w:tc>
          <w:tcPr>
            <w:tcW w:w="2377" w:type="dxa"/>
            <w:gridSpan w:val="2"/>
          </w:tcPr>
          <w:p w:rsidR="001A1413" w:rsidRDefault="006A2036" w:rsidP="006F2B4C">
            <w:r>
              <w:rPr>
                <w:sz w:val="16"/>
                <w:szCs w:val="16"/>
              </w:rPr>
              <w:t>Students will be given the opportunity to practise and embed numeracy skills through games - this will also promote accepting outcome and working together.</w:t>
            </w:r>
          </w:p>
        </w:tc>
        <w:tc>
          <w:tcPr>
            <w:tcW w:w="2486" w:type="dxa"/>
            <w:gridSpan w:val="2"/>
          </w:tcPr>
          <w:p w:rsidR="00A21174" w:rsidRPr="004433BF" w:rsidRDefault="008E5A03" w:rsidP="006F2B4C">
            <w:pPr>
              <w:rPr>
                <w:sz w:val="16"/>
                <w:szCs w:val="16"/>
              </w:rPr>
            </w:pPr>
            <w:r>
              <w:rPr>
                <w:sz w:val="16"/>
                <w:szCs w:val="16"/>
              </w:rPr>
              <w:t>Students will be encouraged to be tolerant towards their peers, allowing others the opportunity to learn and ask questions. Partner work and willingness to help and accept help from peers will be rewarded through ‘golden tickets’</w:t>
            </w:r>
          </w:p>
        </w:tc>
        <w:tc>
          <w:tcPr>
            <w:tcW w:w="2108" w:type="dxa"/>
            <w:gridSpan w:val="2"/>
          </w:tcPr>
          <w:p w:rsidR="00A21174" w:rsidRPr="004433BF" w:rsidRDefault="000428F1" w:rsidP="006F2B4C">
            <w:pPr>
              <w:rPr>
                <w:sz w:val="16"/>
                <w:szCs w:val="16"/>
              </w:rPr>
            </w:pPr>
            <w:r>
              <w:rPr>
                <w:sz w:val="16"/>
                <w:szCs w:val="16"/>
              </w:rPr>
              <w:t>Students will be looking at typical school hours across different countries and will have discussions about the differences.</w:t>
            </w:r>
          </w:p>
        </w:tc>
        <w:tc>
          <w:tcPr>
            <w:tcW w:w="2470" w:type="dxa"/>
            <w:gridSpan w:val="2"/>
          </w:tcPr>
          <w:p w:rsidR="00A21174" w:rsidRPr="004433BF" w:rsidRDefault="00A3214A" w:rsidP="006F2B4C">
            <w:pPr>
              <w:rPr>
                <w:sz w:val="16"/>
                <w:szCs w:val="16"/>
              </w:rPr>
            </w:pPr>
            <w:r>
              <w:rPr>
                <w:sz w:val="16"/>
                <w:szCs w:val="16"/>
              </w:rPr>
              <w:t>Students will learn how the skills learnt in Algebra can be helpful in many careers.</w:t>
            </w:r>
          </w:p>
        </w:tc>
        <w:tc>
          <w:tcPr>
            <w:tcW w:w="2283" w:type="dxa"/>
            <w:gridSpan w:val="2"/>
          </w:tcPr>
          <w:p w:rsidR="00A21174" w:rsidRPr="004433BF" w:rsidRDefault="003F6598" w:rsidP="006F2B4C">
            <w:pPr>
              <w:rPr>
                <w:sz w:val="16"/>
                <w:szCs w:val="16"/>
              </w:rPr>
            </w:pPr>
            <w:r>
              <w:rPr>
                <w:sz w:val="16"/>
                <w:szCs w:val="16"/>
              </w:rPr>
              <w:t>Students will be given the opportunity to work in pairs and small teams – using bearings to help each other to find ‘treasure’.</w:t>
            </w:r>
          </w:p>
        </w:tc>
        <w:tc>
          <w:tcPr>
            <w:tcW w:w="2294" w:type="dxa"/>
          </w:tcPr>
          <w:p w:rsidR="00754238" w:rsidRPr="004433BF" w:rsidRDefault="00352F7F" w:rsidP="00A21174">
            <w:pPr>
              <w:rPr>
                <w:sz w:val="16"/>
                <w:szCs w:val="16"/>
              </w:rPr>
            </w:pPr>
            <w:r>
              <w:rPr>
                <w:sz w:val="16"/>
                <w:szCs w:val="16"/>
              </w:rPr>
              <w:t>Students will discus</w:t>
            </w:r>
            <w:r w:rsidR="00DB1868">
              <w:rPr>
                <w:sz w:val="16"/>
                <w:szCs w:val="16"/>
              </w:rPr>
              <w:t>s the qualifications they can take</w:t>
            </w:r>
            <w:r>
              <w:rPr>
                <w:sz w:val="16"/>
                <w:szCs w:val="16"/>
              </w:rPr>
              <w:t xml:space="preserve"> in year 9. </w:t>
            </w:r>
          </w:p>
        </w:tc>
      </w:tr>
      <w:tr w:rsidR="006F2B4C" w:rsidRPr="00804093" w:rsidTr="0040548B">
        <w:trPr>
          <w:gridAfter w:val="1"/>
          <w:wAfter w:w="8" w:type="dxa"/>
          <w:trHeight w:val="1144"/>
        </w:trPr>
        <w:tc>
          <w:tcPr>
            <w:tcW w:w="2020" w:type="dxa"/>
            <w:gridSpan w:val="2"/>
          </w:tcPr>
          <w:p w:rsidR="006F2B4C" w:rsidRPr="004C17AC" w:rsidRDefault="006F2B4C" w:rsidP="006F2B4C">
            <w:pPr>
              <w:jc w:val="center"/>
              <w:rPr>
                <w:b/>
              </w:rPr>
            </w:pPr>
            <w:r>
              <w:rPr>
                <w:b/>
              </w:rPr>
              <w:t>Year 9</w:t>
            </w:r>
          </w:p>
        </w:tc>
        <w:tc>
          <w:tcPr>
            <w:tcW w:w="2377" w:type="dxa"/>
            <w:gridSpan w:val="2"/>
          </w:tcPr>
          <w:p w:rsidR="00754238" w:rsidRPr="00804093" w:rsidRDefault="00804093" w:rsidP="006F2B4C">
            <w:pPr>
              <w:rPr>
                <w:sz w:val="16"/>
                <w:szCs w:val="16"/>
              </w:rPr>
            </w:pPr>
            <w:r>
              <w:rPr>
                <w:sz w:val="16"/>
                <w:szCs w:val="16"/>
              </w:rPr>
              <w:t>Students will be given the opportunity to investigate cultural patterns and differences through the topic of averages. They will also learn about bias and fairness when learning about questionnaires.</w:t>
            </w:r>
          </w:p>
          <w:p w:rsidR="00754238" w:rsidRPr="00804093" w:rsidRDefault="00754238" w:rsidP="006F2B4C">
            <w:pPr>
              <w:rPr>
                <w:sz w:val="16"/>
                <w:szCs w:val="16"/>
              </w:rPr>
            </w:pPr>
          </w:p>
        </w:tc>
        <w:tc>
          <w:tcPr>
            <w:tcW w:w="2486" w:type="dxa"/>
            <w:gridSpan w:val="2"/>
          </w:tcPr>
          <w:p w:rsidR="0095042E" w:rsidRPr="004433BF" w:rsidRDefault="00FF4E58" w:rsidP="006F2B4C">
            <w:pPr>
              <w:rPr>
                <w:sz w:val="16"/>
                <w:szCs w:val="16"/>
              </w:rPr>
            </w:pPr>
            <w:r w:rsidRPr="004433BF">
              <w:rPr>
                <w:sz w:val="16"/>
                <w:szCs w:val="16"/>
              </w:rPr>
              <w:t xml:space="preserve"> </w:t>
            </w:r>
            <w:r w:rsidR="008E5A03">
              <w:rPr>
                <w:sz w:val="16"/>
                <w:szCs w:val="16"/>
              </w:rPr>
              <w:t>Students will be encouraged to be tolerant towards their peers, allowing others the opportunity to learn and ask questions. Partner work and willingness to help and accept help from peers will be rewarded through ‘golden tickets’</w:t>
            </w:r>
          </w:p>
        </w:tc>
        <w:tc>
          <w:tcPr>
            <w:tcW w:w="2108" w:type="dxa"/>
            <w:gridSpan w:val="2"/>
          </w:tcPr>
          <w:p w:rsidR="00FF4E58" w:rsidRPr="004433BF" w:rsidRDefault="00225AD7" w:rsidP="006F2B4C">
            <w:pPr>
              <w:rPr>
                <w:sz w:val="16"/>
                <w:szCs w:val="16"/>
              </w:rPr>
            </w:pPr>
            <w:r>
              <w:rPr>
                <w:sz w:val="16"/>
                <w:szCs w:val="16"/>
              </w:rPr>
              <w:t>Through fractions students will explore gender equality at Inspire Academy. They will work out and compare the fraction of males in SLT, Teacher and TA roles compared to females.</w:t>
            </w:r>
          </w:p>
        </w:tc>
        <w:tc>
          <w:tcPr>
            <w:tcW w:w="2470" w:type="dxa"/>
            <w:gridSpan w:val="2"/>
          </w:tcPr>
          <w:p w:rsidR="00A21174" w:rsidRPr="004433BF" w:rsidRDefault="00A3214A" w:rsidP="006F2B4C">
            <w:pPr>
              <w:rPr>
                <w:sz w:val="16"/>
                <w:szCs w:val="16"/>
              </w:rPr>
            </w:pPr>
            <w:r>
              <w:rPr>
                <w:sz w:val="16"/>
                <w:szCs w:val="16"/>
              </w:rPr>
              <w:t>Students will consider which jobs in construction require a good understanding of perimeter, area and volume.</w:t>
            </w:r>
          </w:p>
        </w:tc>
        <w:tc>
          <w:tcPr>
            <w:tcW w:w="2283" w:type="dxa"/>
            <w:gridSpan w:val="2"/>
          </w:tcPr>
          <w:p w:rsidR="00CE1322" w:rsidRPr="004433BF" w:rsidRDefault="003F6598" w:rsidP="006F2B4C">
            <w:pPr>
              <w:rPr>
                <w:sz w:val="16"/>
                <w:szCs w:val="16"/>
              </w:rPr>
            </w:pPr>
            <w:r>
              <w:rPr>
                <w:sz w:val="16"/>
                <w:szCs w:val="16"/>
              </w:rPr>
              <w:t>Students will play an online game of pool using their knowledge of angles to pot the balls for their team.</w:t>
            </w:r>
          </w:p>
        </w:tc>
        <w:tc>
          <w:tcPr>
            <w:tcW w:w="2294" w:type="dxa"/>
            <w:shd w:val="clear" w:color="auto" w:fill="auto"/>
          </w:tcPr>
          <w:p w:rsidR="00754238" w:rsidRPr="004433BF" w:rsidRDefault="00352F7F" w:rsidP="006F2B4C">
            <w:pPr>
              <w:rPr>
                <w:sz w:val="16"/>
                <w:szCs w:val="16"/>
              </w:rPr>
            </w:pPr>
            <w:r>
              <w:rPr>
                <w:sz w:val="16"/>
                <w:szCs w:val="16"/>
              </w:rPr>
              <w:t>Students will reflect on their progress to date and consider the qual</w:t>
            </w:r>
            <w:r w:rsidR="00DB1868">
              <w:rPr>
                <w:sz w:val="16"/>
                <w:szCs w:val="16"/>
              </w:rPr>
              <w:t>ifications they can work towards in</w:t>
            </w:r>
            <w:r>
              <w:rPr>
                <w:sz w:val="16"/>
                <w:szCs w:val="16"/>
              </w:rPr>
              <w:t xml:space="preserve"> year 10.</w:t>
            </w:r>
          </w:p>
        </w:tc>
      </w:tr>
      <w:tr w:rsidR="006F2B4C" w:rsidRPr="00804093" w:rsidTr="0040548B">
        <w:trPr>
          <w:gridAfter w:val="1"/>
          <w:wAfter w:w="8" w:type="dxa"/>
          <w:trHeight w:val="1144"/>
        </w:trPr>
        <w:tc>
          <w:tcPr>
            <w:tcW w:w="2020" w:type="dxa"/>
            <w:gridSpan w:val="2"/>
          </w:tcPr>
          <w:p w:rsidR="006F2B4C" w:rsidRPr="004C17AC" w:rsidRDefault="006F2B4C" w:rsidP="006F2B4C">
            <w:pPr>
              <w:jc w:val="center"/>
              <w:rPr>
                <w:b/>
              </w:rPr>
            </w:pPr>
            <w:r>
              <w:rPr>
                <w:b/>
              </w:rPr>
              <w:t>Year 10</w:t>
            </w:r>
          </w:p>
        </w:tc>
        <w:tc>
          <w:tcPr>
            <w:tcW w:w="2377" w:type="dxa"/>
            <w:gridSpan w:val="2"/>
          </w:tcPr>
          <w:p w:rsidR="000803DC" w:rsidRPr="00804093" w:rsidRDefault="00804093" w:rsidP="006F2B4C">
            <w:pPr>
              <w:rPr>
                <w:sz w:val="16"/>
                <w:szCs w:val="16"/>
              </w:rPr>
            </w:pPr>
            <w:r>
              <w:rPr>
                <w:sz w:val="16"/>
                <w:szCs w:val="16"/>
              </w:rPr>
              <w:t>Students will be able to discuss money choices – spending and saving.</w:t>
            </w:r>
            <w:r w:rsidR="003C6063">
              <w:rPr>
                <w:sz w:val="16"/>
                <w:szCs w:val="16"/>
              </w:rPr>
              <w:t xml:space="preserve"> They also look at fractions and consider unequal shares/fairness.</w:t>
            </w:r>
            <w:r>
              <w:rPr>
                <w:sz w:val="16"/>
                <w:szCs w:val="16"/>
              </w:rPr>
              <w:t xml:space="preserve"> </w:t>
            </w:r>
          </w:p>
          <w:p w:rsidR="00754238" w:rsidRPr="00804093" w:rsidRDefault="00754238" w:rsidP="006F2B4C">
            <w:pPr>
              <w:rPr>
                <w:sz w:val="16"/>
                <w:szCs w:val="16"/>
              </w:rPr>
            </w:pPr>
          </w:p>
          <w:p w:rsidR="00754238" w:rsidRPr="00804093" w:rsidRDefault="00754238" w:rsidP="006F2B4C">
            <w:pPr>
              <w:rPr>
                <w:sz w:val="16"/>
                <w:szCs w:val="16"/>
              </w:rPr>
            </w:pPr>
          </w:p>
          <w:p w:rsidR="00754238" w:rsidRPr="00804093" w:rsidRDefault="00754238" w:rsidP="006F2B4C">
            <w:pPr>
              <w:rPr>
                <w:sz w:val="16"/>
                <w:szCs w:val="16"/>
              </w:rPr>
            </w:pPr>
          </w:p>
        </w:tc>
        <w:tc>
          <w:tcPr>
            <w:tcW w:w="2486" w:type="dxa"/>
            <w:gridSpan w:val="2"/>
          </w:tcPr>
          <w:p w:rsidR="00F661AD" w:rsidRPr="00804093" w:rsidRDefault="008E5A03" w:rsidP="006F2B4C">
            <w:pPr>
              <w:rPr>
                <w:sz w:val="16"/>
                <w:szCs w:val="16"/>
              </w:rPr>
            </w:pPr>
            <w:r>
              <w:rPr>
                <w:sz w:val="16"/>
                <w:szCs w:val="16"/>
              </w:rPr>
              <w:t>Students will be encouraged to be tolerant towards their peers, allowing others the opportunity to learn and ask questions. Partner work and willingness to help and accept help from peers will be rewarded through ‘golden tickets’</w:t>
            </w:r>
          </w:p>
        </w:tc>
        <w:tc>
          <w:tcPr>
            <w:tcW w:w="2108" w:type="dxa"/>
            <w:gridSpan w:val="2"/>
          </w:tcPr>
          <w:p w:rsidR="00FF4E58" w:rsidRPr="00804093" w:rsidRDefault="00B4787F" w:rsidP="006F2B4C">
            <w:pPr>
              <w:rPr>
                <w:sz w:val="16"/>
                <w:szCs w:val="16"/>
              </w:rPr>
            </w:pPr>
            <w:r>
              <w:rPr>
                <w:sz w:val="16"/>
                <w:szCs w:val="16"/>
              </w:rPr>
              <w:t>Students will be using real life data to create graphs to analyse diversity in the UK.</w:t>
            </w:r>
          </w:p>
        </w:tc>
        <w:tc>
          <w:tcPr>
            <w:tcW w:w="2470" w:type="dxa"/>
            <w:gridSpan w:val="2"/>
          </w:tcPr>
          <w:p w:rsidR="00FF4E58" w:rsidRPr="00804093" w:rsidRDefault="00A3214A" w:rsidP="00FF4E58">
            <w:pPr>
              <w:rPr>
                <w:sz w:val="16"/>
                <w:szCs w:val="16"/>
              </w:rPr>
            </w:pPr>
            <w:r>
              <w:rPr>
                <w:sz w:val="16"/>
                <w:szCs w:val="16"/>
              </w:rPr>
              <w:t>Students will explore the average pay of careers they would be interested in.</w:t>
            </w:r>
          </w:p>
        </w:tc>
        <w:tc>
          <w:tcPr>
            <w:tcW w:w="2283" w:type="dxa"/>
            <w:gridSpan w:val="2"/>
          </w:tcPr>
          <w:p w:rsidR="00F661AD" w:rsidRPr="00804093" w:rsidRDefault="006A746C" w:rsidP="00F661AD">
            <w:pPr>
              <w:rPr>
                <w:sz w:val="16"/>
                <w:szCs w:val="16"/>
              </w:rPr>
            </w:pPr>
            <w:r>
              <w:rPr>
                <w:sz w:val="16"/>
                <w:szCs w:val="16"/>
              </w:rPr>
              <w:t>In small teams students will</w:t>
            </w:r>
            <w:r w:rsidR="003F6598">
              <w:rPr>
                <w:sz w:val="16"/>
                <w:szCs w:val="16"/>
              </w:rPr>
              <w:t xml:space="preserve"> need to use the</w:t>
            </w:r>
            <w:r>
              <w:rPr>
                <w:sz w:val="16"/>
                <w:szCs w:val="16"/>
              </w:rPr>
              <w:t>ir</w:t>
            </w:r>
            <w:r w:rsidR="003F6598">
              <w:rPr>
                <w:sz w:val="16"/>
                <w:szCs w:val="16"/>
              </w:rPr>
              <w:t xml:space="preserve"> knowledge of Tr</w:t>
            </w:r>
            <w:r>
              <w:rPr>
                <w:sz w:val="16"/>
                <w:szCs w:val="16"/>
              </w:rPr>
              <w:t>igonometry to help each other</w:t>
            </w:r>
            <w:r w:rsidR="003F6598">
              <w:rPr>
                <w:sz w:val="16"/>
                <w:szCs w:val="16"/>
              </w:rPr>
              <w:t xml:space="preserve"> solve real life problems.</w:t>
            </w:r>
          </w:p>
        </w:tc>
        <w:tc>
          <w:tcPr>
            <w:tcW w:w="2294" w:type="dxa"/>
            <w:shd w:val="clear" w:color="auto" w:fill="auto"/>
          </w:tcPr>
          <w:p w:rsidR="00240401" w:rsidRPr="00804093" w:rsidRDefault="00352F7F" w:rsidP="00240401">
            <w:pPr>
              <w:rPr>
                <w:sz w:val="16"/>
                <w:szCs w:val="16"/>
              </w:rPr>
            </w:pPr>
            <w:r>
              <w:rPr>
                <w:sz w:val="16"/>
                <w:szCs w:val="16"/>
              </w:rPr>
              <w:t>Students will reflect on their progress to date and consider the different pathways that will be open to them next year and which</w:t>
            </w:r>
            <w:r w:rsidR="00DB1868">
              <w:rPr>
                <w:sz w:val="16"/>
                <w:szCs w:val="16"/>
              </w:rPr>
              <w:t xml:space="preserve"> qualifications they could work towards.</w:t>
            </w:r>
          </w:p>
          <w:p w:rsidR="00754238" w:rsidRPr="00804093" w:rsidRDefault="00754238" w:rsidP="006F2B4C">
            <w:pPr>
              <w:rPr>
                <w:sz w:val="16"/>
                <w:szCs w:val="16"/>
              </w:rPr>
            </w:pPr>
          </w:p>
        </w:tc>
      </w:tr>
      <w:tr w:rsidR="006F2B4C" w:rsidRPr="00804093" w:rsidTr="0040548B">
        <w:trPr>
          <w:gridAfter w:val="1"/>
          <w:wAfter w:w="8" w:type="dxa"/>
          <w:trHeight w:val="1144"/>
        </w:trPr>
        <w:tc>
          <w:tcPr>
            <w:tcW w:w="2020" w:type="dxa"/>
            <w:gridSpan w:val="2"/>
          </w:tcPr>
          <w:p w:rsidR="006F2B4C" w:rsidRPr="004C17AC" w:rsidRDefault="006F2B4C" w:rsidP="006F2B4C">
            <w:pPr>
              <w:jc w:val="center"/>
              <w:rPr>
                <w:b/>
              </w:rPr>
            </w:pPr>
            <w:r>
              <w:rPr>
                <w:b/>
              </w:rPr>
              <w:t>Year 11</w:t>
            </w:r>
          </w:p>
        </w:tc>
        <w:tc>
          <w:tcPr>
            <w:tcW w:w="2377" w:type="dxa"/>
            <w:gridSpan w:val="2"/>
          </w:tcPr>
          <w:p w:rsidR="004433BF" w:rsidRPr="004433BF" w:rsidRDefault="003C6063" w:rsidP="006F2B4C">
            <w:pPr>
              <w:rPr>
                <w:sz w:val="16"/>
                <w:szCs w:val="16"/>
              </w:rPr>
            </w:pPr>
            <w:r>
              <w:rPr>
                <w:sz w:val="16"/>
                <w:szCs w:val="16"/>
              </w:rPr>
              <w:t>Students will learn the history of pi</w:t>
            </w:r>
            <w:r w:rsidR="004433BF">
              <w:rPr>
                <w:sz w:val="16"/>
                <w:szCs w:val="16"/>
              </w:rPr>
              <w:t xml:space="preserve">  and how </w:t>
            </w:r>
            <w:r w:rsidR="004433BF">
              <w:rPr>
                <w:rFonts w:cstheme="minorHAnsi"/>
                <w:color w:val="222222"/>
                <w:sz w:val="16"/>
                <w:szCs w:val="16"/>
                <w:shd w:val="clear" w:color="auto" w:fill="FFFFFF"/>
              </w:rPr>
              <w:t>t</w:t>
            </w:r>
            <w:r w:rsidR="004433BF" w:rsidRPr="004433BF">
              <w:rPr>
                <w:rFonts w:cstheme="minorHAnsi"/>
                <w:color w:val="222222"/>
                <w:sz w:val="16"/>
                <w:szCs w:val="16"/>
                <w:shd w:val="clear" w:color="auto" w:fill="FFFFFF"/>
              </w:rPr>
              <w:t>he first calculation of </w:t>
            </w:r>
            <w:r w:rsidR="004433BF" w:rsidRPr="004433BF">
              <w:rPr>
                <w:rFonts w:cstheme="minorHAnsi"/>
                <w:b/>
                <w:bCs/>
                <w:color w:val="222222"/>
                <w:sz w:val="16"/>
                <w:szCs w:val="16"/>
                <w:shd w:val="clear" w:color="auto" w:fill="FFFFFF"/>
              </w:rPr>
              <w:t>π</w:t>
            </w:r>
            <w:r w:rsidR="004433BF" w:rsidRPr="004433BF">
              <w:rPr>
                <w:rFonts w:cstheme="minorHAnsi"/>
                <w:color w:val="222222"/>
                <w:sz w:val="16"/>
                <w:szCs w:val="16"/>
                <w:shd w:val="clear" w:color="auto" w:fill="FFFFFF"/>
              </w:rPr>
              <w:t> was done by Archimedes of Syracuse (287–212 BC), one of the greatest mathematicians of the ancient world.</w:t>
            </w:r>
          </w:p>
        </w:tc>
        <w:tc>
          <w:tcPr>
            <w:tcW w:w="2486" w:type="dxa"/>
            <w:gridSpan w:val="2"/>
          </w:tcPr>
          <w:p w:rsidR="00E22774" w:rsidRPr="00804093" w:rsidRDefault="008E5A03" w:rsidP="006F2B4C">
            <w:pPr>
              <w:rPr>
                <w:sz w:val="16"/>
                <w:szCs w:val="16"/>
              </w:rPr>
            </w:pPr>
            <w:r>
              <w:rPr>
                <w:sz w:val="16"/>
                <w:szCs w:val="16"/>
              </w:rPr>
              <w:t>Students will be encouraged to be tolerant towards their peers, allowing others the opportunity to learn and ask questions. Partner work and willingness to help and accept help from peers will be rewarded through ‘golden tickets’</w:t>
            </w:r>
          </w:p>
        </w:tc>
        <w:tc>
          <w:tcPr>
            <w:tcW w:w="2108" w:type="dxa"/>
            <w:gridSpan w:val="2"/>
          </w:tcPr>
          <w:p w:rsidR="00E22774" w:rsidRPr="00804093" w:rsidRDefault="000428F1" w:rsidP="006F2B4C">
            <w:pPr>
              <w:rPr>
                <w:sz w:val="16"/>
                <w:szCs w:val="16"/>
              </w:rPr>
            </w:pPr>
            <w:r>
              <w:rPr>
                <w:sz w:val="16"/>
                <w:szCs w:val="16"/>
              </w:rPr>
              <w:t xml:space="preserve">Students will explore the average wage per hour of factory workers </w:t>
            </w:r>
            <w:r w:rsidR="006A746C">
              <w:rPr>
                <w:sz w:val="16"/>
                <w:szCs w:val="16"/>
              </w:rPr>
              <w:t>across different countries</w:t>
            </w:r>
            <w:r>
              <w:rPr>
                <w:sz w:val="16"/>
                <w:szCs w:val="16"/>
              </w:rPr>
              <w:t>.</w:t>
            </w:r>
          </w:p>
        </w:tc>
        <w:tc>
          <w:tcPr>
            <w:tcW w:w="2470" w:type="dxa"/>
            <w:gridSpan w:val="2"/>
          </w:tcPr>
          <w:p w:rsidR="00754238" w:rsidRPr="00804093" w:rsidRDefault="00A3214A" w:rsidP="006F2B4C">
            <w:pPr>
              <w:rPr>
                <w:sz w:val="16"/>
                <w:szCs w:val="16"/>
              </w:rPr>
            </w:pPr>
            <w:r>
              <w:rPr>
                <w:sz w:val="16"/>
                <w:szCs w:val="16"/>
              </w:rPr>
              <w:t>Students will learn how bearings is used in a number of careers.</w:t>
            </w:r>
          </w:p>
          <w:p w:rsidR="00754238" w:rsidRPr="00804093" w:rsidRDefault="00754238" w:rsidP="006F2B4C">
            <w:pPr>
              <w:rPr>
                <w:sz w:val="16"/>
                <w:szCs w:val="16"/>
              </w:rPr>
            </w:pPr>
          </w:p>
          <w:p w:rsidR="00754238" w:rsidRPr="00804093" w:rsidRDefault="00754238" w:rsidP="006F2B4C">
            <w:pPr>
              <w:rPr>
                <w:sz w:val="16"/>
                <w:szCs w:val="16"/>
              </w:rPr>
            </w:pPr>
          </w:p>
        </w:tc>
        <w:tc>
          <w:tcPr>
            <w:tcW w:w="2283" w:type="dxa"/>
            <w:gridSpan w:val="2"/>
          </w:tcPr>
          <w:p w:rsidR="00F661AD" w:rsidRPr="00EA3732" w:rsidRDefault="006A746C" w:rsidP="006F2B4C">
            <w:pPr>
              <w:rPr>
                <w:sz w:val="16"/>
                <w:szCs w:val="16"/>
              </w:rPr>
            </w:pPr>
            <w:r>
              <w:rPr>
                <w:sz w:val="16"/>
                <w:szCs w:val="16"/>
              </w:rPr>
              <w:t>Students will b</w:t>
            </w:r>
            <w:r w:rsidR="00EA3732">
              <w:rPr>
                <w:sz w:val="16"/>
                <w:szCs w:val="16"/>
              </w:rPr>
              <w:t xml:space="preserve">e given examples of how </w:t>
            </w:r>
            <w:r w:rsidR="00EA3732" w:rsidRPr="00EA3732">
              <w:rPr>
                <w:rFonts w:cstheme="minorHAnsi"/>
                <w:color w:val="222222"/>
                <w:sz w:val="16"/>
                <w:szCs w:val="16"/>
                <w:shd w:val="clear" w:color="auto" w:fill="FFFFFF"/>
              </w:rPr>
              <w:t>Ancient Egyptians used an early stage of </w:t>
            </w:r>
            <w:r w:rsidR="00EA3732" w:rsidRPr="00EA3732">
              <w:rPr>
                <w:rFonts w:cstheme="minorHAnsi"/>
                <w:b/>
                <w:bCs/>
                <w:color w:val="222222"/>
                <w:sz w:val="16"/>
                <w:szCs w:val="16"/>
                <w:shd w:val="clear" w:color="auto" w:fill="FFFFFF"/>
              </w:rPr>
              <w:t>geometry</w:t>
            </w:r>
            <w:r w:rsidR="00EA3732" w:rsidRPr="00EA3732">
              <w:rPr>
                <w:rFonts w:cstheme="minorHAnsi"/>
                <w:color w:val="222222"/>
                <w:sz w:val="16"/>
                <w:szCs w:val="16"/>
                <w:shd w:val="clear" w:color="auto" w:fill="FFFFFF"/>
              </w:rPr>
              <w:t> in several ways, including the surveying of land, construction of pyramids, and astronomy.</w:t>
            </w:r>
          </w:p>
        </w:tc>
        <w:tc>
          <w:tcPr>
            <w:tcW w:w="2294" w:type="dxa"/>
            <w:shd w:val="clear" w:color="auto" w:fill="000000" w:themeFill="text1"/>
          </w:tcPr>
          <w:p w:rsidR="006F2B4C" w:rsidRPr="00804093" w:rsidRDefault="006F2B4C" w:rsidP="006F2B4C">
            <w:pPr>
              <w:rPr>
                <w:sz w:val="16"/>
                <w:szCs w:val="16"/>
              </w:rPr>
            </w:pPr>
          </w:p>
        </w:tc>
      </w:tr>
    </w:tbl>
    <w:p w:rsidR="0050065B" w:rsidRDefault="0050065B" w:rsidP="0040548B"/>
    <w:sectPr w:rsidR="0050065B" w:rsidSect="0040548B">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F4" w:rsidRDefault="000121F4" w:rsidP="00932C29">
      <w:pPr>
        <w:spacing w:after="0" w:line="240" w:lineRule="auto"/>
      </w:pPr>
      <w:r>
        <w:separator/>
      </w:r>
    </w:p>
  </w:endnote>
  <w:endnote w:type="continuationSeparator" w:id="0">
    <w:p w:rsidR="000121F4" w:rsidRDefault="000121F4" w:rsidP="0093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48B" w:rsidRDefault="004054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48B" w:rsidRDefault="0040548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48B" w:rsidRDefault="004054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F4" w:rsidRDefault="000121F4" w:rsidP="00932C29">
      <w:pPr>
        <w:spacing w:after="0" w:line="240" w:lineRule="auto"/>
      </w:pPr>
      <w:r>
        <w:separator/>
      </w:r>
    </w:p>
  </w:footnote>
  <w:footnote w:type="continuationSeparator" w:id="0">
    <w:p w:rsidR="000121F4" w:rsidRDefault="000121F4" w:rsidP="00932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48B" w:rsidRDefault="004054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74" w:rsidRPr="00CE74B4" w:rsidRDefault="00A21174" w:rsidP="000F1598">
    <w:pPr>
      <w:rPr>
        <w:b/>
        <w:sz w:val="36"/>
      </w:rPr>
    </w:pPr>
    <w:r w:rsidRPr="00CE74B4">
      <w:rPr>
        <w:b/>
        <w:sz w:val="36"/>
      </w:rPr>
      <w:t>Personal Development</w:t>
    </w:r>
    <w:r w:rsidR="00037A4F">
      <w:rPr>
        <w:b/>
        <w:sz w:val="36"/>
      </w:rPr>
      <w:t xml:space="preserve"> 2020-2021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48B" w:rsidRDefault="004054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E04"/>
    <w:multiLevelType w:val="hybridMultilevel"/>
    <w:tmpl w:val="143CB100"/>
    <w:lvl w:ilvl="0" w:tplc="4F84E4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747EC"/>
    <w:multiLevelType w:val="hybridMultilevel"/>
    <w:tmpl w:val="838ADA94"/>
    <w:lvl w:ilvl="0" w:tplc="4F84E4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E3F75"/>
    <w:multiLevelType w:val="hybridMultilevel"/>
    <w:tmpl w:val="8552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F70DD"/>
    <w:multiLevelType w:val="hybridMultilevel"/>
    <w:tmpl w:val="4094D49C"/>
    <w:lvl w:ilvl="0" w:tplc="4F84E4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9569E"/>
    <w:multiLevelType w:val="hybridMultilevel"/>
    <w:tmpl w:val="7AD24AA6"/>
    <w:lvl w:ilvl="0" w:tplc="4F84E4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C33C9"/>
    <w:multiLevelType w:val="hybridMultilevel"/>
    <w:tmpl w:val="ED14B034"/>
    <w:lvl w:ilvl="0" w:tplc="4F84E4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5B"/>
    <w:rsid w:val="000121F4"/>
    <w:rsid w:val="00037A4F"/>
    <w:rsid w:val="000428F1"/>
    <w:rsid w:val="0008019B"/>
    <w:rsid w:val="000803DC"/>
    <w:rsid w:val="000C2542"/>
    <w:rsid w:val="000F1598"/>
    <w:rsid w:val="001A1413"/>
    <w:rsid w:val="00204950"/>
    <w:rsid w:val="00225AD7"/>
    <w:rsid w:val="00240401"/>
    <w:rsid w:val="00352F7F"/>
    <w:rsid w:val="003C6063"/>
    <w:rsid w:val="003F6598"/>
    <w:rsid w:val="0040548B"/>
    <w:rsid w:val="004433BF"/>
    <w:rsid w:val="00456A52"/>
    <w:rsid w:val="004C17AC"/>
    <w:rsid w:val="0050065B"/>
    <w:rsid w:val="005D7297"/>
    <w:rsid w:val="005E1607"/>
    <w:rsid w:val="006178B3"/>
    <w:rsid w:val="006A2036"/>
    <w:rsid w:val="006A746C"/>
    <w:rsid w:val="006C79B2"/>
    <w:rsid w:val="006F2B4C"/>
    <w:rsid w:val="00754238"/>
    <w:rsid w:val="00804093"/>
    <w:rsid w:val="008E5A03"/>
    <w:rsid w:val="00906771"/>
    <w:rsid w:val="009303C8"/>
    <w:rsid w:val="00932C29"/>
    <w:rsid w:val="0095042E"/>
    <w:rsid w:val="009717CE"/>
    <w:rsid w:val="009E4DB1"/>
    <w:rsid w:val="00A21174"/>
    <w:rsid w:val="00A3214A"/>
    <w:rsid w:val="00AD3378"/>
    <w:rsid w:val="00B4787F"/>
    <w:rsid w:val="00B9769E"/>
    <w:rsid w:val="00CE1322"/>
    <w:rsid w:val="00CE74B4"/>
    <w:rsid w:val="00DB1868"/>
    <w:rsid w:val="00E22774"/>
    <w:rsid w:val="00E4041E"/>
    <w:rsid w:val="00E5480D"/>
    <w:rsid w:val="00EA3732"/>
    <w:rsid w:val="00F661AD"/>
    <w:rsid w:val="00F90C59"/>
    <w:rsid w:val="00FD68F8"/>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F35DC75-501C-4100-828F-00863DA1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7AC"/>
    <w:pPr>
      <w:ind w:left="720"/>
      <w:contextualSpacing/>
    </w:pPr>
  </w:style>
  <w:style w:type="paragraph" w:styleId="Header">
    <w:name w:val="header"/>
    <w:basedOn w:val="Normal"/>
    <w:link w:val="HeaderChar"/>
    <w:uiPriority w:val="99"/>
    <w:unhideWhenUsed/>
    <w:rsid w:val="00932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C29"/>
  </w:style>
  <w:style w:type="paragraph" w:styleId="Footer">
    <w:name w:val="footer"/>
    <w:basedOn w:val="Normal"/>
    <w:link w:val="FooterChar"/>
    <w:uiPriority w:val="99"/>
    <w:unhideWhenUsed/>
    <w:rsid w:val="00932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C29"/>
  </w:style>
  <w:style w:type="paragraph" w:styleId="BalloonText">
    <w:name w:val="Balloon Text"/>
    <w:basedOn w:val="Normal"/>
    <w:link w:val="BalloonTextChar"/>
    <w:uiPriority w:val="99"/>
    <w:semiHidden/>
    <w:unhideWhenUsed/>
    <w:rsid w:val="0075423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5423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Englantin Muca</dc:creator>
  <cp:keywords/>
  <dc:description/>
  <cp:lastModifiedBy>Debbie Hamer</cp:lastModifiedBy>
  <cp:revision>12</cp:revision>
  <cp:lastPrinted>2019-06-17T07:48:00Z</cp:lastPrinted>
  <dcterms:created xsi:type="dcterms:W3CDTF">2020-05-10T18:16:00Z</dcterms:created>
  <dcterms:modified xsi:type="dcterms:W3CDTF">2020-06-23T07:29:00Z</dcterms:modified>
</cp:coreProperties>
</file>