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414"/>
        <w:gridCol w:w="2416"/>
        <w:gridCol w:w="2416"/>
        <w:gridCol w:w="2418"/>
        <w:gridCol w:w="2418"/>
        <w:gridCol w:w="2937"/>
      </w:tblGrid>
      <w:tr w:rsidR="00456A52" w:rsidTr="0008019B">
        <w:trPr>
          <w:trHeight w:val="264"/>
        </w:trPr>
        <w:tc>
          <w:tcPr>
            <w:tcW w:w="16019" w:type="dxa"/>
            <w:gridSpan w:val="6"/>
            <w:shd w:val="clear" w:color="auto" w:fill="A6A6A6" w:themeFill="background1" w:themeFillShade="A6"/>
          </w:tcPr>
          <w:p w:rsidR="00456A52" w:rsidRPr="006F2B4C" w:rsidRDefault="00456A52" w:rsidP="00456A52">
            <w:pPr>
              <w:jc w:val="center"/>
              <w:rPr>
                <w:b/>
              </w:rPr>
            </w:pPr>
            <w:r w:rsidRPr="006F2B4C">
              <w:rPr>
                <w:b/>
                <w:sz w:val="28"/>
              </w:rPr>
              <w:t>Personal Development Themes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1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2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1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2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1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2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Spiritual, moral, social and cultural development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Healthy living</w:t>
            </w:r>
          </w:p>
          <w:p w:rsidR="000F1598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British Values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Equality and diversity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Careers guidance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5"/>
              </w:numPr>
            </w:pPr>
            <w:r>
              <w:t>Citizenship</w:t>
            </w:r>
          </w:p>
        </w:tc>
        <w:tc>
          <w:tcPr>
            <w:tcW w:w="2937" w:type="dxa"/>
          </w:tcPr>
          <w:p w:rsidR="00456A52" w:rsidRDefault="000F1598" w:rsidP="000F1598">
            <w:pPr>
              <w:pStyle w:val="ListParagraph"/>
              <w:numPr>
                <w:ilvl w:val="0"/>
                <w:numId w:val="4"/>
              </w:numPr>
            </w:pPr>
            <w:r>
              <w:t>Preparation for next stage</w:t>
            </w:r>
          </w:p>
        </w:tc>
      </w:tr>
    </w:tbl>
    <w:p w:rsidR="004C17AC" w:rsidRPr="004C17AC" w:rsidRDefault="004C17AC" w:rsidP="00932C29"/>
    <w:tbl>
      <w:tblPr>
        <w:tblStyle w:val="TableGrid"/>
        <w:tblW w:w="16038" w:type="dxa"/>
        <w:tblInd w:w="-1025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9717CE" w:rsidTr="009717CE">
        <w:trPr>
          <w:trHeight w:val="623"/>
        </w:trPr>
        <w:tc>
          <w:tcPr>
            <w:tcW w:w="2020" w:type="dxa"/>
          </w:tcPr>
          <w:p w:rsidR="009717CE" w:rsidRDefault="009717CE" w:rsidP="00CE74B4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9717CE" w:rsidRPr="006F2B4C" w:rsidRDefault="009717CE" w:rsidP="006F2B4C">
            <w:pPr>
              <w:rPr>
                <w:b/>
              </w:rPr>
            </w:pPr>
          </w:p>
          <w:p w:rsidR="009717CE" w:rsidRPr="006F2B4C" w:rsidRDefault="009717CE" w:rsidP="00CE74B4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9717CE" w:rsidRPr="0050065B" w:rsidRDefault="009717CE" w:rsidP="00945D85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  <w:r w:rsidR="00945D85">
              <w:rPr>
                <w:b/>
              </w:rPr>
              <w:t xml:space="preserve"> 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9717CE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F2B4C" w:rsidTr="0008019B">
        <w:trPr>
          <w:trHeight w:val="1144"/>
        </w:trPr>
        <w:tc>
          <w:tcPr>
            <w:tcW w:w="2020" w:type="dxa"/>
          </w:tcPr>
          <w:p w:rsidR="006F2B4C" w:rsidRPr="004C17AC" w:rsidRDefault="006F2B4C" w:rsidP="004C17AC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377" w:type="dxa"/>
          </w:tcPr>
          <w:p w:rsidR="00E4041E" w:rsidRDefault="00304300" w:rsidP="00304300">
            <w:r>
              <w:t xml:space="preserve">Students will be encouraged to peer support, work as part of a team to complete tasks in class. </w:t>
            </w:r>
          </w:p>
          <w:p w:rsidR="007339A3" w:rsidRDefault="007339A3" w:rsidP="007339A3"/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Guest speakers</w:t>
            </w:r>
          </w:p>
          <w:p w:rsidR="007339A3" w:rsidRDefault="007339A3" w:rsidP="007339A3">
            <w:r>
              <w:t>Construction speaker</w:t>
            </w:r>
          </w:p>
          <w:p w:rsidR="007339A3" w:rsidRDefault="007339A3" w:rsidP="007339A3">
            <w:r>
              <w:t>Or contractor speaker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>
              <w:rPr>
                <w:u w:val="single"/>
              </w:rPr>
              <w:t>R</w:t>
            </w:r>
            <w:r w:rsidRPr="007339A3">
              <w:rPr>
                <w:u w:val="single"/>
              </w:rPr>
              <w:t>esource trip</w:t>
            </w:r>
          </w:p>
          <w:p w:rsidR="007339A3" w:rsidRDefault="007339A3" w:rsidP="007339A3">
            <w:r>
              <w:t>Trip to seaside for collection of resources</w:t>
            </w:r>
          </w:p>
        </w:tc>
        <w:tc>
          <w:tcPr>
            <w:tcW w:w="2486" w:type="dxa"/>
          </w:tcPr>
          <w:p w:rsidR="00E4041E" w:rsidRDefault="00D553D2" w:rsidP="00D553D2">
            <w:r w:rsidRPr="00D553D2">
              <w:t xml:space="preserve">Students will look at the work ethic in the British </w:t>
            </w:r>
            <w:r w:rsidR="00D71BBA">
              <w:t xml:space="preserve">service industries like Amazon and Aldi. Watch video of single use food </w:t>
            </w:r>
            <w:proofErr w:type="spellStart"/>
            <w:r w:rsidR="00D71BBA">
              <w:t>contaners</w:t>
            </w:r>
            <w:proofErr w:type="spellEnd"/>
            <w:r w:rsidR="00D71BBA">
              <w:t xml:space="preserve"> and plastic contamination.</w:t>
            </w:r>
            <w:r w:rsidR="007339A3">
              <w:t xml:space="preserve"> Respecting others views </w:t>
            </w:r>
            <w:proofErr w:type="spellStart"/>
            <w:r w:rsidR="007339A3">
              <w:t>ans</w:t>
            </w:r>
            <w:proofErr w:type="spellEnd"/>
            <w:r w:rsidR="007339A3">
              <w:t xml:space="preserve"> supporting each other, rewarded through </w:t>
            </w:r>
          </w:p>
          <w:p w:rsidR="00D553D2" w:rsidRDefault="007339A3" w:rsidP="00D553D2">
            <w:r w:rsidRPr="00D71BBA">
              <w:t>‘golden tickets’</w:t>
            </w:r>
            <w:r>
              <w:t>.</w:t>
            </w:r>
          </w:p>
        </w:tc>
        <w:tc>
          <w:tcPr>
            <w:tcW w:w="2108" w:type="dxa"/>
          </w:tcPr>
          <w:p w:rsidR="001A1413" w:rsidRPr="00D71BBA" w:rsidRDefault="00304300" w:rsidP="00D71B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2EC8">
              <w:rPr>
                <w:rFonts w:asciiTheme="minorHAnsi" w:hAnsiTheme="minorHAnsi" w:cs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encouraged to discuss </w:t>
            </w:r>
            <w:r w:rsidRPr="00832EC8">
              <w:rPr>
                <w:rFonts w:asciiTheme="minorHAnsi" w:hAnsiTheme="minorHAnsi" w:cstheme="minorHAnsi"/>
                <w:sz w:val="22"/>
                <w:szCs w:val="22"/>
              </w:rPr>
              <w:t>possible barriers for people working in the construction and manufacturing industries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UK.</w:t>
            </w:r>
          </w:p>
        </w:tc>
        <w:tc>
          <w:tcPr>
            <w:tcW w:w="2470" w:type="dxa"/>
          </w:tcPr>
          <w:p w:rsidR="001A1413" w:rsidRDefault="00945D85">
            <w:r w:rsidRPr="00945D85">
              <w:t>Students will visit a plastics company</w:t>
            </w:r>
            <w:r>
              <w:t xml:space="preserve"> (Theo Plastics)</w:t>
            </w:r>
            <w:r w:rsidRPr="00945D85">
              <w:t xml:space="preserve"> to look at</w:t>
            </w:r>
            <w:r>
              <w:t xml:space="preserve"> different careers in DT.</w:t>
            </w:r>
          </w:p>
        </w:tc>
        <w:tc>
          <w:tcPr>
            <w:tcW w:w="2283" w:type="dxa"/>
          </w:tcPr>
          <w:p w:rsidR="001A1413" w:rsidRDefault="00945D85" w:rsidP="00945D85">
            <w:r w:rsidRPr="00945D85">
              <w:t xml:space="preserve">Students will have created an outside space </w:t>
            </w:r>
            <w:r>
              <w:t xml:space="preserve">adding planters </w:t>
            </w:r>
            <w:r w:rsidRPr="00945D85">
              <w:t>for all th</w:t>
            </w:r>
            <w:r>
              <w:t xml:space="preserve">e students and staff to enjoy. Courtyard </w:t>
            </w:r>
            <w:r w:rsidRPr="00945D85">
              <w:t xml:space="preserve">between staffroom and PE room. </w:t>
            </w:r>
          </w:p>
        </w:tc>
        <w:tc>
          <w:tcPr>
            <w:tcW w:w="2294" w:type="dxa"/>
          </w:tcPr>
          <w:p w:rsidR="001A1413" w:rsidRDefault="001A1413"/>
        </w:tc>
      </w:tr>
      <w:tr w:rsidR="006F2B4C" w:rsidTr="0008019B">
        <w:trPr>
          <w:trHeight w:val="1213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240401">
              <w:rPr>
                <w:b/>
              </w:rPr>
              <w:t>8</w:t>
            </w:r>
          </w:p>
        </w:tc>
        <w:tc>
          <w:tcPr>
            <w:tcW w:w="2377" w:type="dxa"/>
          </w:tcPr>
          <w:p w:rsidR="001A1413" w:rsidRDefault="006B56BF" w:rsidP="006B56BF">
            <w:r w:rsidRPr="006B56BF">
              <w:t>Students wil</w:t>
            </w:r>
            <w:r>
              <w:t>l be encouraged to peer support in class activities and support planning of a project setting and agreeing different roles for each student</w:t>
            </w:r>
            <w:r w:rsidRPr="006B56BF">
              <w:t>.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Guest speakers</w:t>
            </w:r>
          </w:p>
          <w:p w:rsidR="007339A3" w:rsidRDefault="007339A3" w:rsidP="007339A3">
            <w:r>
              <w:t>Construction speaker</w:t>
            </w:r>
          </w:p>
          <w:p w:rsidR="007339A3" w:rsidRDefault="007339A3" w:rsidP="007339A3">
            <w:r>
              <w:t>Or contractor speaker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Resource trip</w:t>
            </w:r>
          </w:p>
          <w:p w:rsidR="007339A3" w:rsidRDefault="007339A3" w:rsidP="007339A3">
            <w:r>
              <w:lastRenderedPageBreak/>
              <w:t>Trip to seaside for collection of resources</w:t>
            </w:r>
          </w:p>
        </w:tc>
        <w:tc>
          <w:tcPr>
            <w:tcW w:w="2486" w:type="dxa"/>
          </w:tcPr>
          <w:p w:rsidR="00A21174" w:rsidRDefault="00D71BBA" w:rsidP="00D71BBA">
            <w:r>
              <w:lastRenderedPageBreak/>
              <w:t xml:space="preserve">Students will be encouraged to respect others work and make a comment on how they would adapt it. </w:t>
            </w:r>
            <w:r w:rsidRPr="00D71BBA">
              <w:t xml:space="preserve">To </w:t>
            </w:r>
            <w:r>
              <w:t>peer support</w:t>
            </w:r>
            <w:r w:rsidRPr="00D71BBA">
              <w:t xml:space="preserve"> and accept help rewarded through ‘golden tickets’</w:t>
            </w:r>
            <w:r>
              <w:t xml:space="preserve">. Also encouraged to use BPA reusable water bottles like - </w:t>
            </w:r>
            <w:r w:rsidRPr="00D71BBA">
              <w:t xml:space="preserve">Free Reusable Water Bottle </w:t>
            </w:r>
            <w:r>
              <w:t xml:space="preserve">from </w:t>
            </w:r>
            <w:proofErr w:type="spellStart"/>
            <w:r w:rsidRPr="00D71BBA">
              <w:t>Itsu</w:t>
            </w:r>
            <w:proofErr w:type="spellEnd"/>
            <w:r w:rsidRPr="00D71BBA">
              <w:t xml:space="preserve"> </w:t>
            </w:r>
            <w:r>
              <w:lastRenderedPageBreak/>
              <w:t xml:space="preserve">who </w:t>
            </w:r>
            <w:r w:rsidRPr="00D71BBA">
              <w:t>are giving away FREE reusable bottles to celebrate reducing waste</w:t>
            </w:r>
            <w:r>
              <w:t>.</w:t>
            </w:r>
          </w:p>
        </w:tc>
        <w:tc>
          <w:tcPr>
            <w:tcW w:w="2108" w:type="dxa"/>
          </w:tcPr>
          <w:p w:rsidR="00A21174" w:rsidRPr="00304300" w:rsidRDefault="00304300" w:rsidP="003043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2E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Students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Pr="00832EC8">
              <w:rPr>
                <w:rFonts w:asciiTheme="minorHAnsi" w:hAnsiTheme="minorHAnsi" w:cstheme="minorHAnsi"/>
                <w:sz w:val="22"/>
                <w:szCs w:val="22"/>
              </w:rPr>
              <w:t xml:space="preserve"> any possible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equality and diversity </w:t>
            </w:r>
            <w:r w:rsidRPr="00832EC8">
              <w:rPr>
                <w:rFonts w:asciiTheme="minorHAnsi" w:hAnsiTheme="minorHAnsi" w:cstheme="minorHAnsi"/>
                <w:sz w:val="22"/>
                <w:szCs w:val="22"/>
              </w:rPr>
              <w:t xml:space="preserve">barriers for people working in the construction and manufacturing industries in the UK and create posters for what they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discover</w:t>
            </w:r>
            <w:r w:rsidRPr="00832E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470" w:type="dxa"/>
          </w:tcPr>
          <w:p w:rsidR="00A21174" w:rsidRDefault="00945D85" w:rsidP="00945D85">
            <w:r w:rsidRPr="00945D85">
              <w:t xml:space="preserve">Students will visit a </w:t>
            </w:r>
            <w:r>
              <w:t>distribution</w:t>
            </w:r>
            <w:r w:rsidRPr="00945D85">
              <w:t xml:space="preserve"> company (</w:t>
            </w:r>
            <w:r>
              <w:t>Aldi</w:t>
            </w:r>
            <w:r w:rsidRPr="00945D85">
              <w:t>) to look at different careers in DT.</w:t>
            </w:r>
          </w:p>
        </w:tc>
        <w:tc>
          <w:tcPr>
            <w:tcW w:w="2283" w:type="dxa"/>
          </w:tcPr>
          <w:p w:rsidR="00A21174" w:rsidRPr="00A21174" w:rsidRDefault="00945D85" w:rsidP="00945D85">
            <w:r w:rsidRPr="00945D85">
              <w:t xml:space="preserve">Students will </w:t>
            </w:r>
            <w:r>
              <w:t>contribute to the  c</w:t>
            </w:r>
            <w:r w:rsidRPr="00945D85">
              <w:t xml:space="preserve">ourtyard outside space between staffroom and PE room. </w:t>
            </w:r>
            <w:r>
              <w:t>Adding</w:t>
            </w:r>
            <w:r w:rsidRPr="00945D85">
              <w:t xml:space="preserve"> wall art displayed. Also possible seating</w:t>
            </w:r>
          </w:p>
        </w:tc>
        <w:tc>
          <w:tcPr>
            <w:tcW w:w="2294" w:type="dxa"/>
          </w:tcPr>
          <w:p w:rsidR="00754238" w:rsidRDefault="00754238" w:rsidP="00A21174"/>
        </w:tc>
      </w:tr>
      <w:tr w:rsidR="006F2B4C" w:rsidTr="00754238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9</w:t>
            </w:r>
          </w:p>
        </w:tc>
        <w:tc>
          <w:tcPr>
            <w:tcW w:w="2377" w:type="dxa"/>
          </w:tcPr>
          <w:p w:rsidR="00754238" w:rsidRDefault="006B56BF" w:rsidP="006F2B4C">
            <w:r>
              <w:t xml:space="preserve">Students will work as a team to price up a teacher set community project. Looking at different payment methods (cash payment, on account or credit. </w:t>
            </w:r>
          </w:p>
          <w:p w:rsidR="00754238" w:rsidRDefault="00754238" w:rsidP="006F2B4C"/>
        </w:tc>
        <w:tc>
          <w:tcPr>
            <w:tcW w:w="2486" w:type="dxa"/>
          </w:tcPr>
          <w:p w:rsidR="0095042E" w:rsidRDefault="00D71BBA" w:rsidP="007339A3">
            <w:r>
              <w:t>S</w:t>
            </w:r>
            <w:r w:rsidRPr="00D71BBA">
              <w:t xml:space="preserve">tudents will be encouraged to be </w:t>
            </w:r>
            <w:proofErr w:type="spellStart"/>
            <w:r>
              <w:t>repectful</w:t>
            </w:r>
            <w:proofErr w:type="spellEnd"/>
            <w:r w:rsidRPr="00D71BBA">
              <w:t xml:space="preserve"> towards peers, </w:t>
            </w:r>
            <w:r w:rsidR="007339A3">
              <w:t xml:space="preserve">especially when asking </w:t>
            </w:r>
            <w:r w:rsidRPr="00D71BBA">
              <w:t>questions. Partner</w:t>
            </w:r>
            <w:r w:rsidR="007339A3">
              <w:t>ing up when possible</w:t>
            </w:r>
            <w:r w:rsidRPr="00D71BBA">
              <w:t xml:space="preserve"> </w:t>
            </w:r>
            <w:r w:rsidR="007339A3">
              <w:t xml:space="preserve">with a </w:t>
            </w:r>
            <w:r w:rsidRPr="00D71BBA">
              <w:t xml:space="preserve"> willingness to help and accept help from peers </w:t>
            </w:r>
            <w:r w:rsidR="007339A3">
              <w:t xml:space="preserve">rewarding students with </w:t>
            </w:r>
            <w:r w:rsidRPr="00D71BBA">
              <w:t xml:space="preserve"> ‘golden tickets’</w:t>
            </w:r>
          </w:p>
        </w:tc>
        <w:tc>
          <w:tcPr>
            <w:tcW w:w="2108" w:type="dxa"/>
          </w:tcPr>
          <w:p w:rsidR="00304300" w:rsidRDefault="00304300" w:rsidP="003043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2EC8">
              <w:rPr>
                <w:rFonts w:asciiTheme="minorHAnsi" w:hAnsiTheme="minorHAnsi" w:cstheme="minorHAnsi"/>
                <w:sz w:val="22"/>
                <w:szCs w:val="22"/>
              </w:rPr>
              <w:t xml:space="preserve">Students will examine any possible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equality and diversity</w:t>
            </w:r>
            <w:r w:rsidRPr="00832EC8">
              <w:rPr>
                <w:rFonts w:asciiTheme="minorHAnsi" w:hAnsiTheme="minorHAnsi" w:cstheme="minorHAnsi"/>
                <w:sz w:val="22"/>
                <w:szCs w:val="22"/>
              </w:rPr>
              <w:t xml:space="preserve"> barriers for people working in the construction and manufacturing industries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UK. Then map potential solutions as a class.</w:t>
            </w:r>
          </w:p>
          <w:p w:rsidR="00FF4E58" w:rsidRDefault="00FF4E58" w:rsidP="006F2B4C"/>
        </w:tc>
        <w:tc>
          <w:tcPr>
            <w:tcW w:w="2470" w:type="dxa"/>
          </w:tcPr>
          <w:p w:rsidR="007339A3" w:rsidRDefault="007339A3" w:rsidP="007339A3">
            <w:r>
              <w:t>Students will research jobs linked to the construction and manufacturing, production industries.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Guest speakers</w:t>
            </w:r>
          </w:p>
          <w:p w:rsidR="007339A3" w:rsidRDefault="007339A3" w:rsidP="007339A3">
            <w:r>
              <w:t>Careers advisor</w:t>
            </w:r>
          </w:p>
          <w:p w:rsidR="007339A3" w:rsidRDefault="007339A3" w:rsidP="007339A3">
            <w:r>
              <w:t>Construction or manufacturing rep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Visit or resource trip</w:t>
            </w:r>
          </w:p>
          <w:p w:rsidR="007339A3" w:rsidRDefault="007339A3" w:rsidP="007339A3">
            <w:r>
              <w:t xml:space="preserve">Building site </w:t>
            </w:r>
            <w:r w:rsidR="00945D85">
              <w:t>or P</w:t>
            </w:r>
            <w:r>
              <w:t xml:space="preserve">roduction </w:t>
            </w:r>
            <w:r w:rsidR="00945D85">
              <w:t xml:space="preserve">industry or </w:t>
            </w:r>
          </w:p>
          <w:p w:rsidR="007339A3" w:rsidRDefault="007339A3" w:rsidP="007339A3">
            <w:r>
              <w:t xml:space="preserve">Manufacturing </w:t>
            </w:r>
          </w:p>
          <w:p w:rsidR="00A21174" w:rsidRDefault="00A21174" w:rsidP="006F2B4C"/>
        </w:tc>
        <w:tc>
          <w:tcPr>
            <w:tcW w:w="2283" w:type="dxa"/>
          </w:tcPr>
          <w:p w:rsidR="00CE1322" w:rsidRDefault="00945D85" w:rsidP="006F2B4C">
            <w:r w:rsidRPr="00945D85">
              <w:t>Students will have created an outside space for all the students and staff to enjoy. (courtyard between staffroom and PE room. Planters and wall art displayed. Also possible seating</w:t>
            </w:r>
          </w:p>
        </w:tc>
        <w:tc>
          <w:tcPr>
            <w:tcW w:w="2294" w:type="dxa"/>
            <w:shd w:val="clear" w:color="auto" w:fill="auto"/>
          </w:tcPr>
          <w:p w:rsidR="00945D85" w:rsidRDefault="00754238" w:rsidP="00945D85">
            <w:r>
              <w:t xml:space="preserve"> </w:t>
            </w:r>
            <w:r w:rsidR="00945D85">
              <w:t xml:space="preserve">Students will look at how this qualification can help them progress on to an apprenticeships, a job or other FE </w:t>
            </w:r>
            <w:proofErr w:type="spellStart"/>
            <w:r w:rsidR="00945D85">
              <w:t>oppertunities</w:t>
            </w:r>
            <w:proofErr w:type="spellEnd"/>
            <w:r w:rsidR="00945D85">
              <w:t xml:space="preserve">. </w:t>
            </w:r>
          </w:p>
          <w:p w:rsidR="00945D85" w:rsidRPr="00945D85" w:rsidRDefault="00945D85" w:rsidP="00945D85">
            <w:pPr>
              <w:rPr>
                <w:u w:val="single"/>
              </w:rPr>
            </w:pPr>
            <w:r w:rsidRPr="00945D85">
              <w:rPr>
                <w:u w:val="single"/>
              </w:rPr>
              <w:t>Guest speakers</w:t>
            </w:r>
          </w:p>
          <w:p w:rsidR="00945D85" w:rsidRDefault="00945D85" w:rsidP="00945D85">
            <w:r>
              <w:t>College rep</w:t>
            </w:r>
          </w:p>
          <w:p w:rsidR="00945D85" w:rsidRDefault="00945D85" w:rsidP="00945D85">
            <w:r>
              <w:t>Construction or manufacturing rep</w:t>
            </w:r>
          </w:p>
          <w:p w:rsidR="00945D85" w:rsidRPr="00945D85" w:rsidRDefault="00945D85" w:rsidP="00945D85">
            <w:pPr>
              <w:rPr>
                <w:u w:val="single"/>
              </w:rPr>
            </w:pPr>
            <w:r w:rsidRPr="00945D85">
              <w:rPr>
                <w:u w:val="single"/>
              </w:rPr>
              <w:t xml:space="preserve">Visit </w:t>
            </w:r>
          </w:p>
          <w:p w:rsidR="00945D85" w:rsidRDefault="00945D85" w:rsidP="00945D85">
            <w:r>
              <w:t>College</w:t>
            </w:r>
          </w:p>
          <w:p w:rsidR="00945D85" w:rsidRDefault="00945D85" w:rsidP="00945D85">
            <w:r>
              <w:t xml:space="preserve">Job fair </w:t>
            </w:r>
          </w:p>
          <w:p w:rsidR="00754238" w:rsidRDefault="00754238" w:rsidP="006F2B4C"/>
        </w:tc>
      </w:tr>
      <w:tr w:rsidR="006F2B4C" w:rsidTr="00754238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754238" w:rsidRDefault="006B56BF" w:rsidP="006F2B4C">
            <w:r>
              <w:t xml:space="preserve">Students will be encouraged to review other students projects and give critical feedback on development and </w:t>
            </w:r>
            <w:r w:rsidR="00D553D2">
              <w:t xml:space="preserve">research </w:t>
            </w:r>
            <w:r w:rsidR="00D553D2" w:rsidRPr="00D553D2">
              <w:t>traditional folk art techniques</w:t>
            </w:r>
            <w:r w:rsidR="00D553D2">
              <w:t xml:space="preserve"> in different countries to influence their work. </w:t>
            </w:r>
            <w:r w:rsidR="00616CBC" w:rsidRPr="00616CBC">
              <w:t>Visit a place of worship</w:t>
            </w:r>
          </w:p>
        </w:tc>
        <w:tc>
          <w:tcPr>
            <w:tcW w:w="2486" w:type="dxa"/>
          </w:tcPr>
          <w:p w:rsidR="00F661AD" w:rsidRDefault="007339A3" w:rsidP="006F2B4C">
            <w:r>
              <w:t>S</w:t>
            </w:r>
            <w:r w:rsidRPr="00D71BBA">
              <w:t xml:space="preserve">tudents will be encouraged to be </w:t>
            </w:r>
            <w:r>
              <w:t>re</w:t>
            </w:r>
            <w:r w:rsidR="00B77303">
              <w:t>s</w:t>
            </w:r>
            <w:bookmarkStart w:id="0" w:name="_GoBack"/>
            <w:bookmarkEnd w:id="0"/>
            <w:r>
              <w:t>pectful</w:t>
            </w:r>
            <w:r w:rsidRPr="00D71BBA">
              <w:t xml:space="preserve"> towards peers, </w:t>
            </w:r>
            <w:r>
              <w:t xml:space="preserve">especially when asking </w:t>
            </w:r>
            <w:r w:rsidRPr="00D71BBA">
              <w:t>questions. Partner</w:t>
            </w:r>
            <w:r>
              <w:t>ing up when possible</w:t>
            </w:r>
            <w:r w:rsidRPr="00D71BBA">
              <w:t xml:space="preserve"> </w:t>
            </w:r>
            <w:r>
              <w:t xml:space="preserve">with a </w:t>
            </w:r>
            <w:r w:rsidRPr="00D71BBA">
              <w:t xml:space="preserve"> willingness to help and accept help from peers </w:t>
            </w:r>
            <w:r>
              <w:t xml:space="preserve">rewarding students with </w:t>
            </w:r>
            <w:r w:rsidRPr="00D71BBA">
              <w:t xml:space="preserve"> ‘golden tickets’</w:t>
            </w:r>
          </w:p>
        </w:tc>
        <w:tc>
          <w:tcPr>
            <w:tcW w:w="2108" w:type="dxa"/>
          </w:tcPr>
          <w:p w:rsidR="00FF4E58" w:rsidRDefault="00304300" w:rsidP="006F2B4C">
            <w:r>
              <w:t>Students will research the difference between price work and day work rates for a general builder in the UK and other European countries.</w:t>
            </w:r>
          </w:p>
        </w:tc>
        <w:tc>
          <w:tcPr>
            <w:tcW w:w="2470" w:type="dxa"/>
          </w:tcPr>
          <w:p w:rsidR="007339A3" w:rsidRDefault="007339A3" w:rsidP="007339A3">
            <w:r>
              <w:t>Students will research jobs linked to the construction and manufacturing, production industries.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Guest speakers</w:t>
            </w:r>
          </w:p>
          <w:p w:rsidR="007339A3" w:rsidRDefault="007339A3" w:rsidP="007339A3">
            <w:r>
              <w:t>Careers advisor</w:t>
            </w:r>
          </w:p>
          <w:p w:rsidR="007339A3" w:rsidRDefault="007339A3" w:rsidP="007339A3">
            <w:r>
              <w:t>Construction or manufacturing rep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Visit or resource trip</w:t>
            </w:r>
          </w:p>
          <w:p w:rsidR="007339A3" w:rsidRDefault="007339A3" w:rsidP="007339A3">
            <w:r>
              <w:t xml:space="preserve">Building site, </w:t>
            </w:r>
          </w:p>
          <w:p w:rsidR="00FF4E58" w:rsidRDefault="007339A3" w:rsidP="007339A3">
            <w:r>
              <w:t>Manufacturing or production industry</w:t>
            </w:r>
          </w:p>
        </w:tc>
        <w:tc>
          <w:tcPr>
            <w:tcW w:w="2283" w:type="dxa"/>
          </w:tcPr>
          <w:p w:rsidR="00F661AD" w:rsidRDefault="001A4708" w:rsidP="00F661AD">
            <w:r w:rsidRPr="001A4708">
              <w:t>Students will research and visit an Eco Village and discuss the impact we can have on our country as a citizen. Or Volunteering England guest speaker.</w:t>
            </w:r>
          </w:p>
        </w:tc>
        <w:tc>
          <w:tcPr>
            <w:tcW w:w="2294" w:type="dxa"/>
            <w:shd w:val="clear" w:color="auto" w:fill="auto"/>
          </w:tcPr>
          <w:p w:rsidR="00945D85" w:rsidRDefault="00945D85" w:rsidP="00945D85">
            <w:r>
              <w:t xml:space="preserve">Students will look at how this qualification can help them progress on to an apprenticeships, a job or other FE </w:t>
            </w:r>
            <w:r w:rsidR="001A4708" w:rsidRPr="00886BBC">
              <w:rPr>
                <w:rFonts w:ascii="Calibri" w:eastAsia="Calibri" w:hAnsi="Calibri" w:cs="Times New Roman"/>
              </w:rPr>
              <w:t>opportunities</w:t>
            </w:r>
            <w:r>
              <w:t xml:space="preserve">. </w:t>
            </w:r>
          </w:p>
          <w:p w:rsidR="00945D85" w:rsidRPr="00945D85" w:rsidRDefault="00945D85" w:rsidP="00945D85">
            <w:pPr>
              <w:rPr>
                <w:u w:val="single"/>
              </w:rPr>
            </w:pPr>
            <w:r w:rsidRPr="00945D85">
              <w:rPr>
                <w:u w:val="single"/>
              </w:rPr>
              <w:t>Guest speakers</w:t>
            </w:r>
          </w:p>
          <w:p w:rsidR="00945D85" w:rsidRDefault="00945D85" w:rsidP="00945D85">
            <w:r>
              <w:t>College rep</w:t>
            </w:r>
          </w:p>
          <w:p w:rsidR="00945D85" w:rsidRDefault="00945D85" w:rsidP="00945D85">
            <w:r>
              <w:t>Construction or manufacturing rep</w:t>
            </w:r>
          </w:p>
          <w:p w:rsidR="00945D85" w:rsidRPr="00945D85" w:rsidRDefault="00945D85" w:rsidP="00945D85">
            <w:pPr>
              <w:rPr>
                <w:u w:val="single"/>
              </w:rPr>
            </w:pPr>
            <w:r w:rsidRPr="00945D85">
              <w:rPr>
                <w:u w:val="single"/>
              </w:rPr>
              <w:t xml:space="preserve">Visit </w:t>
            </w:r>
          </w:p>
          <w:p w:rsidR="00945D85" w:rsidRDefault="00945D85" w:rsidP="00945D85">
            <w:r>
              <w:t>College</w:t>
            </w:r>
          </w:p>
          <w:p w:rsidR="00240401" w:rsidRDefault="00945D85" w:rsidP="00945D85">
            <w:r>
              <w:lastRenderedPageBreak/>
              <w:t>Job fair</w:t>
            </w:r>
          </w:p>
          <w:p w:rsidR="00754238" w:rsidRDefault="00754238" w:rsidP="006F2B4C"/>
        </w:tc>
      </w:tr>
      <w:tr w:rsidR="006F2B4C" w:rsidTr="00E5480D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11</w:t>
            </w:r>
          </w:p>
        </w:tc>
        <w:tc>
          <w:tcPr>
            <w:tcW w:w="2377" w:type="dxa"/>
          </w:tcPr>
          <w:p w:rsidR="00E22774" w:rsidRDefault="00D553D2" w:rsidP="00D553D2">
            <w:r>
              <w:t>Students will research how ‘The Social Construction of Culture’ (</w:t>
            </w:r>
            <w:proofErr w:type="spellStart"/>
            <w:r>
              <w:t>self build</w:t>
            </w:r>
            <w:proofErr w:type="spellEnd"/>
            <w:r>
              <w:t xml:space="preserve"> communities) in the </w:t>
            </w:r>
            <w:proofErr w:type="spellStart"/>
            <w:r>
              <w:t>uk</w:t>
            </w:r>
            <w:proofErr w:type="spellEnd"/>
            <w:r>
              <w:t xml:space="preserve"> building industry has developed in the millennium.</w:t>
            </w:r>
          </w:p>
        </w:tc>
        <w:tc>
          <w:tcPr>
            <w:tcW w:w="2486" w:type="dxa"/>
          </w:tcPr>
          <w:p w:rsidR="00E5480D" w:rsidRDefault="007339A3" w:rsidP="006F2B4C">
            <w:r>
              <w:t>S</w:t>
            </w:r>
            <w:r w:rsidRPr="00D71BBA">
              <w:t xml:space="preserve">tudents will be encouraged to be </w:t>
            </w:r>
            <w:proofErr w:type="spellStart"/>
            <w:r>
              <w:t>repectful</w:t>
            </w:r>
            <w:proofErr w:type="spellEnd"/>
            <w:r w:rsidRPr="00D71BBA">
              <w:t xml:space="preserve"> towards peers, </w:t>
            </w:r>
            <w:r>
              <w:t xml:space="preserve">especially when asking </w:t>
            </w:r>
            <w:r w:rsidRPr="00D71BBA">
              <w:t>questions. Partner</w:t>
            </w:r>
            <w:r>
              <w:t>ing up when possible</w:t>
            </w:r>
            <w:r w:rsidRPr="00D71BBA">
              <w:t xml:space="preserve"> </w:t>
            </w:r>
            <w:r>
              <w:t xml:space="preserve">with a </w:t>
            </w:r>
            <w:r w:rsidRPr="00D71BBA">
              <w:t xml:space="preserve"> willingness to help and accept help from peers </w:t>
            </w:r>
            <w:r>
              <w:t xml:space="preserve">rewarding students with </w:t>
            </w:r>
            <w:r w:rsidRPr="00D71BBA">
              <w:t xml:space="preserve"> ‘golden tickets’</w:t>
            </w:r>
          </w:p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</w:tc>
        <w:tc>
          <w:tcPr>
            <w:tcW w:w="2108" w:type="dxa"/>
          </w:tcPr>
          <w:p w:rsidR="00E22774" w:rsidRDefault="00304300" w:rsidP="006B56BF">
            <w:r w:rsidRPr="00304300">
              <w:t xml:space="preserve">Students will </w:t>
            </w:r>
            <w:r>
              <w:t>research</w:t>
            </w:r>
            <w:r w:rsidRPr="00304300">
              <w:t xml:space="preserve"> the average wage per hour of </w:t>
            </w:r>
            <w:r>
              <w:t xml:space="preserve">a </w:t>
            </w:r>
            <w:r w:rsidR="006B56BF">
              <w:t>general</w:t>
            </w:r>
            <w:r>
              <w:t xml:space="preserve"> construction workers</w:t>
            </w:r>
            <w:r w:rsidRPr="00304300">
              <w:t xml:space="preserve"> </w:t>
            </w:r>
            <w:r>
              <w:t xml:space="preserve">in the </w:t>
            </w:r>
            <w:proofErr w:type="spellStart"/>
            <w:r>
              <w:t>Uk</w:t>
            </w:r>
            <w:proofErr w:type="spellEnd"/>
            <w:r>
              <w:t xml:space="preserve"> </w:t>
            </w:r>
            <w:proofErr w:type="spellStart"/>
            <w:r>
              <w:t>compaired</w:t>
            </w:r>
            <w:proofErr w:type="spellEnd"/>
            <w:r>
              <w:t xml:space="preserve"> to emerging </w:t>
            </w:r>
            <w:proofErr w:type="spellStart"/>
            <w:r>
              <w:t>countroies</w:t>
            </w:r>
            <w:proofErr w:type="spellEnd"/>
            <w:r>
              <w:t xml:space="preserve"> like India and Brazil, as well as a </w:t>
            </w:r>
            <w:proofErr w:type="spellStart"/>
            <w:r>
              <w:t>thired</w:t>
            </w:r>
            <w:proofErr w:type="spellEnd"/>
            <w:r>
              <w:t xml:space="preserve"> world country.</w:t>
            </w:r>
          </w:p>
        </w:tc>
        <w:tc>
          <w:tcPr>
            <w:tcW w:w="2470" w:type="dxa"/>
          </w:tcPr>
          <w:p w:rsidR="007339A3" w:rsidRDefault="007339A3" w:rsidP="007339A3">
            <w:r>
              <w:t>Students will research jobs linked to the construction and manufacturing, production industries.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Guest speakers</w:t>
            </w:r>
          </w:p>
          <w:p w:rsidR="007339A3" w:rsidRDefault="007339A3" w:rsidP="007339A3">
            <w:r>
              <w:t>Careers advisor</w:t>
            </w:r>
          </w:p>
          <w:p w:rsidR="007339A3" w:rsidRDefault="007339A3" w:rsidP="007339A3">
            <w:r>
              <w:t>Construction or manufacturing rep</w:t>
            </w:r>
          </w:p>
          <w:p w:rsidR="007339A3" w:rsidRPr="007339A3" w:rsidRDefault="007339A3" w:rsidP="007339A3">
            <w:pPr>
              <w:rPr>
                <w:u w:val="single"/>
              </w:rPr>
            </w:pPr>
            <w:r w:rsidRPr="007339A3">
              <w:rPr>
                <w:u w:val="single"/>
              </w:rPr>
              <w:t>Visit or resource trip</w:t>
            </w:r>
          </w:p>
          <w:p w:rsidR="00754238" w:rsidRDefault="007339A3" w:rsidP="007339A3">
            <w:r>
              <w:t>Building site, Production or manufacturing industry</w:t>
            </w:r>
          </w:p>
          <w:p w:rsidR="00754238" w:rsidRDefault="00754238" w:rsidP="006F2B4C"/>
          <w:p w:rsidR="00754238" w:rsidRDefault="00754238" w:rsidP="006F2B4C"/>
        </w:tc>
        <w:tc>
          <w:tcPr>
            <w:tcW w:w="2283" w:type="dxa"/>
          </w:tcPr>
          <w:p w:rsidR="00F661AD" w:rsidRDefault="00F725ED" w:rsidP="006F2B4C">
            <w:r w:rsidRPr="00F725ED">
              <w:t>Students will research and visit a Eco Village and discuss the impact we can have on our country as a citizen.</w:t>
            </w:r>
          </w:p>
          <w:p w:rsidR="00F661AD" w:rsidRDefault="00F661AD" w:rsidP="006F2B4C"/>
        </w:tc>
        <w:tc>
          <w:tcPr>
            <w:tcW w:w="2294" w:type="dxa"/>
            <w:shd w:val="clear" w:color="auto" w:fill="000000" w:themeFill="text1"/>
          </w:tcPr>
          <w:p w:rsidR="006F2B4C" w:rsidRDefault="006F2B4C" w:rsidP="006F2B4C"/>
        </w:tc>
      </w:tr>
    </w:tbl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F4" w:rsidRDefault="000121F4" w:rsidP="00932C29">
      <w:pPr>
        <w:spacing w:after="0" w:line="240" w:lineRule="auto"/>
      </w:pPr>
      <w:r>
        <w:separator/>
      </w:r>
    </w:p>
  </w:endnote>
  <w:end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F4" w:rsidRDefault="000121F4" w:rsidP="00932C29">
      <w:pPr>
        <w:spacing w:after="0" w:line="240" w:lineRule="auto"/>
      </w:pPr>
      <w:r>
        <w:separator/>
      </w:r>
    </w:p>
  </w:footnote>
  <w:foot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A21174" w:rsidP="000F1598">
    <w:pPr>
      <w:rPr>
        <w:b/>
        <w:sz w:val="36"/>
      </w:rPr>
    </w:pPr>
    <w:r w:rsidRPr="00CE74B4">
      <w:rPr>
        <w:b/>
        <w:sz w:val="36"/>
      </w:rPr>
      <w:t>Personal Development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121F4"/>
    <w:rsid w:val="00037A4F"/>
    <w:rsid w:val="0008019B"/>
    <w:rsid w:val="000803DC"/>
    <w:rsid w:val="000C2542"/>
    <w:rsid w:val="000F1598"/>
    <w:rsid w:val="001A1413"/>
    <w:rsid w:val="001A4708"/>
    <w:rsid w:val="00240401"/>
    <w:rsid w:val="00304300"/>
    <w:rsid w:val="00456A52"/>
    <w:rsid w:val="004C17AC"/>
    <w:rsid w:val="0050065B"/>
    <w:rsid w:val="005D7297"/>
    <w:rsid w:val="005E1607"/>
    <w:rsid w:val="00616CBC"/>
    <w:rsid w:val="006B56BF"/>
    <w:rsid w:val="006F2B4C"/>
    <w:rsid w:val="007339A3"/>
    <w:rsid w:val="00754238"/>
    <w:rsid w:val="00906771"/>
    <w:rsid w:val="009303C8"/>
    <w:rsid w:val="00932C29"/>
    <w:rsid w:val="00945D85"/>
    <w:rsid w:val="0095042E"/>
    <w:rsid w:val="009717CE"/>
    <w:rsid w:val="009E4DB1"/>
    <w:rsid w:val="00A21174"/>
    <w:rsid w:val="00B77303"/>
    <w:rsid w:val="00B9769E"/>
    <w:rsid w:val="00CE1322"/>
    <w:rsid w:val="00CE74B4"/>
    <w:rsid w:val="00D553D2"/>
    <w:rsid w:val="00D71BBA"/>
    <w:rsid w:val="00E22774"/>
    <w:rsid w:val="00E4041E"/>
    <w:rsid w:val="00E5480D"/>
    <w:rsid w:val="00F661AD"/>
    <w:rsid w:val="00F725E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F409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  <w:style w:type="paragraph" w:customStyle="1" w:styleId="Default">
    <w:name w:val="Default"/>
    <w:rsid w:val="00304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Peter Rice</cp:lastModifiedBy>
  <cp:revision>5</cp:revision>
  <cp:lastPrinted>2019-06-17T07:48:00Z</cp:lastPrinted>
  <dcterms:created xsi:type="dcterms:W3CDTF">2020-07-03T13:35:00Z</dcterms:created>
  <dcterms:modified xsi:type="dcterms:W3CDTF">2020-07-06T14:14:00Z</dcterms:modified>
</cp:coreProperties>
</file>