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1994"/>
        <w:gridCol w:w="2374"/>
        <w:gridCol w:w="2460"/>
        <w:gridCol w:w="2088"/>
        <w:gridCol w:w="2449"/>
        <w:gridCol w:w="2270"/>
        <w:gridCol w:w="2403"/>
      </w:tblGrid>
      <w:tr w:rsidR="009717CE" w:rsidTr="009717CE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9717CE" w:rsidP="006F2B4C">
            <w:pPr>
              <w:rPr>
                <w:b/>
              </w:rPr>
            </w:pP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C84A33" w:rsidRPr="00673ADE" w:rsidTr="00754238">
        <w:trPr>
          <w:trHeight w:val="1144"/>
        </w:trPr>
        <w:tc>
          <w:tcPr>
            <w:tcW w:w="2020" w:type="dxa"/>
          </w:tcPr>
          <w:p w:rsidR="00C84A33" w:rsidRPr="00673ADE" w:rsidRDefault="00C84A33" w:rsidP="00C84A33">
            <w:pPr>
              <w:jc w:val="center"/>
              <w:rPr>
                <w:rFonts w:cstheme="minorHAnsi"/>
                <w:b/>
              </w:rPr>
            </w:pPr>
            <w:r w:rsidRPr="00673ADE">
              <w:rPr>
                <w:rFonts w:cstheme="minorHAnsi"/>
                <w:b/>
              </w:rPr>
              <w:t>Year 9</w:t>
            </w:r>
          </w:p>
        </w:tc>
        <w:tc>
          <w:tcPr>
            <w:tcW w:w="2377" w:type="dxa"/>
          </w:tcPr>
          <w:p w:rsidR="00C84A33" w:rsidRPr="00673ADE" w:rsidRDefault="00C84A33" w:rsidP="00C84A33">
            <w:pPr>
              <w:pStyle w:val="TableParagraph"/>
              <w:spacing w:line="244" w:lineRule="auto"/>
              <w:ind w:right="792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1F1F1F"/>
              </w:rPr>
              <w:t xml:space="preserve">Students will be given the opportunity to use the internet to research another Country to look at their spiritual, social, moral and cultural development. Learners can record their findings on a suitable software </w:t>
            </w:r>
            <w:proofErr w:type="spellStart"/>
            <w:r w:rsidRPr="00673ADE">
              <w:rPr>
                <w:rFonts w:asciiTheme="minorHAnsi" w:hAnsiTheme="minorHAnsi" w:cstheme="minorHAnsi"/>
                <w:color w:val="1F1F1F"/>
              </w:rPr>
              <w:t>programme</w:t>
            </w:r>
            <w:proofErr w:type="spellEnd"/>
            <w:r w:rsidRPr="00673ADE">
              <w:rPr>
                <w:rFonts w:asciiTheme="minorHAnsi" w:hAnsiTheme="minorHAnsi" w:cstheme="minorHAnsi"/>
                <w:color w:val="1F1F1F"/>
              </w:rPr>
              <w:t xml:space="preserve"> and save it in a separate folder. </w:t>
            </w:r>
          </w:p>
        </w:tc>
        <w:tc>
          <w:tcPr>
            <w:tcW w:w="2486" w:type="dxa"/>
          </w:tcPr>
          <w:p w:rsidR="00507C5F" w:rsidRPr="00673ADE" w:rsidRDefault="00C84A33" w:rsidP="00507C5F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 xml:space="preserve"> </w:t>
            </w:r>
            <w:r w:rsidR="00507C5F" w:rsidRPr="00673ADE">
              <w:rPr>
                <w:rFonts w:cstheme="minorHAnsi"/>
              </w:rPr>
              <w:t xml:space="preserve">As part of the presenting data work learners could research the healthy eating habits of their peers, and staff. Learners can then use this data to create a spreadsheet and create a graph to highlight and compare findings. 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:rsidR="00C84A33" w:rsidRPr="00673ADE" w:rsidRDefault="0091597E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>Learners to engage in discussions on equality and diversity and how this is depicted in the media and on social media platforms.</w:t>
            </w:r>
            <w:r w:rsidRPr="00673ADE">
              <w:rPr>
                <w:rFonts w:cstheme="minorHAnsi"/>
              </w:rPr>
              <w:t xml:space="preserve"> Learners can look at how cyber bullying can be affected by diversity. Does equality exist in social media?</w:t>
            </w:r>
          </w:p>
        </w:tc>
        <w:tc>
          <w:tcPr>
            <w:tcW w:w="2470" w:type="dxa"/>
          </w:tcPr>
          <w:p w:rsidR="00C84A33" w:rsidRPr="00673ADE" w:rsidRDefault="00A3378E" w:rsidP="00C84A33">
            <w:pPr>
              <w:pStyle w:val="TableParagraph"/>
              <w:spacing w:before="21" w:line="280" w:lineRule="auto"/>
              <w:ind w:left="89" w:right="155" w:hanging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24444"/>
                <w:w w:val="105"/>
              </w:rPr>
              <w:t>L</w:t>
            </w:r>
            <w:r w:rsidR="00C84A33" w:rsidRPr="00673ADE">
              <w:rPr>
                <w:rFonts w:asciiTheme="minorHAnsi" w:hAnsiTheme="minorHAnsi" w:cstheme="minorHAnsi"/>
                <w:color w:val="424444"/>
                <w:w w:val="105"/>
              </w:rPr>
              <w:t xml:space="preserve">earners to think about what they want to do for a career. Learners to use the internet to research potential careers. Learners to produce a </w:t>
            </w:r>
            <w:proofErr w:type="spellStart"/>
            <w:r w:rsidR="00C84A33" w:rsidRPr="00673ADE">
              <w:rPr>
                <w:rFonts w:asciiTheme="minorHAnsi" w:hAnsiTheme="minorHAnsi" w:cstheme="minorHAnsi"/>
                <w:color w:val="424444"/>
                <w:w w:val="105"/>
              </w:rPr>
              <w:t>powerpoint</w:t>
            </w:r>
            <w:proofErr w:type="spellEnd"/>
          </w:p>
          <w:p w:rsidR="00C84A33" w:rsidRPr="00673ADE" w:rsidRDefault="00C84A33" w:rsidP="00C84A33">
            <w:pPr>
              <w:pStyle w:val="TableParagraph"/>
              <w:spacing w:line="276" w:lineRule="auto"/>
              <w:ind w:left="102" w:firstLine="4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424444"/>
                <w:w w:val="105"/>
              </w:rPr>
              <w:t>presentation to present their findings.</w:t>
            </w:r>
          </w:p>
        </w:tc>
        <w:tc>
          <w:tcPr>
            <w:tcW w:w="2283" w:type="dxa"/>
          </w:tcPr>
          <w:p w:rsidR="00C84A33" w:rsidRPr="00673ADE" w:rsidRDefault="00C84A33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  <w:color w:val="424444"/>
                <w:w w:val="105"/>
              </w:rPr>
              <w:t>Learners to look at the benefits/pitfalls of social media. Learners to create a presentation in groups for the class to debate</w:t>
            </w:r>
            <w:r w:rsidR="00A3378E">
              <w:rPr>
                <w:rFonts w:cstheme="minorHAnsi"/>
                <w:color w:val="424444"/>
                <w:w w:val="105"/>
              </w:rPr>
              <w:t>.</w:t>
            </w:r>
          </w:p>
        </w:tc>
        <w:tc>
          <w:tcPr>
            <w:tcW w:w="2294" w:type="dxa"/>
            <w:shd w:val="clear" w:color="auto" w:fill="auto"/>
          </w:tcPr>
          <w:p w:rsidR="00C84A33" w:rsidRPr="00673ADE" w:rsidRDefault="00C84A33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 xml:space="preserve"> </w:t>
            </w:r>
            <w:r w:rsidRPr="00673ADE">
              <w:rPr>
                <w:rFonts w:cstheme="minorHAnsi"/>
                <w:color w:val="424444"/>
                <w:w w:val="105"/>
              </w:rPr>
              <w:t xml:space="preserve">Learners to research what potential college </w:t>
            </w:r>
            <w:r w:rsidRPr="00673ADE">
              <w:rPr>
                <w:rFonts w:cstheme="minorHAnsi"/>
                <w:color w:val="424444"/>
              </w:rPr>
              <w:t xml:space="preserve">courses/apprenticeships </w:t>
            </w:r>
            <w:r w:rsidRPr="00673ADE">
              <w:rPr>
                <w:rFonts w:cstheme="minorHAnsi"/>
                <w:color w:val="424444"/>
                <w:w w:val="105"/>
              </w:rPr>
              <w:t>that are available to them and the grades they would need to achieve to be accepted.</w:t>
            </w:r>
          </w:p>
        </w:tc>
      </w:tr>
      <w:tr w:rsidR="00C84A33" w:rsidRPr="00673ADE" w:rsidTr="00754238">
        <w:trPr>
          <w:trHeight w:val="1144"/>
        </w:trPr>
        <w:tc>
          <w:tcPr>
            <w:tcW w:w="2020" w:type="dxa"/>
          </w:tcPr>
          <w:p w:rsidR="00C84A33" w:rsidRPr="00673ADE" w:rsidRDefault="00C84A33" w:rsidP="00C84A33">
            <w:pPr>
              <w:jc w:val="center"/>
              <w:rPr>
                <w:rFonts w:cstheme="minorHAnsi"/>
                <w:b/>
              </w:rPr>
            </w:pPr>
            <w:bookmarkStart w:id="0" w:name="_GoBack" w:colFirst="5" w:colLast="5"/>
            <w:r w:rsidRPr="00673ADE">
              <w:rPr>
                <w:rFonts w:cstheme="minorHAnsi"/>
                <w:b/>
              </w:rPr>
              <w:t>Year 10</w:t>
            </w:r>
          </w:p>
        </w:tc>
        <w:tc>
          <w:tcPr>
            <w:tcW w:w="2377" w:type="dxa"/>
          </w:tcPr>
          <w:p w:rsidR="00C84A33" w:rsidRPr="00673ADE" w:rsidRDefault="00C84A33" w:rsidP="00C84A33">
            <w:pPr>
              <w:pStyle w:val="TableParagraph"/>
              <w:spacing w:line="244" w:lineRule="auto"/>
              <w:ind w:right="792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1F1F1F"/>
              </w:rPr>
              <w:t xml:space="preserve">Students will be given the opportunity to use the internet to research another Country to look at their spiritual, social, moral and cultural development. Learners can record their findings on a suitable software </w:t>
            </w:r>
            <w:proofErr w:type="spellStart"/>
            <w:r w:rsidRPr="00673ADE">
              <w:rPr>
                <w:rFonts w:asciiTheme="minorHAnsi" w:hAnsiTheme="minorHAnsi" w:cstheme="minorHAnsi"/>
                <w:color w:val="1F1F1F"/>
              </w:rPr>
              <w:t>programme</w:t>
            </w:r>
            <w:proofErr w:type="spellEnd"/>
            <w:r w:rsidRPr="00673ADE">
              <w:rPr>
                <w:rFonts w:asciiTheme="minorHAnsi" w:hAnsiTheme="minorHAnsi" w:cstheme="minorHAnsi"/>
                <w:color w:val="1F1F1F"/>
              </w:rPr>
              <w:t xml:space="preserve"> and save it in a separate folder. </w:t>
            </w:r>
          </w:p>
        </w:tc>
        <w:tc>
          <w:tcPr>
            <w:tcW w:w="2486" w:type="dxa"/>
          </w:tcPr>
          <w:p w:rsidR="00507C5F" w:rsidRPr="00673ADE" w:rsidRDefault="00507C5F" w:rsidP="00507C5F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 xml:space="preserve">As part of the presenting data work learners could research the healthy eating habits of their peers, and staff. Learners can then use this data to create a spreadsheet and create a graph to highlight and compare findings. 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:rsidR="00C84A33" w:rsidRPr="00673ADE" w:rsidRDefault="0091597E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>Learners to engage in discussions on equality and diversity and how this is depicted in the media and on social media platforms.</w:t>
            </w:r>
          </w:p>
        </w:tc>
        <w:tc>
          <w:tcPr>
            <w:tcW w:w="2470" w:type="dxa"/>
          </w:tcPr>
          <w:p w:rsidR="00C84A33" w:rsidRPr="00673ADE" w:rsidRDefault="00424397" w:rsidP="00C84A33">
            <w:pPr>
              <w:pStyle w:val="TableParagraph"/>
              <w:spacing w:before="21" w:line="280" w:lineRule="auto"/>
              <w:ind w:left="89" w:right="155" w:hanging="7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424444"/>
                <w:w w:val="105"/>
              </w:rPr>
              <w:t>L</w:t>
            </w:r>
            <w:r w:rsidR="00C84A33" w:rsidRPr="00673ADE">
              <w:rPr>
                <w:rFonts w:asciiTheme="minorHAnsi" w:hAnsiTheme="minorHAnsi" w:cstheme="minorHAnsi"/>
                <w:color w:val="424444"/>
                <w:w w:val="105"/>
              </w:rPr>
              <w:t xml:space="preserve">earners to think about what they want to do for a career. Learners to use the internet to research potential careers. Learners to produce a </w:t>
            </w:r>
            <w:proofErr w:type="spellStart"/>
            <w:r w:rsidR="00C84A33" w:rsidRPr="00673ADE">
              <w:rPr>
                <w:rFonts w:asciiTheme="minorHAnsi" w:hAnsiTheme="minorHAnsi" w:cstheme="minorHAnsi"/>
                <w:color w:val="424444"/>
                <w:w w:val="105"/>
              </w:rPr>
              <w:t>powerpoint</w:t>
            </w:r>
            <w:proofErr w:type="spellEnd"/>
          </w:p>
          <w:p w:rsidR="00C84A33" w:rsidRPr="00673ADE" w:rsidRDefault="00C84A33" w:rsidP="00C84A33">
            <w:pPr>
              <w:pStyle w:val="TableParagraph"/>
              <w:spacing w:line="276" w:lineRule="auto"/>
              <w:ind w:left="102" w:firstLine="4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424444"/>
                <w:w w:val="105"/>
              </w:rPr>
              <w:t>presentation to present their findings.</w:t>
            </w:r>
          </w:p>
        </w:tc>
        <w:tc>
          <w:tcPr>
            <w:tcW w:w="2283" w:type="dxa"/>
          </w:tcPr>
          <w:p w:rsidR="00C84A33" w:rsidRPr="00673ADE" w:rsidRDefault="00C84A33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  <w:color w:val="424444"/>
                <w:w w:val="105"/>
              </w:rPr>
              <w:t>Learners to look at the benefits/pitfalls of social media. Learners to create a presentation in groups for the class to debate</w:t>
            </w:r>
            <w:r w:rsidR="002F3DBA">
              <w:rPr>
                <w:rFonts w:cstheme="minorHAnsi"/>
                <w:color w:val="424444"/>
                <w:w w:val="105"/>
              </w:rPr>
              <w:t>.</w:t>
            </w:r>
          </w:p>
        </w:tc>
        <w:tc>
          <w:tcPr>
            <w:tcW w:w="2294" w:type="dxa"/>
            <w:shd w:val="clear" w:color="auto" w:fill="auto"/>
          </w:tcPr>
          <w:p w:rsidR="00C84A33" w:rsidRPr="00673ADE" w:rsidRDefault="00C84A33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  <w:color w:val="424444"/>
                <w:w w:val="105"/>
              </w:rPr>
              <w:t xml:space="preserve">Learners to research what potential college </w:t>
            </w:r>
            <w:r w:rsidRPr="00673ADE">
              <w:rPr>
                <w:rFonts w:cstheme="minorHAnsi"/>
                <w:color w:val="424444"/>
              </w:rPr>
              <w:t xml:space="preserve">courses/apprenticeships </w:t>
            </w:r>
            <w:r w:rsidRPr="00673ADE">
              <w:rPr>
                <w:rFonts w:cstheme="minorHAnsi"/>
                <w:color w:val="424444"/>
                <w:w w:val="105"/>
              </w:rPr>
              <w:t>that are available to them and the grades they would need to achieve to be accepted.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</w:tr>
      <w:tr w:rsidR="00C84A33" w:rsidRPr="00673ADE" w:rsidTr="00E5480D">
        <w:trPr>
          <w:trHeight w:val="1144"/>
        </w:trPr>
        <w:tc>
          <w:tcPr>
            <w:tcW w:w="2020" w:type="dxa"/>
          </w:tcPr>
          <w:p w:rsidR="00C84A33" w:rsidRPr="00673ADE" w:rsidRDefault="00C84A33" w:rsidP="00C84A33">
            <w:pPr>
              <w:jc w:val="center"/>
              <w:rPr>
                <w:rFonts w:cstheme="minorHAnsi"/>
                <w:b/>
              </w:rPr>
            </w:pPr>
            <w:r w:rsidRPr="00673ADE">
              <w:rPr>
                <w:rFonts w:cstheme="minorHAnsi"/>
                <w:b/>
              </w:rPr>
              <w:t>Year 11</w:t>
            </w:r>
          </w:p>
        </w:tc>
        <w:tc>
          <w:tcPr>
            <w:tcW w:w="2377" w:type="dxa"/>
          </w:tcPr>
          <w:p w:rsidR="00C84A33" w:rsidRPr="00673ADE" w:rsidRDefault="00C84A33" w:rsidP="00C84A33">
            <w:pPr>
              <w:pStyle w:val="TableParagraph"/>
              <w:spacing w:line="244" w:lineRule="auto"/>
              <w:ind w:right="792"/>
              <w:rPr>
                <w:rFonts w:asciiTheme="minorHAnsi" w:hAnsiTheme="minorHAnsi" w:cstheme="minorHAnsi"/>
              </w:rPr>
            </w:pPr>
            <w:r w:rsidRPr="00673ADE">
              <w:rPr>
                <w:rFonts w:asciiTheme="minorHAnsi" w:hAnsiTheme="minorHAnsi" w:cstheme="minorHAnsi"/>
                <w:color w:val="1F1F1F"/>
              </w:rPr>
              <w:t xml:space="preserve">Students will be given the opportunity to use the internet to research another Country to look at their spiritual, social, moral and cultural development. Learners can record their findings on a suitable software </w:t>
            </w:r>
            <w:proofErr w:type="spellStart"/>
            <w:r w:rsidRPr="00673ADE">
              <w:rPr>
                <w:rFonts w:asciiTheme="minorHAnsi" w:hAnsiTheme="minorHAnsi" w:cstheme="minorHAnsi"/>
                <w:color w:val="1F1F1F"/>
              </w:rPr>
              <w:t>programme</w:t>
            </w:r>
            <w:proofErr w:type="spellEnd"/>
            <w:r w:rsidRPr="00673ADE">
              <w:rPr>
                <w:rFonts w:asciiTheme="minorHAnsi" w:hAnsiTheme="minorHAnsi" w:cstheme="minorHAnsi"/>
                <w:color w:val="1F1F1F"/>
              </w:rPr>
              <w:t xml:space="preserve"> and save it in a separate folder. </w:t>
            </w:r>
          </w:p>
        </w:tc>
        <w:tc>
          <w:tcPr>
            <w:tcW w:w="2486" w:type="dxa"/>
          </w:tcPr>
          <w:p w:rsidR="00C84A33" w:rsidRPr="00673ADE" w:rsidRDefault="00B65B60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 xml:space="preserve">As part of the presenting data work learners could research the healthy eating habits of their peers, and staff. Learners can then use this data to create a spreadsheet and create a graph to highlight and compare findings. 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  <w:tc>
          <w:tcPr>
            <w:tcW w:w="2108" w:type="dxa"/>
          </w:tcPr>
          <w:p w:rsidR="00C84A33" w:rsidRPr="00673ADE" w:rsidRDefault="00424397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>Learners to engage in discussions on equality and diversity and how this is depicted in the media and on social media platforms.</w:t>
            </w:r>
          </w:p>
        </w:tc>
        <w:tc>
          <w:tcPr>
            <w:tcW w:w="2470" w:type="dxa"/>
          </w:tcPr>
          <w:p w:rsidR="00C84A33" w:rsidRPr="00673ADE" w:rsidRDefault="00534348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</w:rPr>
              <w:t xml:space="preserve">Learners to research potential </w:t>
            </w:r>
            <w:proofErr w:type="spellStart"/>
            <w:r w:rsidRPr="00673ADE">
              <w:rPr>
                <w:rFonts w:cstheme="minorHAnsi"/>
              </w:rPr>
              <w:t>caeers</w:t>
            </w:r>
            <w:proofErr w:type="spellEnd"/>
            <w:r w:rsidRPr="00673ADE">
              <w:rPr>
                <w:rFonts w:cstheme="minorHAnsi"/>
              </w:rPr>
              <w:t xml:space="preserve"> that will use ICT to help form their plan for post 16 education.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:rsidR="00C84A33" w:rsidRPr="00673ADE" w:rsidRDefault="00C84A33" w:rsidP="00C84A33">
            <w:pPr>
              <w:rPr>
                <w:rFonts w:cstheme="minorHAnsi"/>
              </w:rPr>
            </w:pPr>
            <w:r w:rsidRPr="00673ADE">
              <w:rPr>
                <w:rFonts w:cstheme="minorHAnsi"/>
                <w:color w:val="1F1F1F"/>
                <w:w w:val="105"/>
              </w:rPr>
              <w:t>Learners to look at social media and its effects on society. Learners to research the effects of social media on society and prepare a report on their findings.</w:t>
            </w:r>
          </w:p>
          <w:p w:rsidR="00C84A33" w:rsidRPr="00673ADE" w:rsidRDefault="00C84A33" w:rsidP="00C84A33">
            <w:pPr>
              <w:rPr>
                <w:rFonts w:cstheme="minorHAnsi"/>
              </w:rPr>
            </w:pPr>
          </w:p>
        </w:tc>
        <w:tc>
          <w:tcPr>
            <w:tcW w:w="2294" w:type="dxa"/>
            <w:shd w:val="clear" w:color="auto" w:fill="000000" w:themeFill="text1"/>
          </w:tcPr>
          <w:p w:rsidR="00C84A33" w:rsidRPr="00673ADE" w:rsidRDefault="00C84A33" w:rsidP="00C84A33">
            <w:pPr>
              <w:rPr>
                <w:rFonts w:cstheme="minorHAnsi"/>
              </w:rPr>
            </w:pPr>
          </w:p>
        </w:tc>
      </w:tr>
      <w:bookmarkEnd w:id="0"/>
    </w:tbl>
    <w:p w:rsidR="0050065B" w:rsidRPr="00673ADE" w:rsidRDefault="0050065B">
      <w:pPr>
        <w:rPr>
          <w:rFonts w:cstheme="minorHAnsi"/>
        </w:rPr>
      </w:pPr>
    </w:p>
    <w:sectPr w:rsidR="0050065B" w:rsidRPr="00673ADE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121F4"/>
    <w:rsid w:val="00037A4F"/>
    <w:rsid w:val="0008019B"/>
    <w:rsid w:val="000803DC"/>
    <w:rsid w:val="000C2542"/>
    <w:rsid w:val="000F1598"/>
    <w:rsid w:val="00104768"/>
    <w:rsid w:val="001A1413"/>
    <w:rsid w:val="00240401"/>
    <w:rsid w:val="002F3DBA"/>
    <w:rsid w:val="00424397"/>
    <w:rsid w:val="00456A52"/>
    <w:rsid w:val="004C17AC"/>
    <w:rsid w:val="0050065B"/>
    <w:rsid w:val="00507C5F"/>
    <w:rsid w:val="00534348"/>
    <w:rsid w:val="005D7297"/>
    <w:rsid w:val="005E1607"/>
    <w:rsid w:val="00673ADE"/>
    <w:rsid w:val="006F2B4C"/>
    <w:rsid w:val="00754238"/>
    <w:rsid w:val="008B212B"/>
    <w:rsid w:val="00906771"/>
    <w:rsid w:val="0091597E"/>
    <w:rsid w:val="009303C8"/>
    <w:rsid w:val="00932C29"/>
    <w:rsid w:val="0095042E"/>
    <w:rsid w:val="009717CE"/>
    <w:rsid w:val="009E4DB1"/>
    <w:rsid w:val="00A21174"/>
    <w:rsid w:val="00A3378E"/>
    <w:rsid w:val="00B003F0"/>
    <w:rsid w:val="00B62E6F"/>
    <w:rsid w:val="00B65B60"/>
    <w:rsid w:val="00B9769E"/>
    <w:rsid w:val="00C84A33"/>
    <w:rsid w:val="00CE1322"/>
    <w:rsid w:val="00CE74B4"/>
    <w:rsid w:val="00D57428"/>
    <w:rsid w:val="00E22774"/>
    <w:rsid w:val="00E4041E"/>
    <w:rsid w:val="00E5480D"/>
    <w:rsid w:val="00F22D02"/>
    <w:rsid w:val="00F661AD"/>
    <w:rsid w:val="00F90C59"/>
    <w:rsid w:val="00FC4CD1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EEC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2D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Lauren O'Regan</cp:lastModifiedBy>
  <cp:revision>28</cp:revision>
  <cp:lastPrinted>2019-06-17T07:48:00Z</cp:lastPrinted>
  <dcterms:created xsi:type="dcterms:W3CDTF">2020-06-26T11:44:00Z</dcterms:created>
  <dcterms:modified xsi:type="dcterms:W3CDTF">2020-06-26T12:40:00Z</dcterms:modified>
</cp:coreProperties>
</file>