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998" w:type="dxa"/>
        <w:tblLook w:val="04A0" w:firstRow="1" w:lastRow="0" w:firstColumn="1" w:lastColumn="0" w:noHBand="0" w:noVBand="1"/>
      </w:tblPr>
      <w:tblGrid>
        <w:gridCol w:w="3414"/>
        <w:gridCol w:w="2416"/>
        <w:gridCol w:w="2416"/>
        <w:gridCol w:w="2418"/>
        <w:gridCol w:w="2418"/>
        <w:gridCol w:w="2937"/>
      </w:tblGrid>
      <w:tr w:rsidR="00456A52" w:rsidTr="0008019B">
        <w:trPr>
          <w:trHeight w:val="264"/>
        </w:trPr>
        <w:tc>
          <w:tcPr>
            <w:tcW w:w="16019" w:type="dxa"/>
            <w:gridSpan w:val="6"/>
            <w:shd w:val="clear" w:color="auto" w:fill="A6A6A6" w:themeFill="background1" w:themeFillShade="A6"/>
          </w:tcPr>
          <w:p w:rsidR="00456A52" w:rsidRPr="006F2B4C" w:rsidRDefault="00456A52" w:rsidP="00456A52">
            <w:pPr>
              <w:jc w:val="center"/>
              <w:rPr>
                <w:b/>
              </w:rPr>
            </w:pPr>
            <w:r w:rsidRPr="006F2B4C">
              <w:rPr>
                <w:b/>
                <w:sz w:val="28"/>
              </w:rPr>
              <w:t>Personal Development Themes</w:t>
            </w:r>
          </w:p>
        </w:tc>
      </w:tr>
      <w:tr w:rsidR="00456A52" w:rsidTr="0008019B">
        <w:trPr>
          <w:trHeight w:val="250"/>
        </w:trPr>
        <w:tc>
          <w:tcPr>
            <w:tcW w:w="3414" w:type="dxa"/>
            <w:shd w:val="clear" w:color="auto" w:fill="F2F2F2" w:themeFill="background1" w:themeFillShade="F2"/>
          </w:tcPr>
          <w:p w:rsidR="00456A52" w:rsidRPr="000F1598" w:rsidRDefault="00456A52" w:rsidP="000F1598">
            <w:pPr>
              <w:jc w:val="center"/>
              <w:rPr>
                <w:b/>
              </w:rPr>
            </w:pPr>
            <w:r w:rsidRPr="000F1598">
              <w:rPr>
                <w:b/>
              </w:rPr>
              <w:t>Autumn 1</w:t>
            </w:r>
          </w:p>
        </w:tc>
        <w:tc>
          <w:tcPr>
            <w:tcW w:w="2416" w:type="dxa"/>
            <w:shd w:val="clear" w:color="auto" w:fill="F2F2F2" w:themeFill="background1" w:themeFillShade="F2"/>
          </w:tcPr>
          <w:p w:rsidR="00456A52" w:rsidRPr="000F1598" w:rsidRDefault="00456A52" w:rsidP="000F1598">
            <w:pPr>
              <w:jc w:val="center"/>
              <w:rPr>
                <w:b/>
              </w:rPr>
            </w:pPr>
            <w:r w:rsidRPr="000F1598">
              <w:rPr>
                <w:b/>
              </w:rPr>
              <w:t>Autumn 2</w:t>
            </w:r>
          </w:p>
        </w:tc>
        <w:tc>
          <w:tcPr>
            <w:tcW w:w="2416" w:type="dxa"/>
            <w:shd w:val="clear" w:color="auto" w:fill="F2F2F2" w:themeFill="background1" w:themeFillShade="F2"/>
          </w:tcPr>
          <w:p w:rsidR="00456A52" w:rsidRPr="000F1598" w:rsidRDefault="00456A52" w:rsidP="000F1598">
            <w:pPr>
              <w:jc w:val="center"/>
              <w:rPr>
                <w:b/>
              </w:rPr>
            </w:pPr>
            <w:r w:rsidRPr="000F1598">
              <w:rPr>
                <w:b/>
              </w:rPr>
              <w:t>Spring 1</w:t>
            </w:r>
          </w:p>
        </w:tc>
        <w:tc>
          <w:tcPr>
            <w:tcW w:w="2418" w:type="dxa"/>
            <w:shd w:val="clear" w:color="auto" w:fill="F2F2F2" w:themeFill="background1" w:themeFillShade="F2"/>
          </w:tcPr>
          <w:p w:rsidR="00456A52" w:rsidRPr="000F1598" w:rsidRDefault="00456A52" w:rsidP="000F1598">
            <w:pPr>
              <w:jc w:val="center"/>
              <w:rPr>
                <w:b/>
              </w:rPr>
            </w:pPr>
            <w:r w:rsidRPr="000F1598">
              <w:rPr>
                <w:b/>
              </w:rPr>
              <w:t>Spring 2</w:t>
            </w:r>
          </w:p>
        </w:tc>
        <w:tc>
          <w:tcPr>
            <w:tcW w:w="2418" w:type="dxa"/>
            <w:shd w:val="clear" w:color="auto" w:fill="F2F2F2" w:themeFill="background1" w:themeFillShade="F2"/>
          </w:tcPr>
          <w:p w:rsidR="00456A52" w:rsidRPr="000F1598" w:rsidRDefault="00456A52" w:rsidP="000F1598">
            <w:pPr>
              <w:jc w:val="center"/>
              <w:rPr>
                <w:b/>
              </w:rPr>
            </w:pPr>
            <w:r w:rsidRPr="000F1598">
              <w:rPr>
                <w:b/>
              </w:rPr>
              <w:t>Summer 1</w:t>
            </w:r>
          </w:p>
        </w:tc>
        <w:tc>
          <w:tcPr>
            <w:tcW w:w="2937" w:type="dxa"/>
            <w:shd w:val="clear" w:color="auto" w:fill="F2F2F2" w:themeFill="background1" w:themeFillShade="F2"/>
          </w:tcPr>
          <w:p w:rsidR="00456A52" w:rsidRPr="000F1598" w:rsidRDefault="00456A52" w:rsidP="000F1598">
            <w:pPr>
              <w:jc w:val="center"/>
              <w:rPr>
                <w:b/>
              </w:rPr>
            </w:pPr>
            <w:r w:rsidRPr="000F1598">
              <w:rPr>
                <w:b/>
              </w:rPr>
              <w:t>Summer 2</w:t>
            </w:r>
          </w:p>
        </w:tc>
      </w:tr>
      <w:tr w:rsidR="00456A52" w:rsidTr="0008019B">
        <w:trPr>
          <w:trHeight w:val="250"/>
        </w:trPr>
        <w:tc>
          <w:tcPr>
            <w:tcW w:w="3414" w:type="dxa"/>
          </w:tcPr>
          <w:p w:rsidR="00456A52" w:rsidRDefault="000F1598" w:rsidP="000F1598">
            <w:pPr>
              <w:pStyle w:val="ListParagraph"/>
              <w:numPr>
                <w:ilvl w:val="0"/>
                <w:numId w:val="3"/>
              </w:numPr>
            </w:pPr>
            <w:r>
              <w:t>Spiritual, moral, social and cultural development</w:t>
            </w:r>
          </w:p>
        </w:tc>
        <w:tc>
          <w:tcPr>
            <w:tcW w:w="2416" w:type="dxa"/>
          </w:tcPr>
          <w:p w:rsidR="00456A52" w:rsidRDefault="000F1598" w:rsidP="000F1598">
            <w:pPr>
              <w:pStyle w:val="ListParagraph"/>
              <w:numPr>
                <w:ilvl w:val="0"/>
                <w:numId w:val="3"/>
              </w:numPr>
            </w:pPr>
            <w:r>
              <w:t>Healthy living</w:t>
            </w:r>
          </w:p>
          <w:p w:rsidR="000F1598" w:rsidRDefault="000F1598" w:rsidP="000F1598">
            <w:pPr>
              <w:pStyle w:val="ListParagraph"/>
              <w:numPr>
                <w:ilvl w:val="0"/>
                <w:numId w:val="3"/>
              </w:numPr>
            </w:pPr>
            <w:r>
              <w:t>British Values</w:t>
            </w:r>
          </w:p>
        </w:tc>
        <w:tc>
          <w:tcPr>
            <w:tcW w:w="2416" w:type="dxa"/>
          </w:tcPr>
          <w:p w:rsidR="00456A52" w:rsidRDefault="000F1598" w:rsidP="000F1598">
            <w:pPr>
              <w:pStyle w:val="ListParagraph"/>
              <w:numPr>
                <w:ilvl w:val="0"/>
                <w:numId w:val="6"/>
              </w:numPr>
            </w:pPr>
            <w:r>
              <w:t>Equality and diversity</w:t>
            </w:r>
          </w:p>
        </w:tc>
        <w:tc>
          <w:tcPr>
            <w:tcW w:w="2418" w:type="dxa"/>
          </w:tcPr>
          <w:p w:rsidR="00456A52" w:rsidRDefault="000F1598" w:rsidP="000F1598">
            <w:pPr>
              <w:pStyle w:val="ListParagraph"/>
              <w:numPr>
                <w:ilvl w:val="0"/>
                <w:numId w:val="6"/>
              </w:numPr>
            </w:pPr>
            <w:r>
              <w:t>Careers guidance</w:t>
            </w:r>
          </w:p>
        </w:tc>
        <w:tc>
          <w:tcPr>
            <w:tcW w:w="2418" w:type="dxa"/>
          </w:tcPr>
          <w:p w:rsidR="00456A52" w:rsidRDefault="000F1598" w:rsidP="000F1598">
            <w:pPr>
              <w:pStyle w:val="ListParagraph"/>
              <w:numPr>
                <w:ilvl w:val="0"/>
                <w:numId w:val="5"/>
              </w:numPr>
            </w:pPr>
            <w:r>
              <w:t>Citizenship</w:t>
            </w:r>
          </w:p>
        </w:tc>
        <w:tc>
          <w:tcPr>
            <w:tcW w:w="2937" w:type="dxa"/>
          </w:tcPr>
          <w:p w:rsidR="00456A52" w:rsidRDefault="000F1598" w:rsidP="000F1598">
            <w:pPr>
              <w:pStyle w:val="ListParagraph"/>
              <w:numPr>
                <w:ilvl w:val="0"/>
                <w:numId w:val="4"/>
              </w:numPr>
            </w:pPr>
            <w:r>
              <w:t>Preparation for next stage</w:t>
            </w:r>
          </w:p>
        </w:tc>
      </w:tr>
    </w:tbl>
    <w:p w:rsidR="004C17AC" w:rsidRPr="004C17AC" w:rsidRDefault="004C17AC" w:rsidP="00932C29"/>
    <w:tbl>
      <w:tblPr>
        <w:tblStyle w:val="TableGrid"/>
        <w:tblW w:w="16038" w:type="dxa"/>
        <w:tblInd w:w="-1025" w:type="dxa"/>
        <w:tblLook w:val="04A0" w:firstRow="1" w:lastRow="0" w:firstColumn="1" w:lastColumn="0" w:noHBand="0" w:noVBand="1"/>
      </w:tblPr>
      <w:tblGrid>
        <w:gridCol w:w="1162"/>
        <w:gridCol w:w="2479"/>
        <w:gridCol w:w="2479"/>
        <w:gridCol w:w="2480"/>
        <w:gridCol w:w="2479"/>
        <w:gridCol w:w="2479"/>
        <w:gridCol w:w="2480"/>
      </w:tblGrid>
      <w:tr w:rsidR="009717CE" w:rsidTr="002769D8">
        <w:trPr>
          <w:trHeight w:val="339"/>
        </w:trPr>
        <w:tc>
          <w:tcPr>
            <w:tcW w:w="1162" w:type="dxa"/>
          </w:tcPr>
          <w:p w:rsidR="009717CE" w:rsidRPr="002769D8" w:rsidRDefault="009717CE" w:rsidP="002769D8">
            <w:pPr>
              <w:jc w:val="center"/>
              <w:rPr>
                <w:b/>
              </w:rPr>
            </w:pPr>
            <w:r w:rsidRPr="006F2B4C">
              <w:rPr>
                <w:b/>
              </w:rPr>
              <w:t>Subject</w:t>
            </w:r>
          </w:p>
        </w:tc>
        <w:tc>
          <w:tcPr>
            <w:tcW w:w="2479" w:type="dxa"/>
            <w:shd w:val="clear" w:color="auto" w:fill="F2F2F2" w:themeFill="background1" w:themeFillShade="F2"/>
          </w:tcPr>
          <w:p w:rsidR="009717CE" w:rsidRPr="0050065B" w:rsidRDefault="009717CE" w:rsidP="0050065B">
            <w:pPr>
              <w:jc w:val="center"/>
              <w:rPr>
                <w:b/>
              </w:rPr>
            </w:pPr>
            <w:r>
              <w:rPr>
                <w:b/>
              </w:rPr>
              <w:t>Autumn 1</w:t>
            </w:r>
          </w:p>
        </w:tc>
        <w:tc>
          <w:tcPr>
            <w:tcW w:w="2479" w:type="dxa"/>
            <w:shd w:val="clear" w:color="auto" w:fill="F2F2F2" w:themeFill="background1" w:themeFillShade="F2"/>
          </w:tcPr>
          <w:p w:rsidR="009717CE" w:rsidRPr="0050065B" w:rsidRDefault="009717CE" w:rsidP="0050065B">
            <w:pPr>
              <w:jc w:val="center"/>
              <w:rPr>
                <w:b/>
              </w:rPr>
            </w:pPr>
            <w:r>
              <w:rPr>
                <w:b/>
              </w:rPr>
              <w:t>Autumn 2</w:t>
            </w:r>
          </w:p>
        </w:tc>
        <w:tc>
          <w:tcPr>
            <w:tcW w:w="2480" w:type="dxa"/>
            <w:shd w:val="clear" w:color="auto" w:fill="F2F2F2" w:themeFill="background1" w:themeFillShade="F2"/>
          </w:tcPr>
          <w:p w:rsidR="009717CE" w:rsidRPr="0050065B" w:rsidRDefault="009717CE" w:rsidP="0050065B">
            <w:pPr>
              <w:jc w:val="center"/>
              <w:rPr>
                <w:b/>
              </w:rPr>
            </w:pPr>
            <w:r>
              <w:rPr>
                <w:b/>
              </w:rPr>
              <w:t>Spring 1</w:t>
            </w:r>
          </w:p>
        </w:tc>
        <w:tc>
          <w:tcPr>
            <w:tcW w:w="2479" w:type="dxa"/>
            <w:shd w:val="clear" w:color="auto" w:fill="F2F2F2" w:themeFill="background1" w:themeFillShade="F2"/>
          </w:tcPr>
          <w:p w:rsidR="009717CE" w:rsidRPr="0050065B" w:rsidRDefault="009717CE" w:rsidP="0050065B">
            <w:pPr>
              <w:jc w:val="center"/>
              <w:rPr>
                <w:b/>
              </w:rPr>
            </w:pPr>
            <w:r>
              <w:rPr>
                <w:b/>
              </w:rPr>
              <w:t>Spring 2</w:t>
            </w:r>
          </w:p>
        </w:tc>
        <w:tc>
          <w:tcPr>
            <w:tcW w:w="2479" w:type="dxa"/>
            <w:shd w:val="clear" w:color="auto" w:fill="F2F2F2" w:themeFill="background1" w:themeFillShade="F2"/>
          </w:tcPr>
          <w:p w:rsidR="009717CE" w:rsidRPr="0050065B" w:rsidRDefault="009717CE" w:rsidP="0050065B">
            <w:pPr>
              <w:jc w:val="center"/>
              <w:rPr>
                <w:b/>
              </w:rPr>
            </w:pPr>
            <w:r>
              <w:rPr>
                <w:b/>
              </w:rPr>
              <w:t>Summer 1</w:t>
            </w:r>
          </w:p>
        </w:tc>
        <w:tc>
          <w:tcPr>
            <w:tcW w:w="2480" w:type="dxa"/>
            <w:shd w:val="clear" w:color="auto" w:fill="F2F2F2" w:themeFill="background1" w:themeFillShade="F2"/>
          </w:tcPr>
          <w:p w:rsidR="009717CE" w:rsidRDefault="009717CE" w:rsidP="0050065B">
            <w:pPr>
              <w:jc w:val="center"/>
              <w:rPr>
                <w:b/>
              </w:rPr>
            </w:pPr>
            <w:r>
              <w:rPr>
                <w:b/>
              </w:rPr>
              <w:t>Summer 2</w:t>
            </w:r>
          </w:p>
        </w:tc>
      </w:tr>
      <w:tr w:rsidR="006F2B4C" w:rsidTr="002769D8">
        <w:trPr>
          <w:trHeight w:val="1144"/>
        </w:trPr>
        <w:tc>
          <w:tcPr>
            <w:tcW w:w="1162" w:type="dxa"/>
          </w:tcPr>
          <w:p w:rsidR="006F2B4C" w:rsidRPr="004C17AC" w:rsidRDefault="006F2B4C" w:rsidP="006F2B4C">
            <w:pPr>
              <w:jc w:val="center"/>
              <w:rPr>
                <w:b/>
              </w:rPr>
            </w:pPr>
            <w:r>
              <w:rPr>
                <w:b/>
              </w:rPr>
              <w:t>Year 9</w:t>
            </w:r>
          </w:p>
        </w:tc>
        <w:tc>
          <w:tcPr>
            <w:tcW w:w="2479" w:type="dxa"/>
          </w:tcPr>
          <w:p w:rsidR="00754238" w:rsidRDefault="00FC1404" w:rsidP="00900260">
            <w:r>
              <w:t xml:space="preserve">Explore the concept of self-esteem, </w:t>
            </w:r>
            <w:proofErr w:type="spellStart"/>
            <w:r w:rsidR="00900260">
              <w:t>maslow’s</w:t>
            </w:r>
            <w:proofErr w:type="spellEnd"/>
            <w:r w:rsidR="00900260">
              <w:t xml:space="preserve"> hierarchy and the ethics behind bullying and financial decision e.g. fair trade</w:t>
            </w:r>
          </w:p>
        </w:tc>
        <w:tc>
          <w:tcPr>
            <w:tcW w:w="2479" w:type="dxa"/>
          </w:tcPr>
          <w:p w:rsidR="0095042E" w:rsidRDefault="00FF4E58" w:rsidP="006F2B4C">
            <w:r>
              <w:t xml:space="preserve"> </w:t>
            </w:r>
            <w:r w:rsidR="00900260">
              <w:t>To look at healthy living in terms of personal finance and the impact debt can have on individuals.</w:t>
            </w:r>
          </w:p>
        </w:tc>
        <w:tc>
          <w:tcPr>
            <w:tcW w:w="2480" w:type="dxa"/>
          </w:tcPr>
          <w:p w:rsidR="00FF4E58" w:rsidRDefault="00900260" w:rsidP="006F2B4C">
            <w:r>
              <w:t xml:space="preserve">To explore mutual friendships and relationships. To look at heritage in the UK and the cultures that formed Britain and the contributions different ethnicities have had/do have in this country. </w:t>
            </w:r>
          </w:p>
        </w:tc>
        <w:tc>
          <w:tcPr>
            <w:tcW w:w="2479" w:type="dxa"/>
          </w:tcPr>
          <w:p w:rsidR="00A21174" w:rsidRDefault="00900260" w:rsidP="006F2B4C">
            <w:r>
              <w:t>To look at different careers related to the health industry and the financial markets related to this e.g. soft drinks, caffeine, gyms, exercise, health food, cigarettes, diets and drugs (legal and illegal)</w:t>
            </w:r>
          </w:p>
        </w:tc>
        <w:tc>
          <w:tcPr>
            <w:tcW w:w="2479" w:type="dxa"/>
          </w:tcPr>
          <w:p w:rsidR="00CE1322" w:rsidRDefault="00900260" w:rsidP="006F2B4C">
            <w:r>
              <w:t xml:space="preserve">To have some understanding of different groups in society including those with mental health issues, teenagers and some of their rights, FGM. </w:t>
            </w:r>
          </w:p>
        </w:tc>
        <w:tc>
          <w:tcPr>
            <w:tcW w:w="2480" w:type="dxa"/>
            <w:shd w:val="clear" w:color="auto" w:fill="auto"/>
          </w:tcPr>
          <w:p w:rsidR="00754238" w:rsidRDefault="00754238" w:rsidP="006F2B4C">
            <w:r>
              <w:t xml:space="preserve"> </w:t>
            </w:r>
            <w:r w:rsidR="00900260">
              <w:t xml:space="preserve">Further explore puberty and growing up and the safety and responsibilities related to this. To explore dangers when not at home and the impact this can have on young people. </w:t>
            </w:r>
          </w:p>
        </w:tc>
      </w:tr>
      <w:tr w:rsidR="002769D8" w:rsidTr="002769D8">
        <w:trPr>
          <w:trHeight w:val="1144"/>
        </w:trPr>
        <w:tc>
          <w:tcPr>
            <w:tcW w:w="1162" w:type="dxa"/>
          </w:tcPr>
          <w:p w:rsidR="002769D8" w:rsidRPr="004C17AC" w:rsidRDefault="002769D8" w:rsidP="002769D8">
            <w:pPr>
              <w:jc w:val="center"/>
              <w:rPr>
                <w:b/>
              </w:rPr>
            </w:pPr>
            <w:r>
              <w:rPr>
                <w:b/>
              </w:rPr>
              <w:t>Year 10</w:t>
            </w:r>
          </w:p>
        </w:tc>
        <w:tc>
          <w:tcPr>
            <w:tcW w:w="2479" w:type="dxa"/>
          </w:tcPr>
          <w:p w:rsidR="002769D8" w:rsidRDefault="002769D8" w:rsidP="002769D8">
            <w:r>
              <w:t xml:space="preserve">Explore the concept of self-esteem, </w:t>
            </w:r>
            <w:proofErr w:type="spellStart"/>
            <w:r>
              <w:t>maslow’s</w:t>
            </w:r>
            <w:proofErr w:type="spellEnd"/>
            <w:r>
              <w:t xml:space="preserve"> hierarchy and the ethics behind bullying and financial decision e.g. fair trade</w:t>
            </w:r>
          </w:p>
        </w:tc>
        <w:tc>
          <w:tcPr>
            <w:tcW w:w="2479" w:type="dxa"/>
          </w:tcPr>
          <w:p w:rsidR="002769D8" w:rsidRDefault="002769D8" w:rsidP="002769D8">
            <w:r>
              <w:t xml:space="preserve"> To look at healthy living in terms of personal finance and the impact debt can have on individuals.</w:t>
            </w:r>
          </w:p>
        </w:tc>
        <w:tc>
          <w:tcPr>
            <w:tcW w:w="2480" w:type="dxa"/>
          </w:tcPr>
          <w:p w:rsidR="002769D8" w:rsidRDefault="002769D8" w:rsidP="002769D8">
            <w:r>
              <w:t xml:space="preserve">To explore mutual friendships and relationships. To look at heritage in the UK and the cultures that formed Britain and the contributions different ethnicities have had/do have in this country. </w:t>
            </w:r>
          </w:p>
        </w:tc>
        <w:tc>
          <w:tcPr>
            <w:tcW w:w="2479" w:type="dxa"/>
          </w:tcPr>
          <w:p w:rsidR="002769D8" w:rsidRDefault="002769D8" w:rsidP="002769D8">
            <w:r>
              <w:t>To look at different careers related to the health industry and the financial markets related to this e.g. soft drinks, caffeine, gyms, exercise, health food, cigarettes, diets and drugs (legal and illegal)</w:t>
            </w:r>
          </w:p>
        </w:tc>
        <w:tc>
          <w:tcPr>
            <w:tcW w:w="2479" w:type="dxa"/>
          </w:tcPr>
          <w:p w:rsidR="002769D8" w:rsidRDefault="002769D8" w:rsidP="002769D8">
            <w:r>
              <w:t xml:space="preserve">To have some understanding of different groups in society including those with mental health issues, teenagers and some of their rights, FGM. </w:t>
            </w:r>
          </w:p>
        </w:tc>
        <w:tc>
          <w:tcPr>
            <w:tcW w:w="2480" w:type="dxa"/>
            <w:shd w:val="clear" w:color="auto" w:fill="auto"/>
          </w:tcPr>
          <w:p w:rsidR="002769D8" w:rsidRDefault="002769D8" w:rsidP="002769D8">
            <w:r>
              <w:t xml:space="preserve"> Further explore puberty and growing up and the safety and responsibilities related to this. To explore dangers when not at home and the impact this can have on young people. </w:t>
            </w:r>
          </w:p>
        </w:tc>
      </w:tr>
      <w:tr w:rsidR="00431C3D" w:rsidTr="002769D8">
        <w:trPr>
          <w:trHeight w:val="1144"/>
        </w:trPr>
        <w:tc>
          <w:tcPr>
            <w:tcW w:w="1162" w:type="dxa"/>
          </w:tcPr>
          <w:p w:rsidR="00431C3D" w:rsidRPr="004C17AC" w:rsidRDefault="00431C3D" w:rsidP="00431C3D">
            <w:pPr>
              <w:jc w:val="center"/>
              <w:rPr>
                <w:b/>
              </w:rPr>
            </w:pPr>
            <w:r>
              <w:rPr>
                <w:b/>
              </w:rPr>
              <w:t>Year 11</w:t>
            </w:r>
          </w:p>
        </w:tc>
        <w:tc>
          <w:tcPr>
            <w:tcW w:w="2479" w:type="dxa"/>
          </w:tcPr>
          <w:p w:rsidR="00431C3D" w:rsidRDefault="00431C3D" w:rsidP="00431C3D">
            <w:r>
              <w:t>To look at the moral issues surrounding drugs and alcohol. Impact on families and society. A discussion around different beliefs in society about intoxication.</w:t>
            </w:r>
          </w:p>
        </w:tc>
        <w:tc>
          <w:tcPr>
            <w:tcW w:w="2479" w:type="dxa"/>
          </w:tcPr>
          <w:p w:rsidR="00431C3D" w:rsidRDefault="00FC1404" w:rsidP="00431C3D">
            <w:r>
              <w:t xml:space="preserve">To look at the impact of stress on healthy living and how this can lead to further negative </w:t>
            </w:r>
            <w:proofErr w:type="spellStart"/>
            <w:r>
              <w:t>reponses</w:t>
            </w:r>
            <w:proofErr w:type="spellEnd"/>
            <w:r>
              <w:t xml:space="preserve"> leading to unhealthy lifestyles. To explore strategies for managing health.</w:t>
            </w:r>
          </w:p>
        </w:tc>
        <w:tc>
          <w:tcPr>
            <w:tcW w:w="2480" w:type="dxa"/>
          </w:tcPr>
          <w:p w:rsidR="00FC1404" w:rsidRDefault="00FC1404" w:rsidP="00431C3D">
            <w:r>
              <w:t>To look at the difference responses to stress and how triggers are different for different people and positive ways to support this</w:t>
            </w:r>
          </w:p>
        </w:tc>
        <w:tc>
          <w:tcPr>
            <w:tcW w:w="2479" w:type="dxa"/>
          </w:tcPr>
          <w:p w:rsidR="00431C3D" w:rsidRDefault="00FC1404" w:rsidP="00FC1404">
            <w:r>
              <w:t>To explore sexual health and the job roles related to supporting people needing sexual health/relationships support</w:t>
            </w:r>
          </w:p>
        </w:tc>
        <w:tc>
          <w:tcPr>
            <w:tcW w:w="2479" w:type="dxa"/>
          </w:tcPr>
          <w:p w:rsidR="00431C3D" w:rsidRDefault="00FC1404" w:rsidP="00431C3D">
            <w:r>
              <w:t>To look at the wider impact of negative relationships and sexual health on society as a whole</w:t>
            </w:r>
          </w:p>
          <w:p w:rsidR="00431C3D" w:rsidRDefault="00431C3D" w:rsidP="00431C3D"/>
        </w:tc>
        <w:tc>
          <w:tcPr>
            <w:tcW w:w="2480" w:type="dxa"/>
            <w:shd w:val="clear" w:color="auto" w:fill="000000" w:themeFill="text1"/>
          </w:tcPr>
          <w:p w:rsidR="00431C3D" w:rsidRDefault="00431C3D" w:rsidP="00431C3D"/>
        </w:tc>
      </w:tr>
    </w:tbl>
    <w:p w:rsidR="0050065B" w:rsidRDefault="0050065B">
      <w:bookmarkStart w:id="0" w:name="_GoBack"/>
      <w:bookmarkEnd w:id="0"/>
    </w:p>
    <w:sectPr w:rsidR="0050065B" w:rsidSect="0050065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F4" w:rsidRDefault="000121F4" w:rsidP="00932C29">
      <w:pPr>
        <w:spacing w:after="0" w:line="240" w:lineRule="auto"/>
      </w:pPr>
      <w:r>
        <w:separator/>
      </w:r>
    </w:p>
  </w:endnote>
  <w:endnote w:type="continuationSeparator" w:id="0">
    <w:p w:rsidR="000121F4" w:rsidRDefault="000121F4" w:rsidP="0093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F4" w:rsidRDefault="000121F4" w:rsidP="00932C29">
      <w:pPr>
        <w:spacing w:after="0" w:line="240" w:lineRule="auto"/>
      </w:pPr>
      <w:r>
        <w:separator/>
      </w:r>
    </w:p>
  </w:footnote>
  <w:footnote w:type="continuationSeparator" w:id="0">
    <w:p w:rsidR="000121F4" w:rsidRDefault="000121F4" w:rsidP="00932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174" w:rsidRPr="00CE74B4" w:rsidRDefault="00A21174" w:rsidP="000F1598">
    <w:pPr>
      <w:rPr>
        <w:b/>
        <w:sz w:val="36"/>
      </w:rPr>
    </w:pPr>
    <w:r w:rsidRPr="00CE74B4">
      <w:rPr>
        <w:b/>
        <w:sz w:val="36"/>
      </w:rPr>
      <w:t>Personal Development</w:t>
    </w:r>
    <w:r w:rsidR="00037A4F">
      <w:rPr>
        <w:b/>
        <w:sz w:val="36"/>
      </w:rPr>
      <w:t xml:space="preserve"> 2020-2021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E04"/>
    <w:multiLevelType w:val="hybridMultilevel"/>
    <w:tmpl w:val="143CB100"/>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747EC"/>
    <w:multiLevelType w:val="hybridMultilevel"/>
    <w:tmpl w:val="838ADA94"/>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E3F75"/>
    <w:multiLevelType w:val="hybridMultilevel"/>
    <w:tmpl w:val="8552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F70DD"/>
    <w:multiLevelType w:val="hybridMultilevel"/>
    <w:tmpl w:val="4094D49C"/>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9569E"/>
    <w:multiLevelType w:val="hybridMultilevel"/>
    <w:tmpl w:val="7AD24AA6"/>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C33C9"/>
    <w:multiLevelType w:val="hybridMultilevel"/>
    <w:tmpl w:val="ED14B034"/>
    <w:lvl w:ilvl="0" w:tplc="4F84E4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5B"/>
    <w:rsid w:val="000121F4"/>
    <w:rsid w:val="00037A4F"/>
    <w:rsid w:val="0008019B"/>
    <w:rsid w:val="000803DC"/>
    <w:rsid w:val="000C2542"/>
    <w:rsid w:val="000F1598"/>
    <w:rsid w:val="001A1413"/>
    <w:rsid w:val="00240401"/>
    <w:rsid w:val="002769D8"/>
    <w:rsid w:val="00431C3D"/>
    <w:rsid w:val="00456A52"/>
    <w:rsid w:val="004C17AC"/>
    <w:rsid w:val="0050065B"/>
    <w:rsid w:val="005D7297"/>
    <w:rsid w:val="005E1607"/>
    <w:rsid w:val="006F2B4C"/>
    <w:rsid w:val="00754238"/>
    <w:rsid w:val="00900260"/>
    <w:rsid w:val="00906771"/>
    <w:rsid w:val="009303C8"/>
    <w:rsid w:val="00932C29"/>
    <w:rsid w:val="0095042E"/>
    <w:rsid w:val="009717CE"/>
    <w:rsid w:val="009E4DB1"/>
    <w:rsid w:val="00A21174"/>
    <w:rsid w:val="00B9769E"/>
    <w:rsid w:val="00CE1322"/>
    <w:rsid w:val="00CE74B4"/>
    <w:rsid w:val="00E22774"/>
    <w:rsid w:val="00E4041E"/>
    <w:rsid w:val="00E5480D"/>
    <w:rsid w:val="00F661AD"/>
    <w:rsid w:val="00F90C59"/>
    <w:rsid w:val="00FC1404"/>
    <w:rsid w:val="00FD68F8"/>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5229"/>
  <w15:chartTrackingRefBased/>
  <w15:docId w15:val="{EF35DC75-501C-4100-828F-00863DA1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7AC"/>
    <w:pPr>
      <w:ind w:left="720"/>
      <w:contextualSpacing/>
    </w:pPr>
  </w:style>
  <w:style w:type="paragraph" w:styleId="Header">
    <w:name w:val="header"/>
    <w:basedOn w:val="Normal"/>
    <w:link w:val="HeaderChar"/>
    <w:uiPriority w:val="99"/>
    <w:unhideWhenUsed/>
    <w:rsid w:val="00932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C29"/>
  </w:style>
  <w:style w:type="paragraph" w:styleId="Footer">
    <w:name w:val="footer"/>
    <w:basedOn w:val="Normal"/>
    <w:link w:val="FooterChar"/>
    <w:uiPriority w:val="99"/>
    <w:unhideWhenUsed/>
    <w:rsid w:val="00932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C29"/>
  </w:style>
  <w:style w:type="paragraph" w:styleId="BalloonText">
    <w:name w:val="Balloon Text"/>
    <w:basedOn w:val="Normal"/>
    <w:link w:val="BalloonTextChar"/>
    <w:uiPriority w:val="99"/>
    <w:semiHidden/>
    <w:unhideWhenUsed/>
    <w:rsid w:val="0075423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5423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Englantin Muca</dc:creator>
  <cp:keywords/>
  <dc:description/>
  <cp:lastModifiedBy>Richard Searle</cp:lastModifiedBy>
  <cp:revision>5</cp:revision>
  <cp:lastPrinted>2019-06-17T07:48:00Z</cp:lastPrinted>
  <dcterms:created xsi:type="dcterms:W3CDTF">2020-05-10T18:16:00Z</dcterms:created>
  <dcterms:modified xsi:type="dcterms:W3CDTF">2020-09-03T13:36:00Z</dcterms:modified>
</cp:coreProperties>
</file>