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7D54B1" w14:textId="6DC6AB9F" w:rsidR="00E66558" w:rsidRDefault="009D71E8">
      <w:pPr>
        <w:pStyle w:val="Heading1"/>
      </w:pPr>
      <w:bookmarkStart w:id="0" w:name="_Toc400361362"/>
      <w:bookmarkStart w:id="1" w:name="_Toc443397153"/>
      <w:bookmarkStart w:id="2" w:name="_Toc357771638"/>
      <w:bookmarkStart w:id="3" w:name="_Toc346793416"/>
      <w:bookmarkStart w:id="4" w:name="_Toc328122777"/>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r w:rsidR="00E0128F">
        <w:t xml:space="preserve"> – Isle of Ely Primary School</w:t>
      </w:r>
    </w:p>
    <w:p w14:paraId="2A7D54B2" w14:textId="3EE41438" w:rsidR="00E66558" w:rsidRDefault="009D71E8" w:rsidP="00C62989">
      <w:pPr>
        <w:rPr>
          <w:b/>
        </w:rPr>
      </w:pPr>
      <w:r>
        <w:t xml:space="preserve">This statement details our school’s use of pupil premium (and recovery premium) funding to help improve the attainment of our disadvantaged pupils. </w:t>
      </w:r>
    </w:p>
    <w:p w14:paraId="2A7D54B3" w14:textId="730F2E71" w:rsidR="00E66558" w:rsidRDefault="009D71E8" w:rsidP="00C62989">
      <w:pPr>
        <w:rPr>
          <w:b/>
        </w:rPr>
      </w:pPr>
      <w:r>
        <w:t xml:space="preserve">It outlines our pupil premium strategy, how we intend to spend the funding in this academic year and the </w:t>
      </w:r>
      <w:r w:rsidR="00830D57">
        <w:t xml:space="preserve">outcomes </w:t>
      </w:r>
      <w:r w:rsidR="00A44FBB">
        <w:t>for disadvantaged pupils</w:t>
      </w:r>
      <w:r>
        <w:t xml:space="preserve"> last </w:t>
      </w:r>
      <w:r w:rsidR="00A44FBB">
        <w:t xml:space="preserve">academic </w:t>
      </w:r>
      <w:r>
        <w:t>year</w:t>
      </w:r>
      <w:r w:rsidR="00A44FBB">
        <w:t>.</w:t>
      </w:r>
    </w:p>
    <w:p w14:paraId="2A7D54B4" w14:textId="2CAB096C"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2940F3" w14:paraId="2A7D54BA"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8" w14:textId="7E4C52DD" w:rsidR="002940F3" w:rsidRDefault="002940F3">
            <w:pPr>
              <w:pStyle w:val="TableRow"/>
            </w:pPr>
            <w:r>
              <w:t xml:space="preserve">Number of pupils in school </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9" w14:textId="20C67D64" w:rsidR="002940F3" w:rsidRPr="00046355" w:rsidRDefault="00006F58">
            <w:pPr>
              <w:pStyle w:val="TableRow"/>
            </w:pPr>
            <w:r>
              <w:t>400</w:t>
            </w:r>
            <w:r w:rsidR="00076343" w:rsidRPr="00046355">
              <w:t xml:space="preserve"> (excluding nursery)</w:t>
            </w:r>
          </w:p>
        </w:tc>
      </w:tr>
      <w:tr w:rsidR="002940F3" w14:paraId="2A7D54BD"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B" w14:textId="04774D67" w:rsidR="002940F3" w:rsidRDefault="002940F3">
            <w:pPr>
              <w:pStyle w:val="TableRow"/>
            </w:pPr>
            <w:r>
              <w:t>Proportion (%) of pupil premium eligible pupils</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C" w14:textId="2AB93B4A" w:rsidR="002940F3" w:rsidRPr="00046355" w:rsidRDefault="00AF74B8">
            <w:pPr>
              <w:pStyle w:val="TableRow"/>
            </w:pPr>
            <w:r>
              <w:t>11</w:t>
            </w:r>
            <w:r w:rsidR="00076343" w:rsidRPr="00046355">
              <w:t>%</w:t>
            </w:r>
          </w:p>
        </w:tc>
      </w:tr>
      <w:tr w:rsidR="002940F3" w14:paraId="2A7D54C0"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E" w14:textId="2862A41A" w:rsidR="002940F3" w:rsidRDefault="002940F3">
            <w:pPr>
              <w:pStyle w:val="TableRow"/>
            </w:pPr>
            <w:r>
              <w:t xml:space="preserve">Academic year/years that our current pupil premium strategy plan covers </w:t>
            </w:r>
            <w:r w:rsidRPr="1CBF4D92">
              <w:rPr>
                <w:b/>
              </w:rPr>
              <w:t>(3 year plans are recommended)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BF" w14:textId="6648A5AE" w:rsidR="002940F3" w:rsidRDefault="00076343" w:rsidP="00076343">
            <w:pPr>
              <w:pStyle w:val="TableRow"/>
            </w:pPr>
            <w:r>
              <w:t xml:space="preserve">2022/23, </w:t>
            </w:r>
            <w:r w:rsidRPr="004156F3">
              <w:t xml:space="preserve">2023/24, </w:t>
            </w:r>
            <w:r w:rsidRPr="004156F3">
              <w:rPr>
                <w:highlight w:val="yellow"/>
              </w:rPr>
              <w:t>2024/25</w:t>
            </w:r>
            <w:r>
              <w:t xml:space="preserve"> </w:t>
            </w:r>
          </w:p>
        </w:tc>
      </w:tr>
      <w:tr w:rsidR="002940F3" w14:paraId="2A7D54C3"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1" w14:textId="0F472705" w:rsidR="002940F3" w:rsidRDefault="002940F3">
            <w:pPr>
              <w:pStyle w:val="TableRow"/>
            </w:pPr>
            <w:r>
              <w:rPr>
                <w:szCs w:val="22"/>
              </w:rPr>
              <w:t>Date this statement was published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2" w14:textId="727948F1" w:rsidR="002940F3" w:rsidRDefault="00C33387">
            <w:pPr>
              <w:pStyle w:val="TableRow"/>
            </w:pPr>
            <w:r>
              <w:t>December 2024</w:t>
            </w:r>
          </w:p>
        </w:tc>
      </w:tr>
      <w:tr w:rsidR="002940F3" w14:paraId="2A7D54C6"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4" w14:textId="0C766347" w:rsidR="002940F3" w:rsidRDefault="002940F3">
            <w:pPr>
              <w:pStyle w:val="TableRow"/>
            </w:pPr>
            <w:r>
              <w:rPr>
                <w:szCs w:val="22"/>
              </w:rPr>
              <w:t>Date on which it will be reviewed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5" w14:textId="0CEFC6AD" w:rsidR="002940F3" w:rsidRDefault="00076343" w:rsidP="00C33387">
            <w:pPr>
              <w:pStyle w:val="TableRow"/>
            </w:pPr>
            <w:r>
              <w:t>September 20</w:t>
            </w:r>
            <w:r w:rsidR="00C33387">
              <w:t>25</w:t>
            </w:r>
          </w:p>
        </w:tc>
      </w:tr>
      <w:tr w:rsidR="002940F3" w14:paraId="2A7D54C9"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7" w14:textId="7605248E" w:rsidR="002940F3" w:rsidRDefault="002940F3">
            <w:pPr>
              <w:pStyle w:val="TableRow"/>
            </w:pPr>
            <w:r>
              <w:t>Statement authorised by</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8" w14:textId="3E037265" w:rsidR="002940F3" w:rsidRDefault="00076343">
            <w:pPr>
              <w:pStyle w:val="TableRow"/>
            </w:pPr>
            <w:r>
              <w:t>Bryony Surtees, Head Teacher</w:t>
            </w:r>
          </w:p>
        </w:tc>
      </w:tr>
      <w:tr w:rsidR="002940F3" w14:paraId="2A7D54CC"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A" w14:textId="5DC091D2" w:rsidR="002940F3" w:rsidRDefault="002940F3">
            <w:pPr>
              <w:pStyle w:val="TableRow"/>
            </w:pPr>
            <w:r>
              <w:t>Pupil premium 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B" w14:textId="6A5DDB24" w:rsidR="002940F3" w:rsidRDefault="00E0128F">
            <w:pPr>
              <w:pStyle w:val="TableRow"/>
            </w:pPr>
            <w:r>
              <w:t>Natalie Godfrey</w:t>
            </w:r>
            <w:r w:rsidR="00076343">
              <w:t xml:space="preserve">, Deputy </w:t>
            </w:r>
            <w:proofErr w:type="spellStart"/>
            <w:r w:rsidR="00076343">
              <w:t>Headteacher</w:t>
            </w:r>
            <w:proofErr w:type="spellEnd"/>
          </w:p>
        </w:tc>
      </w:tr>
      <w:tr w:rsidR="002940F3" w14:paraId="2A7D54CF" w14:textId="77777777" w:rsidTr="002940F3">
        <w:tc>
          <w:tcPr>
            <w:tcW w:w="651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D" w14:textId="08FA5419" w:rsidR="002940F3" w:rsidRDefault="002940F3">
            <w:pPr>
              <w:pStyle w:val="TableRow"/>
            </w:pPr>
            <w:r w:rsidRPr="00AF7E98">
              <w:t xml:space="preserve">Governor </w:t>
            </w:r>
            <w:r w:rsidRPr="00AF7E98">
              <w:rPr>
                <w:szCs w:val="22"/>
              </w:rPr>
              <w:t xml:space="preserve">/ Trustee </w:t>
            </w:r>
            <w:r w:rsidRPr="00AF7E98">
              <w:t>lead</w:t>
            </w:r>
          </w:p>
        </w:tc>
        <w:tc>
          <w:tcPr>
            <w:tcW w:w="29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CE" w14:textId="51657077" w:rsidR="002940F3" w:rsidRDefault="0078080E">
            <w:pPr>
              <w:pStyle w:val="TableRow"/>
            </w:pPr>
            <w:r>
              <w:t>Karen Jarvis</w:t>
            </w:r>
          </w:p>
        </w:tc>
      </w:tr>
    </w:tbl>
    <w:bookmarkEnd w:id="2"/>
    <w:bookmarkEnd w:id="3"/>
    <w:bookmarkEnd w:id="4"/>
    <w:p w14:paraId="2A7D54D3" w14:textId="77777777" w:rsidR="00E66558" w:rsidRPr="005464A1" w:rsidRDefault="009D71E8" w:rsidP="005464A1">
      <w:pPr>
        <w:pStyle w:val="Heading2"/>
      </w:pPr>
      <w: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F72D0C" w14:paraId="2A7D54D9"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7" w14:textId="77777777" w:rsidR="00F72D0C" w:rsidRDefault="00F72D0C" w:rsidP="00F72D0C">
            <w:pPr>
              <w:pStyle w:val="TableRow"/>
            </w:pPr>
            <w:r>
              <w:t>Pupil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8" w14:textId="13BE083A" w:rsidR="00F72D0C" w:rsidRPr="00046355" w:rsidRDefault="00AB64D1" w:rsidP="00046355">
            <w:pPr>
              <w:pStyle w:val="TableRow"/>
            </w:pPr>
            <w:r>
              <w:rPr>
                <w:lang w:eastAsia="en-US"/>
              </w:rPr>
              <w:t>£59,914</w:t>
            </w:r>
          </w:p>
        </w:tc>
      </w:tr>
      <w:tr w:rsidR="00F72D0C" w14:paraId="2A7D54DC"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2A7D54DA" w14:textId="77777777" w:rsidR="00F72D0C" w:rsidRDefault="00F72D0C" w:rsidP="00F72D0C">
            <w:pPr>
              <w:pStyle w:val="TableRow"/>
            </w:pPr>
            <w:r>
              <w:t>Recovery premium funding allocation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B" w14:textId="2723AEAD" w:rsidR="00F72D0C" w:rsidRPr="00046355" w:rsidRDefault="00F72D0C" w:rsidP="00046355">
            <w:pPr>
              <w:pStyle w:val="TableRow"/>
            </w:pPr>
          </w:p>
        </w:tc>
      </w:tr>
      <w:tr w:rsidR="00F72D0C" w14:paraId="2A7D54DF" w14:textId="77777777" w:rsidTr="625D1A15">
        <w:trPr>
          <w:trHeight w:val="374"/>
        </w:trPr>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vAlign w:val="center"/>
          </w:tcPr>
          <w:p w14:paraId="3B2B4CFA" w14:textId="77777777" w:rsidR="00F72D0C" w:rsidRDefault="00F72D0C" w:rsidP="00F72D0C">
            <w:pPr>
              <w:pStyle w:val="TableRow"/>
              <w:spacing w:after="120"/>
            </w:pPr>
            <w:r>
              <w:t xml:space="preserve">Pupil premium (and recovery premium*) funding carried forward from previous years </w:t>
            </w:r>
            <w:r w:rsidRPr="008E000B">
              <w:rPr>
                <w:i/>
                <w:iCs/>
              </w:rPr>
              <w:t>(enter £0 if not applicable)</w:t>
            </w:r>
          </w:p>
          <w:p w14:paraId="2A7D54DD" w14:textId="70EB550D" w:rsidR="00F72D0C" w:rsidRPr="00586FBC" w:rsidRDefault="00F72D0C" w:rsidP="00F72D0C">
            <w:pPr>
              <w:pStyle w:val="TableRow"/>
              <w:rPr>
                <w:i/>
                <w:iCs/>
              </w:rPr>
            </w:pPr>
            <w:r w:rsidRPr="00586FBC">
              <w:rPr>
                <w:i/>
                <w:iCs/>
              </w:rPr>
              <w:t xml:space="preserve">*Recovery premium </w:t>
            </w:r>
            <w:r>
              <w:rPr>
                <w:i/>
                <w:iCs/>
              </w:rPr>
              <w:t xml:space="preserve">received in academic year 2021 to 2022 can be carried forward to academic year 2022 to 2023. Recovery premium received in academic year 2022 to 2023 cannot be carried forward to 2023 to 2024. </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DE" w14:textId="036A5C16" w:rsidR="00F72D0C" w:rsidRPr="00046355" w:rsidRDefault="00F72D0C" w:rsidP="00F72D0C">
            <w:pPr>
              <w:pStyle w:val="TableRow"/>
            </w:pPr>
            <w:r w:rsidRPr="00046355">
              <w:t>£</w:t>
            </w:r>
            <w:r w:rsidRPr="00046355">
              <w:rPr>
                <w:color w:val="auto"/>
              </w:rPr>
              <w:t>0</w:t>
            </w:r>
          </w:p>
        </w:tc>
      </w:tr>
      <w:tr w:rsidR="00F72D0C" w14:paraId="2A7D54E3" w14:textId="77777777" w:rsidTr="625D1A15">
        <w:tc>
          <w:tcPr>
            <w:tcW w:w="651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0" w14:textId="77777777" w:rsidR="00F72D0C" w:rsidRDefault="00F72D0C" w:rsidP="00F72D0C">
            <w:pPr>
              <w:pStyle w:val="TableRow"/>
              <w:spacing w:after="120"/>
              <w:rPr>
                <w:b/>
              </w:rPr>
            </w:pPr>
            <w:r>
              <w:rPr>
                <w:b/>
              </w:rPr>
              <w:t>Total budget for this academic year</w:t>
            </w:r>
          </w:p>
          <w:p w14:paraId="2A7D54E1" w14:textId="77777777" w:rsidR="00F72D0C" w:rsidRPr="003C4388" w:rsidRDefault="00F72D0C" w:rsidP="00F72D0C">
            <w:pPr>
              <w:pStyle w:val="TableRow"/>
              <w:rPr>
                <w:i/>
                <w:iCs/>
              </w:rPr>
            </w:pPr>
            <w:r w:rsidRPr="003C4388">
              <w:rPr>
                <w:i/>
                <w:iCs/>
              </w:rPr>
              <w:t>If your school is an academy in a trust that pools this funding, state the amount available to your school this academic year</w:t>
            </w:r>
          </w:p>
        </w:tc>
        <w:tc>
          <w:tcPr>
            <w:tcW w:w="297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D54E2" w14:textId="0C2EED10" w:rsidR="00F72D0C" w:rsidRPr="00C6272B" w:rsidRDefault="00AB64D1" w:rsidP="00F72D0C">
            <w:pPr>
              <w:pStyle w:val="TableRow"/>
              <w:rPr>
                <w:highlight w:val="yellow"/>
              </w:rPr>
            </w:pPr>
            <w:r>
              <w:rPr>
                <w:lang w:eastAsia="en-US"/>
              </w:rPr>
              <w:t>£59,914</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CEAD9" w14:textId="77777777" w:rsidR="00091DF8" w:rsidRDefault="00217D0D" w:rsidP="00217D0D">
            <w:r>
              <w:t xml:space="preserve">At Isle of Ely Primary school it is our intention that all pupils, irrespective of the barriers they face, feel empowered to make good progress and develop from childhood into confident and independent individuals who will ultimately succeed and contribute to the wider community. The focus of our pupil premium strategy is to support disadvantaged pupils to achieve that goal within a safe and stimulating environment. </w:t>
            </w:r>
          </w:p>
          <w:p w14:paraId="3AC4565C" w14:textId="77777777" w:rsidR="00091DF8" w:rsidRDefault="00217D0D" w:rsidP="00217D0D">
            <w:r>
              <w:t xml:space="preserve">Quality first teaching is at the heart of our approach, with a focus on areas in which disadvantaged pupils require the most support. This is proven to have the greatest impact on closing the disadvantage attainment gap and at the same time will benefit the non-disadvantaged pupils in our school. Implicit in the intended outcomes detailed below, is the intention that non-disadvantaged pupils’ attainment will be sustained and improved alongside progress for their disadvantaged peers. </w:t>
            </w:r>
          </w:p>
          <w:p w14:paraId="7B76949A" w14:textId="77777777" w:rsidR="00091DF8" w:rsidRDefault="00217D0D" w:rsidP="00217D0D">
            <w:r>
              <w:t xml:space="preserve">Our strategy is also integral to wider school plans for education recovery, notably in its targeted support through the National Tutoring Programme for pupils whose education has been worst affected, including non-disadvantaged pupils. </w:t>
            </w:r>
          </w:p>
          <w:p w14:paraId="4551A207" w14:textId="77777777" w:rsidR="00091DF8" w:rsidRDefault="00217D0D" w:rsidP="00217D0D">
            <w:r>
              <w:t xml:space="preserve">Our approach will be responsive to common challenges and individual needs, rooted in robust diagnostic assessment, not assumptions about the impact of disadvantage. The approaches we have adopted complement each other to help pupils excel. To ensure they are effective we will: </w:t>
            </w:r>
          </w:p>
          <w:p w14:paraId="63FC636A" w14:textId="77777777" w:rsidR="00FD1B20" w:rsidRDefault="00217D0D" w:rsidP="0008602E">
            <w:r>
              <w:sym w:font="Symbol" w:char="F0B7"/>
            </w:r>
            <w:r>
              <w:t xml:space="preserve"> ensure disadvantaged pupils are challenged in the work that they’re set </w:t>
            </w:r>
            <w:r w:rsidR="00091DF8">
              <w:br/>
            </w:r>
            <w:r>
              <w:sym w:font="Symbol" w:char="F0B7"/>
            </w:r>
            <w:r>
              <w:t xml:space="preserve"> act early to intervene at the point need is identified </w:t>
            </w:r>
            <w:r w:rsidR="00091DF8">
              <w:br/>
            </w:r>
            <w:r>
              <w:sym w:font="Symbol" w:char="F0B7"/>
            </w:r>
            <w:r>
              <w:t xml:space="preserve"> adopt a whole school approach in which all staff take responsibility for disadvantaged pupils’ outcomes and raise expectations of what they can achieve</w:t>
            </w:r>
          </w:p>
          <w:p w14:paraId="333B00C7" w14:textId="77777777" w:rsidR="0008602E" w:rsidRDefault="0008602E" w:rsidP="0008602E"/>
          <w:p w14:paraId="18A66AFE" w14:textId="77777777" w:rsidR="0008602E" w:rsidRDefault="0008602E" w:rsidP="0008602E"/>
          <w:p w14:paraId="03360153" w14:textId="77777777" w:rsidR="0008602E" w:rsidRDefault="0008602E" w:rsidP="0008602E"/>
          <w:p w14:paraId="4097AE9D" w14:textId="77777777" w:rsidR="0008602E" w:rsidRDefault="0008602E" w:rsidP="0008602E"/>
          <w:p w14:paraId="48C25FE6" w14:textId="77777777" w:rsidR="0008602E" w:rsidRDefault="0008602E" w:rsidP="0008602E"/>
          <w:p w14:paraId="2A7D54E9" w14:textId="155A6ADD" w:rsidR="0008602E" w:rsidRPr="00217D0D" w:rsidRDefault="0008602E" w:rsidP="0008602E">
            <w:pPr>
              <w:rPr>
                <w:i/>
                <w:iCs/>
              </w:rPr>
            </w:pPr>
          </w:p>
        </w:tc>
      </w:tr>
    </w:tbl>
    <w:p w14:paraId="2A7D54EB" w14:textId="27277C40" w:rsidR="00E66558" w:rsidRDefault="009D71E8">
      <w:pPr>
        <w:pStyle w:val="Heading2"/>
        <w:spacing w:before="600"/>
      </w:pPr>
      <w:r>
        <w:lastRenderedPageBreak/>
        <w:t>Challenges</w:t>
      </w:r>
    </w:p>
    <w:p w14:paraId="2A7D54EC" w14:textId="40EF8396" w:rsidR="00E66558" w:rsidRDefault="00E66558" w:rsidP="00AA355B"/>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353D69D" w:rsidR="00E66558" w:rsidRDefault="00F11100" w:rsidP="00F11100">
            <w:pPr>
              <w:pStyle w:val="TableRowCentered"/>
              <w:jc w:val="left"/>
            </w:pPr>
            <w:r>
              <w:t xml:space="preserve">Our assessments, </w:t>
            </w:r>
            <w:r w:rsidR="00076343">
              <w:t>observations and discussions with pupils and families have identified social and emotional issues for many pupils</w:t>
            </w:r>
            <w:r>
              <w:t xml:space="preserve">. </w:t>
            </w:r>
            <w:r w:rsidR="00076343">
              <w:t>These challenges particular</w:t>
            </w:r>
            <w:r>
              <w:t xml:space="preserve">ly affect disadvantaged pupils and have a negative impact on their attainment. </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FDB8DE" w14:textId="57E2C6C8" w:rsidR="00F11100" w:rsidRDefault="00F11100" w:rsidP="00F11100">
            <w:pPr>
              <w:autoSpaceDN/>
              <w:spacing w:before="60" w:after="120" w:line="240" w:lineRule="auto"/>
              <w:ind w:left="57" w:right="57"/>
              <w:rPr>
                <w:iCs/>
                <w:color w:val="auto"/>
                <w:lang w:val="en-US"/>
              </w:rPr>
            </w:pPr>
            <w:r w:rsidRPr="00E27862">
              <w:rPr>
                <w:rFonts w:cs="Arial"/>
                <w:iCs/>
                <w:color w:val="auto"/>
                <w:lang w:val="en-US"/>
              </w:rPr>
              <w:t>Internal and external assessments indicate</w:t>
            </w:r>
            <w:r w:rsidRPr="00E27862">
              <w:rPr>
                <w:iCs/>
                <w:color w:val="auto"/>
                <w:lang w:val="en-US"/>
              </w:rPr>
              <w:t xml:space="preserve"> that </w:t>
            </w:r>
            <w:r>
              <w:rPr>
                <w:iCs/>
                <w:color w:val="auto"/>
                <w:lang w:val="en-US"/>
              </w:rPr>
              <w:t>writing</w:t>
            </w:r>
            <w:r w:rsidRPr="00E27862">
              <w:rPr>
                <w:iCs/>
                <w:color w:val="auto"/>
                <w:lang w:val="en-US"/>
              </w:rPr>
              <w:t xml:space="preserve"> attainment among disadvantaged pupils is significantly below that of non-disadvantaged pupils. </w:t>
            </w:r>
          </w:p>
          <w:p w14:paraId="2A7D54F4" w14:textId="4C274A20" w:rsidR="00E66558" w:rsidRDefault="00F11100" w:rsidP="00F11100">
            <w:pPr>
              <w:autoSpaceDN/>
              <w:spacing w:before="60" w:after="120" w:line="240" w:lineRule="auto"/>
              <w:ind w:left="57" w:right="57"/>
              <w:rPr>
                <w:sz w:val="22"/>
                <w:szCs w:val="22"/>
              </w:rPr>
            </w:pPr>
            <w:r>
              <w:rPr>
                <w:rFonts w:cs="Arial"/>
                <w:iCs/>
                <w:color w:val="auto"/>
                <w:lang w:val="en-US"/>
              </w:rPr>
              <w:t>Spelling has been identified as an area of development in order to raise attainment in writing.</w:t>
            </w: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2692A925" w:rsidR="00E66558" w:rsidRPr="0005426E" w:rsidRDefault="00D771F8" w:rsidP="0005426E">
            <w:pPr>
              <w:autoSpaceDN/>
              <w:spacing w:before="60" w:after="120" w:line="240" w:lineRule="auto"/>
              <w:ind w:left="57" w:right="57"/>
              <w:rPr>
                <w:rFonts w:cs="Arial"/>
                <w:iCs/>
                <w:color w:val="auto"/>
                <w:lang w:val="en-US"/>
              </w:rPr>
            </w:pPr>
            <w:r w:rsidRPr="00E27862">
              <w:rPr>
                <w:rFonts w:cs="Arial"/>
                <w:iCs/>
                <w:color w:val="auto"/>
                <w:lang w:val="en-US"/>
              </w:rPr>
              <w:t>Ou</w:t>
            </w:r>
            <w:r w:rsidR="0005426E">
              <w:rPr>
                <w:rFonts w:cs="Arial"/>
                <w:iCs/>
                <w:color w:val="auto"/>
                <w:lang w:val="en-US"/>
              </w:rPr>
              <w:t>r attendance data over the last two years</w:t>
            </w:r>
            <w:r w:rsidRPr="00E27862">
              <w:rPr>
                <w:rFonts w:cs="Arial"/>
                <w:iCs/>
                <w:color w:val="auto"/>
                <w:lang w:val="en-US"/>
              </w:rPr>
              <w:t xml:space="preserve"> indicates that attendance among disadvantaged pupils has been </w:t>
            </w:r>
            <w:r w:rsidR="0005426E">
              <w:rPr>
                <w:rFonts w:cs="Arial"/>
                <w:iCs/>
                <w:color w:val="auto"/>
                <w:lang w:val="en-US"/>
              </w:rPr>
              <w:t>3</w:t>
            </w:r>
            <w:r w:rsidRPr="00E27862">
              <w:rPr>
                <w:rFonts w:cs="Arial"/>
                <w:iCs/>
                <w:color w:val="auto"/>
                <w:lang w:val="en-US"/>
              </w:rPr>
              <w:t>% lower than for non-disadvantaged pupils.</w:t>
            </w:r>
            <w:r w:rsidR="001D5620">
              <w:rPr>
                <w:rFonts w:cs="Arial"/>
                <w:iCs/>
                <w:color w:val="auto"/>
                <w:lang w:val="en-US"/>
              </w:rPr>
              <w:t xml:space="preserve"> </w:t>
            </w:r>
            <w:r w:rsidRPr="00E27862">
              <w:rPr>
                <w:rFonts w:cs="Arial"/>
                <w:iCs/>
                <w:color w:val="auto"/>
                <w:lang w:val="en-US"/>
              </w:rPr>
              <w:t>Our assessments and observations indicate that absenteeism is negatively impacting disadvantaged pupils’ progress.</w:t>
            </w: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45D3C5ED" w:rsidR="00E66558" w:rsidRDefault="00D771F8" w:rsidP="0005426E">
            <w:pPr>
              <w:pStyle w:val="TableRowCentered"/>
              <w:jc w:val="left"/>
              <w:rPr>
                <w:iCs/>
                <w:sz w:val="22"/>
              </w:rPr>
            </w:pPr>
            <w:r w:rsidRPr="00E27862">
              <w:rPr>
                <w:rFonts w:cs="Arial"/>
                <w:iCs/>
                <w:color w:val="auto"/>
                <w:lang w:val="en-US"/>
              </w:rPr>
              <w:t>Assessments, observations, and discussions with pupils indicate underdeveloped oral language skills and vocabulary gaps among many disadvantaged pupils.</w:t>
            </w:r>
            <w:r w:rsidR="001D5620">
              <w:rPr>
                <w:rFonts w:cs="Arial"/>
                <w:iCs/>
                <w:color w:val="auto"/>
                <w:lang w:val="en-US"/>
              </w:rPr>
              <w:t xml:space="preserve"> </w:t>
            </w:r>
            <w:r w:rsidRPr="00E27862">
              <w:rPr>
                <w:rFonts w:cs="Arial"/>
                <w:iCs/>
                <w:color w:val="auto"/>
                <w:lang w:val="en-US"/>
              </w:rPr>
              <w:t>These are evident from Reception through to KS2 and in general, are more prevalent among our disadvantaged pupils than their peers.</w:t>
            </w: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E51D7DB" w:rsidR="00E66558" w:rsidRDefault="00D771F8">
            <w:pPr>
              <w:pStyle w:val="TableRowCentered"/>
              <w:jc w:val="left"/>
              <w:rPr>
                <w:iCs/>
                <w:sz w:val="22"/>
              </w:rPr>
            </w:pPr>
            <w:r w:rsidRPr="00E27862">
              <w:rPr>
                <w:color w:val="auto"/>
                <w:lang w:val="en-US"/>
              </w:rPr>
              <w:t>Assessments, observations, and discussions with pupils suggest disadvantaged pupils generally have greater difficulties with phonics than their peers. This negatively impacts their development as readers.</w:t>
            </w: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7E3D4C2" w:rsidR="00E66558" w:rsidRDefault="004457EC">
            <w:pPr>
              <w:pStyle w:val="TableRow"/>
            </w:pPr>
            <w:r>
              <w:t xml:space="preserve">To achieve and sustain improved wellbeing for all pupils in our school, particularly our disadvantaged pupils so that they feel more emotionally secure.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987053" w14:textId="719BABCF" w:rsidR="00E66558" w:rsidRDefault="004457EC" w:rsidP="004457EC">
            <w:pPr>
              <w:pStyle w:val="TableRowCentered"/>
              <w:numPr>
                <w:ilvl w:val="0"/>
                <w:numId w:val="14"/>
              </w:numPr>
              <w:jc w:val="left"/>
              <w:rPr>
                <w:sz w:val="22"/>
                <w:szCs w:val="22"/>
              </w:rPr>
            </w:pPr>
            <w:r>
              <w:rPr>
                <w:sz w:val="22"/>
                <w:szCs w:val="22"/>
              </w:rPr>
              <w:t xml:space="preserve">Thrive profiling indicators show progress for those children who attend Thrive sessions and have interruptions in their emotional development. </w:t>
            </w:r>
          </w:p>
          <w:p w14:paraId="2A7D5505" w14:textId="22A01B64" w:rsidR="004457EC" w:rsidRDefault="004457EC" w:rsidP="004457EC">
            <w:pPr>
              <w:pStyle w:val="TableRowCentered"/>
              <w:numPr>
                <w:ilvl w:val="0"/>
                <w:numId w:val="14"/>
              </w:numPr>
              <w:jc w:val="left"/>
              <w:rPr>
                <w:sz w:val="22"/>
                <w:szCs w:val="22"/>
              </w:rPr>
            </w:pPr>
            <w:r>
              <w:rPr>
                <w:sz w:val="22"/>
                <w:szCs w:val="22"/>
              </w:rPr>
              <w:t>Pupil voice will show that children feel their well-being and mental health is supported at school.</w:t>
            </w: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2A7400B4" w:rsidR="00E66558" w:rsidRDefault="004457EC">
            <w:pPr>
              <w:pStyle w:val="TableRow"/>
              <w:rPr>
                <w:sz w:val="22"/>
                <w:szCs w:val="22"/>
              </w:rPr>
            </w:pPr>
            <w:r>
              <w:rPr>
                <w:sz w:val="22"/>
                <w:szCs w:val="22"/>
              </w:rPr>
              <w:t xml:space="preserve">For disadvantaged pupils to make at least expected progress from their baseline starting points in writing.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30065D" w14:textId="77777777" w:rsidR="00E66558" w:rsidRDefault="004457EC" w:rsidP="004457EC">
            <w:pPr>
              <w:pStyle w:val="TableRowCentered"/>
              <w:numPr>
                <w:ilvl w:val="0"/>
                <w:numId w:val="14"/>
              </w:numPr>
              <w:jc w:val="left"/>
              <w:rPr>
                <w:sz w:val="22"/>
                <w:szCs w:val="22"/>
              </w:rPr>
            </w:pPr>
            <w:r>
              <w:rPr>
                <w:sz w:val="22"/>
                <w:szCs w:val="22"/>
              </w:rPr>
              <w:t>Internal assessments show disadvantaged children making expected progress from their starting points.</w:t>
            </w:r>
          </w:p>
          <w:p w14:paraId="0369AFD5" w14:textId="77777777" w:rsidR="004457EC" w:rsidRDefault="004457EC" w:rsidP="004457EC">
            <w:pPr>
              <w:pStyle w:val="TableRowCentered"/>
              <w:numPr>
                <w:ilvl w:val="0"/>
                <w:numId w:val="14"/>
              </w:numPr>
              <w:jc w:val="left"/>
              <w:rPr>
                <w:sz w:val="22"/>
                <w:szCs w:val="22"/>
              </w:rPr>
            </w:pPr>
            <w:r>
              <w:rPr>
                <w:sz w:val="22"/>
                <w:szCs w:val="22"/>
              </w:rPr>
              <w:lastRenderedPageBreak/>
              <w:t>Half termly pupil progress meetings show teaching staff taking responsibility for disadvantaged outcomes and putting in steps to support individual children.</w:t>
            </w:r>
          </w:p>
          <w:p w14:paraId="2A7D5508" w14:textId="503396CA" w:rsidR="004457EC" w:rsidRDefault="004457EC" w:rsidP="004457EC">
            <w:pPr>
              <w:pStyle w:val="TableRowCentered"/>
              <w:ind w:left="417"/>
              <w:jc w:val="left"/>
              <w:rPr>
                <w:sz w:val="22"/>
                <w:szCs w:val="22"/>
              </w:rPr>
            </w:pP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0A050E5" w:rsidR="00E66558" w:rsidRDefault="00E649DA">
            <w:pPr>
              <w:pStyle w:val="TableRow"/>
              <w:rPr>
                <w:sz w:val="22"/>
                <w:szCs w:val="22"/>
              </w:rPr>
            </w:pPr>
            <w:r>
              <w:rPr>
                <w:sz w:val="22"/>
                <w:szCs w:val="22"/>
              </w:rPr>
              <w:lastRenderedPageBreak/>
              <w:t>To narrow the gap in attendance between disadvantaged and non-disadvantaged children.</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BC53AB" w14:textId="77777777" w:rsidR="00E66558" w:rsidRDefault="00E649DA" w:rsidP="00E649DA">
            <w:pPr>
              <w:pStyle w:val="TableRowCentered"/>
              <w:numPr>
                <w:ilvl w:val="0"/>
                <w:numId w:val="14"/>
              </w:numPr>
              <w:jc w:val="left"/>
              <w:rPr>
                <w:sz w:val="22"/>
                <w:szCs w:val="22"/>
              </w:rPr>
            </w:pPr>
            <w:r>
              <w:rPr>
                <w:sz w:val="22"/>
                <w:szCs w:val="22"/>
              </w:rPr>
              <w:t xml:space="preserve">The percentage for attendance for disadvantaged children will be within 2% of non-disadvantaged children. </w:t>
            </w:r>
          </w:p>
          <w:p w14:paraId="2A7D550B" w14:textId="25852028" w:rsidR="00E649DA" w:rsidRDefault="00E649DA" w:rsidP="00E649DA">
            <w:pPr>
              <w:pStyle w:val="TableRowCentered"/>
              <w:numPr>
                <w:ilvl w:val="0"/>
                <w:numId w:val="14"/>
              </w:numPr>
              <w:jc w:val="left"/>
              <w:rPr>
                <w:sz w:val="22"/>
                <w:szCs w:val="22"/>
              </w:rPr>
            </w:pPr>
            <w:r>
              <w:rPr>
                <w:sz w:val="22"/>
                <w:szCs w:val="22"/>
              </w:rPr>
              <w:t>Attendance for disadvantaged children will increase.</w:t>
            </w: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431C22CF" w:rsidR="00E66558" w:rsidRDefault="00546A33">
            <w:pPr>
              <w:pStyle w:val="TableRow"/>
              <w:rPr>
                <w:sz w:val="22"/>
                <w:szCs w:val="22"/>
              </w:rPr>
            </w:pPr>
            <w:r>
              <w:rPr>
                <w:sz w:val="22"/>
                <w:szCs w:val="22"/>
              </w:rPr>
              <w:t xml:space="preserve">To improved oral language skills and vocabulary among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035B6" w14:textId="77777777" w:rsidR="00196C95" w:rsidRPr="00196C95" w:rsidRDefault="00196C95" w:rsidP="00196C95">
            <w:pPr>
              <w:pStyle w:val="TableRowCentered"/>
              <w:numPr>
                <w:ilvl w:val="0"/>
                <w:numId w:val="14"/>
              </w:numPr>
              <w:jc w:val="left"/>
              <w:rPr>
                <w:sz w:val="22"/>
                <w:szCs w:val="22"/>
              </w:rPr>
            </w:pPr>
            <w:r>
              <w:t xml:space="preserve">Our monitoring schedule addressing assessments and observations indicate significantly improved oral language among pupils in receipt of pupil premium. This is evident when triangulated with other sources of evidence, including engagement in lessons, pupil voice/book study and ongoing formative assessment. </w:t>
            </w:r>
          </w:p>
          <w:p w14:paraId="2A7D550E" w14:textId="2AF1DAE2" w:rsidR="00E66558" w:rsidRDefault="00196C95" w:rsidP="00196C95">
            <w:pPr>
              <w:pStyle w:val="TableRowCentered"/>
              <w:numPr>
                <w:ilvl w:val="0"/>
                <w:numId w:val="14"/>
              </w:numPr>
              <w:jc w:val="left"/>
              <w:rPr>
                <w:sz w:val="22"/>
                <w:szCs w:val="22"/>
              </w:rPr>
            </w:pPr>
            <w:r>
              <w:t xml:space="preserve">Lesson visits and pupil book study provide evidence that children are being taught explicit vocabulary and are able to commit the words to long-term memory, which they use to articulate their learning. </w:t>
            </w:r>
          </w:p>
        </w:tc>
      </w:tr>
      <w:tr w:rsidR="00311A2B" w14:paraId="004C17B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3E484" w14:textId="7748870B" w:rsidR="00311A2B" w:rsidRDefault="003A2B4E" w:rsidP="00C0168C">
            <w:pPr>
              <w:pStyle w:val="TableRow"/>
              <w:rPr>
                <w:sz w:val="22"/>
                <w:szCs w:val="22"/>
              </w:rPr>
            </w:pPr>
            <w:r>
              <w:rPr>
                <w:sz w:val="22"/>
                <w:szCs w:val="22"/>
              </w:rPr>
              <w:t xml:space="preserve">To </w:t>
            </w:r>
            <w:r w:rsidR="00C0168C">
              <w:rPr>
                <w:sz w:val="22"/>
                <w:szCs w:val="22"/>
              </w:rPr>
              <w:t xml:space="preserve">improve the </w:t>
            </w:r>
            <w:r w:rsidR="00C0168C">
              <w:t xml:space="preserve">reading attainment of disadvantaged pupils. </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7AA3FA" w14:textId="0746A22C" w:rsidR="00BF7129" w:rsidRDefault="00511A28" w:rsidP="00BF7129">
            <w:pPr>
              <w:pStyle w:val="TableRowCentered"/>
              <w:numPr>
                <w:ilvl w:val="0"/>
                <w:numId w:val="14"/>
              </w:numPr>
              <w:jc w:val="left"/>
            </w:pPr>
            <w:r>
              <w:t>100</w:t>
            </w:r>
            <w:r w:rsidR="003A2B4E">
              <w:t>% of disadvantaged pupils will pass the Year 1 Phonics Screening Check.</w:t>
            </w:r>
          </w:p>
          <w:p w14:paraId="495878B9" w14:textId="152D5BFA" w:rsidR="00BF7129" w:rsidRDefault="00015D08" w:rsidP="00BF7129">
            <w:pPr>
              <w:pStyle w:val="TableRowCentered"/>
              <w:numPr>
                <w:ilvl w:val="0"/>
                <w:numId w:val="14"/>
              </w:numPr>
              <w:jc w:val="left"/>
            </w:pPr>
            <w:r>
              <w:t xml:space="preserve">KS1 reading outcomes </w:t>
            </w:r>
            <w:r w:rsidR="00511A28">
              <w:t>in 2024/25 show that at least 60</w:t>
            </w:r>
            <w:r>
              <w:t xml:space="preserve">% of pupils in receipt of pupil premium funding are in line with their peers </w:t>
            </w:r>
            <w:r w:rsidR="00511A28">
              <w:t>and 100% make at least expected progress.</w:t>
            </w:r>
          </w:p>
          <w:p w14:paraId="59828C45" w14:textId="47E787D6" w:rsidR="00015D08" w:rsidRDefault="00015D08" w:rsidP="00BF7129">
            <w:pPr>
              <w:pStyle w:val="TableRowCentered"/>
              <w:numPr>
                <w:ilvl w:val="0"/>
                <w:numId w:val="14"/>
              </w:numPr>
              <w:jc w:val="left"/>
            </w:pPr>
            <w:r>
              <w:t xml:space="preserve">KS2 reading outcomes </w:t>
            </w:r>
            <w:r w:rsidR="00511A28">
              <w:t>in 2024/25 show that at least 50</w:t>
            </w:r>
            <w:r>
              <w:t>% pupils in receipt of pupil premium funding are in line with their peers</w:t>
            </w:r>
            <w:r w:rsidR="00511A28">
              <w:t xml:space="preserve"> and 100% make at least expected progress.</w:t>
            </w:r>
          </w:p>
        </w:tc>
      </w:tr>
    </w:tbl>
    <w:p w14:paraId="60BAD9F6" w14:textId="77777777" w:rsidR="00120AB1" w:rsidRDefault="00120AB1" w:rsidP="00ED5108"/>
    <w:p w14:paraId="2A06959E" w14:textId="7D2B2B63" w:rsidR="00120AB1" w:rsidRDefault="00120AB1" w:rsidP="00BD4B12"/>
    <w:p w14:paraId="7C2C60DC" w14:textId="49D5352D" w:rsidR="00FD1B20" w:rsidRDefault="00FD1B20" w:rsidP="00BD4B12"/>
    <w:p w14:paraId="1365E9D3" w14:textId="217932A8" w:rsidR="00FD1B20" w:rsidRDefault="00FD1B20" w:rsidP="00BD4B12"/>
    <w:p w14:paraId="41991EE4" w14:textId="77777777" w:rsidR="00FD1B20" w:rsidRDefault="00FD1B20" w:rsidP="00BD4B12"/>
    <w:p w14:paraId="2A7D5512" w14:textId="7B489199" w:rsidR="00E66558" w:rsidRDefault="009D71E8">
      <w:pPr>
        <w:pStyle w:val="Heading2"/>
      </w:pPr>
      <w:r>
        <w:lastRenderedPageBreak/>
        <w:t>Activity in this academic year</w:t>
      </w:r>
    </w:p>
    <w:p w14:paraId="2A7D5513" w14:textId="603E7BD1" w:rsidR="00E66558" w:rsidRDefault="009D71E8">
      <w:pPr>
        <w:spacing w:after="480"/>
      </w:pPr>
      <w:r>
        <w:t>This details how we intend to spend our pupil premium (and recovery premium</w:t>
      </w:r>
      <w:r w:rsidR="00A112B5">
        <w:t>)</w:t>
      </w:r>
      <w:r>
        <w:t xml:space="preserve">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1868837E" w:rsidR="00E66558" w:rsidRDefault="00AF7E98">
      <w:r>
        <w:t xml:space="preserve">Budgeted cost: </w:t>
      </w:r>
      <w:r w:rsidRPr="00046355">
        <w:t>£</w:t>
      </w:r>
      <w:r w:rsidRPr="00046355">
        <w:rPr>
          <w:i/>
          <w:iCs/>
        </w:rPr>
        <w:t>30,000</w:t>
      </w:r>
    </w:p>
    <w:tbl>
      <w:tblPr>
        <w:tblW w:w="5000" w:type="pct"/>
        <w:tblCellMar>
          <w:left w:w="10" w:type="dxa"/>
          <w:right w:w="10" w:type="dxa"/>
        </w:tblCellMar>
        <w:tblLook w:val="04A0" w:firstRow="1" w:lastRow="0" w:firstColumn="1" w:lastColumn="0" w:noHBand="0" w:noVBand="1"/>
      </w:tblPr>
      <w:tblGrid>
        <w:gridCol w:w="1916"/>
        <w:gridCol w:w="5871"/>
        <w:gridCol w:w="1699"/>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58B6D33F" w:rsidR="00E66558" w:rsidRPr="00282259" w:rsidRDefault="00D73D48">
            <w:pPr>
              <w:pStyle w:val="TableRow"/>
              <w:rPr>
                <w:sz w:val="22"/>
                <w:szCs w:val="22"/>
              </w:rPr>
            </w:pPr>
            <w:r w:rsidRPr="00282259">
              <w:rPr>
                <w:sz w:val="22"/>
                <w:szCs w:val="22"/>
              </w:rPr>
              <w:t xml:space="preserve">All staff trained in Read, Write, </w:t>
            </w:r>
            <w:proofErr w:type="spellStart"/>
            <w:r w:rsidRPr="00282259">
              <w:rPr>
                <w:sz w:val="22"/>
                <w:szCs w:val="22"/>
              </w:rPr>
              <w:t>inc</w:t>
            </w:r>
            <w:proofErr w:type="spellEnd"/>
            <w:r w:rsidRPr="00282259">
              <w:rPr>
                <w:sz w:val="22"/>
                <w:szCs w:val="22"/>
              </w:rPr>
              <w:t xml:space="preserve"> and small group sessions through more staff being trained. Phonics lead to monitor closely to ensure continuity.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596CD7" w14:textId="6A4F49E8" w:rsidR="00E66558" w:rsidRPr="00282259" w:rsidRDefault="00D73D48">
            <w:pPr>
              <w:pStyle w:val="TableRowCentered"/>
              <w:jc w:val="left"/>
              <w:rPr>
                <w:sz w:val="22"/>
                <w:szCs w:val="22"/>
              </w:rPr>
            </w:pPr>
            <w:r w:rsidRPr="00282259">
              <w:rPr>
                <w:sz w:val="22"/>
                <w:szCs w:val="22"/>
              </w:rPr>
              <w:t>Phonics +5 months</w:t>
            </w:r>
          </w:p>
          <w:p w14:paraId="7ED33D44" w14:textId="1373D7B2" w:rsidR="00282259" w:rsidRPr="00282259" w:rsidRDefault="00F15BA1">
            <w:pPr>
              <w:pStyle w:val="TableRowCentered"/>
              <w:jc w:val="left"/>
              <w:rPr>
                <w:sz w:val="22"/>
                <w:szCs w:val="22"/>
              </w:rPr>
            </w:pPr>
            <w:hyperlink r:id="rId8" w:history="1">
              <w:r w:rsidR="00282259" w:rsidRPr="00282259">
                <w:rPr>
                  <w:rStyle w:val="Hyperlink"/>
                  <w:sz w:val="22"/>
                  <w:szCs w:val="22"/>
                </w:rPr>
                <w:t>https://educationendowmentfoundation.org.uk/education-evidence/teaching-learning-toolkit/phonics</w:t>
              </w:r>
            </w:hyperlink>
          </w:p>
          <w:p w14:paraId="407B2690" w14:textId="77777777" w:rsidR="00D73D48" w:rsidRPr="00282259" w:rsidRDefault="00D73D48">
            <w:pPr>
              <w:pStyle w:val="TableRowCentered"/>
              <w:jc w:val="left"/>
              <w:rPr>
                <w:sz w:val="22"/>
                <w:szCs w:val="22"/>
              </w:rPr>
            </w:pPr>
          </w:p>
          <w:p w14:paraId="5063F846" w14:textId="7E153137" w:rsidR="00D73D48" w:rsidRPr="00282259" w:rsidRDefault="00D73D48">
            <w:pPr>
              <w:pStyle w:val="TableRowCentered"/>
              <w:jc w:val="left"/>
              <w:rPr>
                <w:sz w:val="22"/>
                <w:szCs w:val="22"/>
              </w:rPr>
            </w:pPr>
            <w:r w:rsidRPr="00282259">
              <w:rPr>
                <w:sz w:val="22"/>
                <w:szCs w:val="22"/>
              </w:rPr>
              <w:t>Small group tuition +4 months</w:t>
            </w:r>
          </w:p>
          <w:p w14:paraId="0E0E03EB" w14:textId="6FB3E94D" w:rsidR="00D73D48" w:rsidRPr="00282259" w:rsidRDefault="00F15BA1">
            <w:pPr>
              <w:pStyle w:val="TableRowCentered"/>
              <w:jc w:val="left"/>
              <w:rPr>
                <w:sz w:val="22"/>
                <w:szCs w:val="22"/>
              </w:rPr>
            </w:pPr>
            <w:hyperlink r:id="rId9" w:history="1">
              <w:r w:rsidR="00282259" w:rsidRPr="00282259">
                <w:rPr>
                  <w:rStyle w:val="Hyperlink"/>
                  <w:sz w:val="22"/>
                  <w:szCs w:val="22"/>
                </w:rPr>
                <w:t>https://educationendowmentfoundation.org.uk/education-evidence/teaching-learning-toolkit/small-group-tuition</w:t>
              </w:r>
            </w:hyperlink>
          </w:p>
          <w:p w14:paraId="6F9B4AA6" w14:textId="77777777" w:rsidR="00282259" w:rsidRPr="00282259" w:rsidRDefault="00282259">
            <w:pPr>
              <w:pStyle w:val="TableRowCentered"/>
              <w:jc w:val="left"/>
              <w:rPr>
                <w:sz w:val="22"/>
                <w:szCs w:val="22"/>
              </w:rPr>
            </w:pPr>
          </w:p>
          <w:p w14:paraId="2A7D551B" w14:textId="14886A55" w:rsidR="00D73D48" w:rsidRPr="00282259" w:rsidRDefault="00D73D48">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135B829E" w:rsidR="00E66558" w:rsidRPr="00282259" w:rsidRDefault="00D73D48">
            <w:pPr>
              <w:pStyle w:val="TableRowCentered"/>
              <w:jc w:val="left"/>
              <w:rPr>
                <w:sz w:val="22"/>
                <w:szCs w:val="22"/>
              </w:rPr>
            </w:pPr>
            <w:r w:rsidRPr="00282259">
              <w:rPr>
                <w:sz w:val="22"/>
                <w:szCs w:val="22"/>
              </w:rPr>
              <w:t>5</w:t>
            </w: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0639AC8B" w:rsidR="00E66558" w:rsidRPr="00282259" w:rsidRDefault="00D73D48">
            <w:pPr>
              <w:pStyle w:val="TableRow"/>
              <w:rPr>
                <w:sz w:val="22"/>
                <w:szCs w:val="22"/>
              </w:rPr>
            </w:pPr>
            <w:r w:rsidRPr="00282259">
              <w:rPr>
                <w:sz w:val="22"/>
                <w:szCs w:val="22"/>
              </w:rPr>
              <w:t>RWI video links and books sent home linked to each child’s phonics group</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E628F" w14:textId="7158B860" w:rsidR="00E66558" w:rsidRPr="00282259" w:rsidRDefault="00D73D48">
            <w:pPr>
              <w:pStyle w:val="TableRowCentered"/>
              <w:jc w:val="left"/>
              <w:rPr>
                <w:sz w:val="22"/>
                <w:szCs w:val="22"/>
              </w:rPr>
            </w:pPr>
            <w:r w:rsidRPr="00282259">
              <w:rPr>
                <w:sz w:val="22"/>
                <w:szCs w:val="22"/>
              </w:rPr>
              <w:t>Parental engagement +4months</w:t>
            </w:r>
          </w:p>
          <w:p w14:paraId="2A7D551F" w14:textId="7AA6A6B7" w:rsidR="00D73D48" w:rsidRPr="00282259" w:rsidRDefault="00F15BA1">
            <w:pPr>
              <w:pStyle w:val="TableRowCentered"/>
              <w:jc w:val="left"/>
              <w:rPr>
                <w:sz w:val="22"/>
                <w:szCs w:val="22"/>
              </w:rPr>
            </w:pPr>
            <w:hyperlink r:id="rId10" w:history="1">
              <w:r w:rsidR="00D73D48" w:rsidRPr="00282259">
                <w:rPr>
                  <w:rStyle w:val="Hyperlink"/>
                  <w:sz w:val="22"/>
                  <w:szCs w:val="22"/>
                </w:rPr>
                <w:t>https://educationendowmentfoundation.org.uk/education-evidence/teaching-learning-toolkit/parental-engagement</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078C350F" w:rsidR="00E66558" w:rsidRPr="00282259" w:rsidRDefault="00282259">
            <w:pPr>
              <w:pStyle w:val="TableRowCentered"/>
              <w:jc w:val="left"/>
              <w:rPr>
                <w:sz w:val="22"/>
                <w:szCs w:val="22"/>
              </w:rPr>
            </w:pPr>
            <w:r>
              <w:rPr>
                <w:sz w:val="22"/>
                <w:szCs w:val="22"/>
              </w:rPr>
              <w:t>5</w:t>
            </w:r>
          </w:p>
        </w:tc>
      </w:tr>
      <w:tr w:rsidR="00D73D48" w14:paraId="2864651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35D275" w14:textId="3FA53BFC" w:rsidR="00D73D48" w:rsidRPr="00282259" w:rsidRDefault="00D73D48">
            <w:pPr>
              <w:pStyle w:val="TableRow"/>
              <w:rPr>
                <w:sz w:val="22"/>
                <w:szCs w:val="22"/>
              </w:rPr>
            </w:pPr>
            <w:r w:rsidRPr="00282259">
              <w:rPr>
                <w:sz w:val="22"/>
                <w:szCs w:val="22"/>
              </w:rPr>
              <w:t xml:space="preserve">To </w:t>
            </w:r>
            <w:r w:rsidR="00B76370">
              <w:rPr>
                <w:sz w:val="22"/>
                <w:szCs w:val="22"/>
              </w:rPr>
              <w:t>continue to embed</w:t>
            </w:r>
            <w:r w:rsidRPr="00282259">
              <w:rPr>
                <w:sz w:val="22"/>
                <w:szCs w:val="22"/>
              </w:rPr>
              <w:t xml:space="preserve"> ‘Reading VIPERS’ in Y2-Y6.</w:t>
            </w:r>
          </w:p>
          <w:p w14:paraId="4F005433" w14:textId="77777777" w:rsidR="00D73D48" w:rsidRPr="00282259" w:rsidRDefault="00D73D48">
            <w:pPr>
              <w:pStyle w:val="TableRow"/>
              <w:rPr>
                <w:sz w:val="22"/>
                <w:szCs w:val="22"/>
              </w:rPr>
            </w:pPr>
          </w:p>
          <w:p w14:paraId="25AADE1E" w14:textId="51B3643F" w:rsidR="00D73D48" w:rsidRPr="00282259" w:rsidRDefault="00D73D48">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BE6CA5" w14:textId="488B6F74" w:rsidR="00D73D48" w:rsidRPr="00282259" w:rsidRDefault="00D73D48">
            <w:pPr>
              <w:pStyle w:val="TableRowCentered"/>
              <w:jc w:val="left"/>
              <w:rPr>
                <w:sz w:val="22"/>
                <w:szCs w:val="22"/>
              </w:rPr>
            </w:pPr>
            <w:r w:rsidRPr="00282259">
              <w:rPr>
                <w:sz w:val="22"/>
                <w:szCs w:val="22"/>
              </w:rPr>
              <w:t>Reading comprehension strategies +6months</w:t>
            </w:r>
          </w:p>
          <w:p w14:paraId="35A46A3D" w14:textId="5CE02A2A" w:rsidR="00D73D48" w:rsidRPr="00282259" w:rsidRDefault="00F15BA1">
            <w:pPr>
              <w:pStyle w:val="TableRowCentered"/>
              <w:jc w:val="left"/>
              <w:rPr>
                <w:sz w:val="22"/>
                <w:szCs w:val="22"/>
              </w:rPr>
            </w:pPr>
            <w:hyperlink r:id="rId11" w:history="1">
              <w:r w:rsidR="00D73D48" w:rsidRPr="00282259">
                <w:rPr>
                  <w:rStyle w:val="Hyperlink"/>
                  <w:sz w:val="22"/>
                  <w:szCs w:val="22"/>
                </w:rPr>
                <w:t>https://educationendowmentfoundation.org.uk/education-evidence/teaching-learning-toolkit/reading-comprehension-strategies</w:t>
              </w:r>
            </w:hyperlink>
          </w:p>
          <w:p w14:paraId="2717F333" w14:textId="44D189E8" w:rsidR="00D73D48" w:rsidRPr="00282259" w:rsidRDefault="00D73D48">
            <w:pPr>
              <w:pStyle w:val="TableRowCentered"/>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9BE3F" w14:textId="4242F681" w:rsidR="00D73D48" w:rsidRPr="00282259" w:rsidRDefault="00282259">
            <w:pPr>
              <w:pStyle w:val="TableRowCentered"/>
              <w:jc w:val="left"/>
              <w:rPr>
                <w:sz w:val="22"/>
                <w:szCs w:val="22"/>
              </w:rPr>
            </w:pPr>
            <w:r>
              <w:rPr>
                <w:sz w:val="22"/>
                <w:szCs w:val="22"/>
              </w:rPr>
              <w:t>5</w:t>
            </w:r>
          </w:p>
        </w:tc>
      </w:tr>
      <w:tr w:rsidR="00855A63" w14:paraId="22C23C56"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85D403" w14:textId="307F0833" w:rsidR="00855A63" w:rsidRPr="00282259" w:rsidRDefault="00855A63">
            <w:pPr>
              <w:pStyle w:val="TableRow"/>
              <w:rPr>
                <w:sz w:val="22"/>
                <w:szCs w:val="22"/>
              </w:rPr>
            </w:pPr>
            <w:r w:rsidRPr="00282259">
              <w:rPr>
                <w:sz w:val="22"/>
                <w:szCs w:val="22"/>
              </w:rPr>
              <w:t>Teachers to target disadvantaged pupils within writing sessions to achieve writing expectations.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40A791" w14:textId="77777777" w:rsidR="00282259" w:rsidRPr="00282259" w:rsidRDefault="00282259" w:rsidP="00282259">
            <w:pPr>
              <w:pStyle w:val="TableRowCentered"/>
              <w:ind w:left="0"/>
              <w:jc w:val="left"/>
              <w:rPr>
                <w:sz w:val="22"/>
                <w:szCs w:val="22"/>
              </w:rPr>
            </w:pPr>
            <w:r w:rsidRPr="00282259">
              <w:rPr>
                <w:sz w:val="22"/>
                <w:szCs w:val="22"/>
              </w:rPr>
              <w:t>Individualised instruction +4 months</w:t>
            </w:r>
          </w:p>
          <w:p w14:paraId="06BF2009" w14:textId="7B7F4B65" w:rsidR="00282259" w:rsidRPr="00282259" w:rsidRDefault="00F15BA1" w:rsidP="00282259">
            <w:pPr>
              <w:pStyle w:val="TableRowCentered"/>
              <w:ind w:left="0"/>
              <w:jc w:val="left"/>
              <w:rPr>
                <w:sz w:val="22"/>
                <w:szCs w:val="22"/>
              </w:rPr>
            </w:pPr>
            <w:hyperlink r:id="rId12" w:history="1">
              <w:r w:rsidR="00282259" w:rsidRPr="00282259">
                <w:rPr>
                  <w:rStyle w:val="Hyperlink"/>
                  <w:sz w:val="22"/>
                  <w:szCs w:val="22"/>
                </w:rPr>
                <w:t>https://educationendowmentfoundation.org.uk/education-evidence/teaching-learning-toolkit/individualised-instruction</w:t>
              </w:r>
            </w:hyperlink>
          </w:p>
          <w:p w14:paraId="5D7C657D" w14:textId="09DA24E4" w:rsidR="00282259" w:rsidRPr="00282259" w:rsidRDefault="00282259" w:rsidP="00282259">
            <w:pPr>
              <w:pStyle w:val="TableRowCentered"/>
              <w:ind w:left="0"/>
              <w:jc w:val="left"/>
              <w:rPr>
                <w:sz w:val="22"/>
                <w:szCs w:val="22"/>
              </w:rPr>
            </w:pPr>
          </w:p>
          <w:p w14:paraId="10C5F1EF" w14:textId="4C006A0B" w:rsidR="00282259" w:rsidRPr="00282259" w:rsidRDefault="00282259" w:rsidP="00282259">
            <w:pPr>
              <w:pStyle w:val="TableRowCentered"/>
              <w:ind w:left="0"/>
              <w:jc w:val="left"/>
              <w:rPr>
                <w:sz w:val="22"/>
                <w:szCs w:val="22"/>
              </w:rPr>
            </w:pPr>
            <w:r w:rsidRPr="00282259">
              <w:rPr>
                <w:sz w:val="22"/>
                <w:szCs w:val="22"/>
              </w:rPr>
              <w:t>Small group tuition +4 months</w:t>
            </w:r>
          </w:p>
          <w:p w14:paraId="46F0F9BE" w14:textId="716463BF" w:rsidR="00282259" w:rsidRPr="00282259" w:rsidRDefault="00F15BA1" w:rsidP="00282259">
            <w:pPr>
              <w:pStyle w:val="TableRowCentered"/>
              <w:ind w:left="0"/>
              <w:jc w:val="left"/>
              <w:rPr>
                <w:sz w:val="22"/>
                <w:szCs w:val="22"/>
              </w:rPr>
            </w:pPr>
            <w:hyperlink r:id="rId13" w:history="1">
              <w:r w:rsidR="00282259" w:rsidRPr="00282259">
                <w:rPr>
                  <w:rStyle w:val="Hyperlink"/>
                  <w:sz w:val="22"/>
                  <w:szCs w:val="22"/>
                </w:rPr>
                <w:t>https://educationendowmentfoundation.org.uk/education-evidence/teaching-learning-toolkit/small-group-tuition</w:t>
              </w:r>
            </w:hyperlink>
          </w:p>
          <w:p w14:paraId="04929188" w14:textId="77777777" w:rsidR="00282259" w:rsidRPr="00282259" w:rsidRDefault="00282259" w:rsidP="00282259">
            <w:pPr>
              <w:pStyle w:val="TableRowCentered"/>
              <w:ind w:left="0"/>
              <w:jc w:val="left"/>
              <w:rPr>
                <w:sz w:val="22"/>
                <w:szCs w:val="22"/>
              </w:rPr>
            </w:pPr>
          </w:p>
          <w:p w14:paraId="3FD81CF0" w14:textId="77777777" w:rsidR="00282259" w:rsidRPr="00282259" w:rsidRDefault="00282259" w:rsidP="00282259">
            <w:pPr>
              <w:pStyle w:val="TableRowCentered"/>
              <w:ind w:left="0"/>
              <w:jc w:val="left"/>
              <w:rPr>
                <w:sz w:val="22"/>
                <w:szCs w:val="22"/>
              </w:rPr>
            </w:pPr>
            <w:r w:rsidRPr="00282259">
              <w:rPr>
                <w:sz w:val="22"/>
                <w:szCs w:val="22"/>
              </w:rPr>
              <w:t>Feedback +6 months</w:t>
            </w:r>
          </w:p>
          <w:p w14:paraId="32D6E949" w14:textId="2B6B9D32" w:rsidR="00282259" w:rsidRPr="00282259" w:rsidRDefault="00F15BA1" w:rsidP="00282259">
            <w:pPr>
              <w:pStyle w:val="TableRowCentered"/>
              <w:ind w:left="0"/>
              <w:jc w:val="left"/>
              <w:rPr>
                <w:sz w:val="22"/>
                <w:szCs w:val="22"/>
              </w:rPr>
            </w:pPr>
            <w:hyperlink r:id="rId14" w:history="1">
              <w:r w:rsidR="00282259" w:rsidRPr="00282259">
                <w:rPr>
                  <w:rStyle w:val="Hyperlink"/>
                  <w:sz w:val="22"/>
                  <w:szCs w:val="22"/>
                </w:rPr>
                <w:t>https://educationendowmentfoundation.org.uk/education-evidence/teaching-learning-toolkit/feedback</w:t>
              </w:r>
            </w:hyperlink>
          </w:p>
          <w:p w14:paraId="4DC7DFF3" w14:textId="77777777" w:rsidR="00282259" w:rsidRPr="00282259" w:rsidRDefault="00282259" w:rsidP="00282259">
            <w:pPr>
              <w:pStyle w:val="TableRowCentered"/>
              <w:ind w:left="0"/>
              <w:jc w:val="left"/>
              <w:rPr>
                <w:sz w:val="22"/>
                <w:szCs w:val="22"/>
              </w:rPr>
            </w:pPr>
          </w:p>
          <w:p w14:paraId="7C2358CB" w14:textId="7C010273" w:rsidR="00282259" w:rsidRPr="00282259" w:rsidRDefault="00282259" w:rsidP="00282259">
            <w:pPr>
              <w:pStyle w:val="TableRowCentered"/>
              <w:ind w:lef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125E8D" w14:textId="2CF75E27" w:rsidR="00855A63" w:rsidRPr="00282259" w:rsidRDefault="00282259">
            <w:pPr>
              <w:pStyle w:val="TableRowCentered"/>
              <w:jc w:val="left"/>
              <w:rPr>
                <w:sz w:val="22"/>
                <w:szCs w:val="22"/>
              </w:rPr>
            </w:pPr>
            <w:r>
              <w:rPr>
                <w:sz w:val="22"/>
                <w:szCs w:val="22"/>
              </w:rPr>
              <w:t>2</w:t>
            </w:r>
          </w:p>
        </w:tc>
      </w:tr>
      <w:tr w:rsidR="00282259" w14:paraId="7F128DA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711A5" w14:textId="5BACE78E" w:rsidR="00282259" w:rsidRPr="00282259" w:rsidRDefault="00282259">
            <w:pPr>
              <w:pStyle w:val="TableRow"/>
              <w:rPr>
                <w:sz w:val="22"/>
                <w:szCs w:val="22"/>
              </w:rPr>
            </w:pPr>
            <w:r w:rsidRPr="00282259">
              <w:rPr>
                <w:sz w:val="22"/>
                <w:szCs w:val="22"/>
              </w:rPr>
              <w:lastRenderedPageBreak/>
              <w:t>Whole school focus on improving spelling using CUSP spelling.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FBA6F" w14:textId="77777777" w:rsidR="00282259" w:rsidRPr="00282259" w:rsidRDefault="00282259" w:rsidP="00282259">
            <w:pPr>
              <w:pStyle w:val="TableRowCentered"/>
              <w:ind w:left="0"/>
              <w:jc w:val="left"/>
              <w:rPr>
                <w:sz w:val="22"/>
                <w:szCs w:val="22"/>
              </w:rPr>
            </w:pPr>
            <w:r w:rsidRPr="00282259">
              <w:rPr>
                <w:sz w:val="22"/>
                <w:szCs w:val="22"/>
              </w:rPr>
              <w:t>Metacognition and self-regulation +7 months</w:t>
            </w:r>
          </w:p>
          <w:p w14:paraId="044FF178" w14:textId="77777777" w:rsidR="00282259" w:rsidRPr="00282259" w:rsidRDefault="00F15BA1" w:rsidP="00282259">
            <w:pPr>
              <w:pStyle w:val="TableRowCentered"/>
              <w:ind w:left="0"/>
              <w:jc w:val="left"/>
              <w:rPr>
                <w:sz w:val="22"/>
                <w:szCs w:val="22"/>
              </w:rPr>
            </w:pPr>
            <w:hyperlink r:id="rId15" w:history="1">
              <w:r w:rsidR="00282259" w:rsidRPr="00282259">
                <w:rPr>
                  <w:rStyle w:val="Hyperlink"/>
                  <w:sz w:val="22"/>
                  <w:szCs w:val="22"/>
                </w:rPr>
                <w:t>https://educationendowmentfoundation.org.uk/education-evidence/teaching-learning-toolkit/metacognition-and-self-regulation</w:t>
              </w:r>
            </w:hyperlink>
          </w:p>
          <w:p w14:paraId="549CCE91" w14:textId="77777777" w:rsidR="00282259" w:rsidRPr="00282259" w:rsidRDefault="00282259" w:rsidP="00282259">
            <w:pPr>
              <w:pStyle w:val="TableRowCentered"/>
              <w:ind w:lef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AD729C" w14:textId="44DFF493" w:rsidR="00282259" w:rsidRPr="00282259" w:rsidRDefault="00282259">
            <w:pPr>
              <w:pStyle w:val="TableRowCentered"/>
              <w:jc w:val="left"/>
              <w:rPr>
                <w:sz w:val="22"/>
                <w:szCs w:val="22"/>
              </w:rPr>
            </w:pPr>
            <w:r>
              <w:rPr>
                <w:sz w:val="22"/>
                <w:szCs w:val="22"/>
              </w:rPr>
              <w:t>2</w:t>
            </w:r>
          </w:p>
        </w:tc>
      </w:tr>
      <w:tr w:rsidR="00282259" w14:paraId="07B815D3"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99249" w14:textId="1058DC22" w:rsidR="00282259" w:rsidRPr="00282259" w:rsidRDefault="00282259">
            <w:pPr>
              <w:pStyle w:val="TableRow"/>
              <w:rPr>
                <w:sz w:val="22"/>
                <w:szCs w:val="22"/>
              </w:rPr>
            </w:pPr>
            <w:r w:rsidRPr="00282259">
              <w:rPr>
                <w:sz w:val="22"/>
                <w:szCs w:val="22"/>
              </w:rPr>
              <w:t xml:space="preserve">Whole school focus on reducing cognitive load </w:t>
            </w:r>
            <w:r>
              <w:rPr>
                <w:sz w:val="22"/>
                <w:szCs w:val="22"/>
              </w:rPr>
              <w:t>with</w:t>
            </w:r>
            <w:r w:rsidRPr="00282259">
              <w:rPr>
                <w:sz w:val="22"/>
                <w:szCs w:val="22"/>
              </w:rPr>
              <w:t>in the learning environment.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A3C5AD" w14:textId="785551F5" w:rsidR="00282259" w:rsidRPr="00282259" w:rsidRDefault="00282259" w:rsidP="00282259">
            <w:pPr>
              <w:pStyle w:val="TableRowCentered"/>
              <w:ind w:left="0"/>
              <w:jc w:val="left"/>
              <w:rPr>
                <w:sz w:val="22"/>
                <w:szCs w:val="22"/>
              </w:rPr>
            </w:pPr>
            <w:r w:rsidRPr="00282259">
              <w:rPr>
                <w:sz w:val="22"/>
                <w:szCs w:val="22"/>
              </w:rPr>
              <w:t>Metacognition and self-regulation +7 months</w:t>
            </w:r>
          </w:p>
          <w:p w14:paraId="02E62828" w14:textId="20E141BD" w:rsidR="00282259" w:rsidRPr="00282259" w:rsidRDefault="00F15BA1" w:rsidP="00282259">
            <w:pPr>
              <w:pStyle w:val="TableRowCentered"/>
              <w:ind w:left="0"/>
              <w:jc w:val="left"/>
              <w:rPr>
                <w:sz w:val="22"/>
                <w:szCs w:val="22"/>
              </w:rPr>
            </w:pPr>
            <w:hyperlink r:id="rId16" w:history="1">
              <w:r w:rsidR="00282259" w:rsidRPr="00282259">
                <w:rPr>
                  <w:rStyle w:val="Hyperlink"/>
                  <w:sz w:val="22"/>
                  <w:szCs w:val="22"/>
                </w:rPr>
                <w:t>https://educationendowmentfoundation.org.uk/education-evidence/teaching-learning-toolkit/metacognition-and-self-regulation</w:t>
              </w:r>
            </w:hyperlink>
          </w:p>
          <w:p w14:paraId="3BDDAC1F" w14:textId="3ECE141B" w:rsidR="00282259" w:rsidRPr="00282259" w:rsidRDefault="00282259" w:rsidP="00282259">
            <w:pPr>
              <w:pStyle w:val="TableRowCentered"/>
              <w:ind w:lef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21048B" w14:textId="03F03104" w:rsidR="00282259" w:rsidRPr="00282259" w:rsidRDefault="00282259">
            <w:pPr>
              <w:pStyle w:val="TableRowCentered"/>
              <w:jc w:val="left"/>
              <w:rPr>
                <w:sz w:val="22"/>
                <w:szCs w:val="22"/>
              </w:rPr>
            </w:pPr>
            <w:r>
              <w:rPr>
                <w:sz w:val="22"/>
                <w:szCs w:val="22"/>
              </w:rPr>
              <w:t>2, 4, 5</w:t>
            </w:r>
          </w:p>
        </w:tc>
      </w:tr>
      <w:tr w:rsidR="0010261A" w14:paraId="6FC1700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3C4928E" w14:textId="55BA1DDC" w:rsidR="0010261A" w:rsidRPr="00282259" w:rsidRDefault="00B76370" w:rsidP="00B76370">
            <w:pPr>
              <w:pStyle w:val="TableRow"/>
              <w:rPr>
                <w:sz w:val="22"/>
                <w:szCs w:val="22"/>
              </w:rPr>
            </w:pPr>
            <w:r>
              <w:rPr>
                <w:sz w:val="22"/>
                <w:szCs w:val="22"/>
              </w:rPr>
              <w:t>Rewriting f</w:t>
            </w:r>
            <w:r w:rsidR="0010261A">
              <w:rPr>
                <w:sz w:val="22"/>
                <w:szCs w:val="22"/>
              </w:rPr>
              <w:t>eedback policy</w:t>
            </w:r>
            <w:r>
              <w:rPr>
                <w:sz w:val="22"/>
                <w:szCs w:val="22"/>
              </w:rPr>
              <w:t xml:space="preserve"> and monitoring feedback across school</w:t>
            </w:r>
            <w:r w:rsidR="0010261A">
              <w:rPr>
                <w:sz w:val="22"/>
                <w:szCs w:val="22"/>
              </w:rPr>
              <w:t xml:space="preserve"> </w:t>
            </w:r>
            <w:r>
              <w:rPr>
                <w:sz w:val="22"/>
                <w:szCs w:val="22"/>
              </w:rPr>
              <w:t xml:space="preserve">to ensure it has a positive impact on progress and attainment.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F33380" w14:textId="77777777" w:rsidR="0010261A" w:rsidRDefault="0010261A" w:rsidP="00282259">
            <w:pPr>
              <w:pStyle w:val="TableRowCentered"/>
              <w:ind w:left="0"/>
              <w:jc w:val="left"/>
              <w:rPr>
                <w:sz w:val="22"/>
                <w:szCs w:val="22"/>
              </w:rPr>
            </w:pPr>
            <w:r>
              <w:rPr>
                <w:sz w:val="22"/>
                <w:szCs w:val="22"/>
              </w:rPr>
              <w:t>Feedback +6 months</w:t>
            </w:r>
          </w:p>
          <w:p w14:paraId="76B79900" w14:textId="7CB21BA9" w:rsidR="0010261A" w:rsidRDefault="00F15BA1" w:rsidP="00282259">
            <w:pPr>
              <w:pStyle w:val="TableRowCentered"/>
              <w:ind w:left="0"/>
              <w:jc w:val="left"/>
              <w:rPr>
                <w:sz w:val="22"/>
                <w:szCs w:val="22"/>
              </w:rPr>
            </w:pPr>
            <w:hyperlink r:id="rId17" w:history="1">
              <w:r w:rsidR="0010261A" w:rsidRPr="00696B24">
                <w:rPr>
                  <w:rStyle w:val="Hyperlink"/>
                  <w:sz w:val="22"/>
                  <w:szCs w:val="22"/>
                </w:rPr>
                <w:t>https://educationendowmentfoundation.org.uk/education-evidence/teaching-learning-toolkit/feedback</w:t>
              </w:r>
            </w:hyperlink>
          </w:p>
          <w:p w14:paraId="473706B6" w14:textId="6511CB78" w:rsidR="0010261A" w:rsidRPr="00282259" w:rsidRDefault="0010261A" w:rsidP="00282259">
            <w:pPr>
              <w:pStyle w:val="TableRowCentered"/>
              <w:ind w:lef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0945A4" w14:textId="2573CA1C" w:rsidR="0010261A" w:rsidRDefault="0077593B">
            <w:pPr>
              <w:pStyle w:val="TableRowCentered"/>
              <w:jc w:val="left"/>
              <w:rPr>
                <w:sz w:val="22"/>
                <w:szCs w:val="22"/>
              </w:rPr>
            </w:pPr>
            <w:r>
              <w:rPr>
                <w:sz w:val="22"/>
                <w:szCs w:val="22"/>
              </w:rPr>
              <w:t>2, 5</w:t>
            </w:r>
          </w:p>
        </w:tc>
      </w:tr>
      <w:tr w:rsidR="00B76370" w14:paraId="102D3359"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E845AC" w14:textId="16017CA9" w:rsidR="00B76370" w:rsidRDefault="005140F3" w:rsidP="00B76370">
            <w:pPr>
              <w:pStyle w:val="TableRow"/>
              <w:rPr>
                <w:sz w:val="22"/>
                <w:szCs w:val="22"/>
              </w:rPr>
            </w:pPr>
            <w:r>
              <w:rPr>
                <w:sz w:val="22"/>
                <w:szCs w:val="22"/>
              </w:rPr>
              <w:t xml:space="preserve">Talk 4 Writing training for all staff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E0D00C" w14:textId="77777777" w:rsidR="00B76370" w:rsidRDefault="005140F3" w:rsidP="00282259">
            <w:pPr>
              <w:pStyle w:val="TableRowCentered"/>
              <w:ind w:left="0"/>
              <w:jc w:val="left"/>
              <w:rPr>
                <w:sz w:val="22"/>
                <w:szCs w:val="22"/>
              </w:rPr>
            </w:pPr>
            <w:r>
              <w:rPr>
                <w:sz w:val="22"/>
                <w:szCs w:val="22"/>
              </w:rPr>
              <w:t>Mastery learning +5 months</w:t>
            </w:r>
          </w:p>
          <w:p w14:paraId="71866FEA" w14:textId="52078EEF" w:rsidR="005140F3" w:rsidRDefault="00F15BA1" w:rsidP="00282259">
            <w:pPr>
              <w:pStyle w:val="TableRowCentered"/>
              <w:ind w:left="0"/>
              <w:jc w:val="left"/>
              <w:rPr>
                <w:sz w:val="22"/>
                <w:szCs w:val="22"/>
              </w:rPr>
            </w:pPr>
            <w:hyperlink r:id="rId18" w:history="1">
              <w:r w:rsidR="005140F3" w:rsidRPr="004F7C0C">
                <w:rPr>
                  <w:rStyle w:val="Hyperlink"/>
                  <w:sz w:val="22"/>
                  <w:szCs w:val="22"/>
                </w:rPr>
                <w:t>https://educationendowmentfoundation.org.uk/education-evidence/teaching-learning-toolkit/mastery-learning</w:t>
              </w:r>
            </w:hyperlink>
          </w:p>
          <w:p w14:paraId="29C59D3F" w14:textId="3E663184" w:rsidR="005140F3" w:rsidRDefault="005140F3" w:rsidP="00282259">
            <w:pPr>
              <w:pStyle w:val="TableRowCentered"/>
              <w:ind w:lef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2E317C" w14:textId="65739575" w:rsidR="00B76370" w:rsidRDefault="005140F3">
            <w:pPr>
              <w:pStyle w:val="TableRowCentered"/>
              <w:jc w:val="left"/>
              <w:rPr>
                <w:sz w:val="22"/>
                <w:szCs w:val="22"/>
              </w:rPr>
            </w:pPr>
            <w:r>
              <w:rPr>
                <w:sz w:val="22"/>
                <w:szCs w:val="22"/>
              </w:rPr>
              <w:t>2, 4</w:t>
            </w:r>
          </w:p>
        </w:tc>
      </w:tr>
      <w:tr w:rsidR="005140F3" w14:paraId="0F1401F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C24423" w14:textId="77777777" w:rsidR="005140F3" w:rsidRDefault="005140F3" w:rsidP="00B76370">
            <w:pPr>
              <w:pStyle w:val="TableRow"/>
              <w:rPr>
                <w:sz w:val="22"/>
                <w:szCs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BCA511" w14:textId="77777777" w:rsidR="005140F3" w:rsidRDefault="005140F3" w:rsidP="00282259">
            <w:pPr>
              <w:pStyle w:val="TableRowCentered"/>
              <w:ind w:left="0"/>
              <w:jc w:val="left"/>
              <w:rPr>
                <w:sz w:val="22"/>
                <w:szCs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15596A" w14:textId="77777777" w:rsidR="005140F3" w:rsidRDefault="005140F3">
            <w:pPr>
              <w:pStyle w:val="TableRowCentered"/>
              <w:jc w:val="left"/>
              <w:rPr>
                <w:sz w:val="22"/>
                <w:szCs w:val="22"/>
              </w:rPr>
            </w:pPr>
          </w:p>
        </w:tc>
      </w:tr>
    </w:tbl>
    <w:p w14:paraId="2A7D5522" w14:textId="77777777" w:rsidR="00E66558" w:rsidRDefault="00E66558" w:rsidP="00ED5108"/>
    <w:p w14:paraId="2A7D5523" w14:textId="5B2BE35F" w:rsidR="00E66558" w:rsidRPr="00AA355B" w:rsidRDefault="009D71E8" w:rsidP="00AA355B">
      <w:pPr>
        <w:pStyle w:val="Heading3"/>
      </w:pPr>
      <w:r>
        <w:t xml:space="preserve">Targeted academic support (for example, </w:t>
      </w:r>
      <w:r w:rsidR="00D33FE5">
        <w:t>tutoring, one-to-one support</w:t>
      </w:r>
      <w:r w:rsidR="00F776E1">
        <w:t>,</w:t>
      </w:r>
      <w:r w:rsidR="00D33FE5">
        <w:t xml:space="preserve"> </w:t>
      </w:r>
      <w:r>
        <w:t xml:space="preserve">structured interventions) </w:t>
      </w:r>
    </w:p>
    <w:p w14:paraId="2A7D5524" w14:textId="323E1C09" w:rsidR="00E66558" w:rsidRDefault="00AF7E98">
      <w:r>
        <w:t xml:space="preserve">Budgeted cost: </w:t>
      </w:r>
      <w:r w:rsidRPr="00046355">
        <w:t>£</w:t>
      </w:r>
      <w:r w:rsidR="00C7623D">
        <w:t>14,957</w:t>
      </w:r>
    </w:p>
    <w:tbl>
      <w:tblPr>
        <w:tblW w:w="5000" w:type="pct"/>
        <w:tblCellMar>
          <w:left w:w="10" w:type="dxa"/>
          <w:right w:w="10" w:type="dxa"/>
        </w:tblCellMar>
        <w:tblLook w:val="04A0" w:firstRow="1" w:lastRow="0" w:firstColumn="1" w:lastColumn="0" w:noHBand="0" w:noVBand="1"/>
      </w:tblPr>
      <w:tblGrid>
        <w:gridCol w:w="1843"/>
        <w:gridCol w:w="5871"/>
        <w:gridCol w:w="1772"/>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0CF47817" w:rsidR="00E66558" w:rsidRDefault="007C7E4E">
            <w:pPr>
              <w:pStyle w:val="TableRow"/>
            </w:pPr>
            <w:r w:rsidRPr="00C97097">
              <w:rPr>
                <w:sz w:val="22"/>
              </w:rPr>
              <w:t>Embedding a range of CPD to address speech and language which will support targeted interventions (NELI, ERT)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55F7CF" w14:textId="77777777" w:rsidR="007C7E4E" w:rsidRPr="00282259" w:rsidRDefault="007C7E4E" w:rsidP="007C7E4E">
            <w:pPr>
              <w:pStyle w:val="TableRowCentered"/>
              <w:ind w:left="0"/>
              <w:jc w:val="left"/>
              <w:rPr>
                <w:sz w:val="22"/>
                <w:szCs w:val="22"/>
              </w:rPr>
            </w:pPr>
            <w:r w:rsidRPr="00282259">
              <w:rPr>
                <w:sz w:val="22"/>
                <w:szCs w:val="22"/>
              </w:rPr>
              <w:t>Small group tuition +4 months</w:t>
            </w:r>
          </w:p>
          <w:p w14:paraId="23109791" w14:textId="77777777" w:rsidR="007C7E4E" w:rsidRPr="00282259" w:rsidRDefault="00F15BA1" w:rsidP="007C7E4E">
            <w:pPr>
              <w:pStyle w:val="TableRowCentered"/>
              <w:ind w:left="0"/>
              <w:jc w:val="left"/>
              <w:rPr>
                <w:sz w:val="22"/>
                <w:szCs w:val="22"/>
              </w:rPr>
            </w:pPr>
            <w:hyperlink r:id="rId19" w:history="1">
              <w:r w:rsidR="007C7E4E" w:rsidRPr="00282259">
                <w:rPr>
                  <w:rStyle w:val="Hyperlink"/>
                  <w:sz w:val="22"/>
                  <w:szCs w:val="22"/>
                </w:rPr>
                <w:t>https://educationendowmentfoundation.org.uk/education-evidence/teaching-learning-toolkit/small-group-tuition</w:t>
              </w:r>
            </w:hyperlink>
          </w:p>
          <w:p w14:paraId="2A7D552A"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38F8C0B3" w:rsidR="00E66558" w:rsidRDefault="0077593B">
            <w:pPr>
              <w:pStyle w:val="TableRowCentered"/>
              <w:jc w:val="left"/>
              <w:rPr>
                <w:sz w:val="22"/>
              </w:rPr>
            </w:pPr>
            <w:r>
              <w:rPr>
                <w:sz w:val="22"/>
              </w:rPr>
              <w:t>4</w:t>
            </w: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2A0956D7" w:rsidR="00E66558" w:rsidRPr="007C7E4E" w:rsidRDefault="007C7E4E">
            <w:pPr>
              <w:pStyle w:val="TableRow"/>
              <w:rPr>
                <w:sz w:val="22"/>
              </w:rPr>
            </w:pPr>
            <w:r>
              <w:rPr>
                <w:sz w:val="22"/>
              </w:rPr>
              <w:t xml:space="preserve">Embedding </w:t>
            </w:r>
            <w:proofErr w:type="spellStart"/>
            <w:r>
              <w:rPr>
                <w:sz w:val="22"/>
              </w:rPr>
              <w:t>Maketon</w:t>
            </w:r>
            <w:proofErr w:type="spellEnd"/>
            <w:r>
              <w:rPr>
                <w:sz w:val="22"/>
              </w:rPr>
              <w:t xml:space="preserve"> training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3894B1A5" w:rsidR="00E66558" w:rsidRDefault="000375D9">
            <w:pPr>
              <w:pStyle w:val="TableRowCentered"/>
              <w:jc w:val="left"/>
              <w:rPr>
                <w:sz w:val="22"/>
              </w:rPr>
            </w:pPr>
            <w:proofErr w:type="spellStart"/>
            <w:r>
              <w:rPr>
                <w:sz w:val="22"/>
              </w:rPr>
              <w:t>Maketon</w:t>
            </w:r>
            <w:proofErr w:type="spellEnd"/>
            <w:r>
              <w:rPr>
                <w:sz w:val="22"/>
              </w:rPr>
              <w:t xml:space="preserve"> is proven to have a significant impact on helping non-verbal children communicate.</w:t>
            </w: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04831FBB" w:rsidR="00E66558" w:rsidRDefault="0077593B">
            <w:pPr>
              <w:pStyle w:val="TableRowCentered"/>
              <w:jc w:val="left"/>
              <w:rPr>
                <w:sz w:val="22"/>
              </w:rPr>
            </w:pPr>
            <w:r>
              <w:rPr>
                <w:sz w:val="22"/>
              </w:rPr>
              <w:t>4</w:t>
            </w:r>
          </w:p>
        </w:tc>
      </w:tr>
      <w:tr w:rsidR="00307FD4" w14:paraId="2FB0B3C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1F9DA" w14:textId="476A5E35" w:rsidR="00307FD4" w:rsidRDefault="00307FD4" w:rsidP="00307FD4">
            <w:pPr>
              <w:pStyle w:val="TableRow"/>
              <w:rPr>
                <w:sz w:val="22"/>
              </w:rPr>
            </w:pPr>
            <w:r>
              <w:rPr>
                <w:sz w:val="22"/>
              </w:rPr>
              <w:lastRenderedPageBreak/>
              <w:t>5 Minute Literacy Box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DB14A" w14:textId="77777777" w:rsidR="00307FD4" w:rsidRDefault="00307FD4" w:rsidP="00307FD4">
            <w:pPr>
              <w:pStyle w:val="TableRowCentered"/>
              <w:jc w:val="left"/>
              <w:rPr>
                <w:sz w:val="22"/>
              </w:rPr>
            </w:pPr>
            <w:r>
              <w:rPr>
                <w:sz w:val="22"/>
              </w:rPr>
              <w:t>Teaching assistant interventions +4 months</w:t>
            </w:r>
          </w:p>
          <w:p w14:paraId="15E73F00" w14:textId="5AD2BE16" w:rsidR="00307FD4" w:rsidRDefault="00F15BA1" w:rsidP="00307FD4">
            <w:pPr>
              <w:pStyle w:val="TableRowCentered"/>
              <w:jc w:val="left"/>
              <w:rPr>
                <w:sz w:val="22"/>
              </w:rPr>
            </w:pPr>
            <w:hyperlink r:id="rId20" w:history="1">
              <w:r w:rsidR="00307FD4" w:rsidRPr="00696B24">
                <w:rPr>
                  <w:rStyle w:val="Hyperlink"/>
                  <w:sz w:val="22"/>
                </w:rPr>
                <w:t>https://educationendowmentfoundation.org.uk/education-evidence/teaching-learning-toolkit/teaching-assistant-interventions</w:t>
              </w:r>
            </w:hyperlink>
          </w:p>
          <w:p w14:paraId="61D336EB" w14:textId="3E38DCD8" w:rsidR="00E124A0" w:rsidRDefault="00E124A0" w:rsidP="00307FD4">
            <w:pPr>
              <w:pStyle w:val="TableRowCentered"/>
              <w:jc w:val="left"/>
              <w:rPr>
                <w:sz w:val="22"/>
              </w:rPr>
            </w:pPr>
          </w:p>
          <w:p w14:paraId="4C24CD80" w14:textId="77777777" w:rsidR="00E124A0" w:rsidRPr="00282259" w:rsidRDefault="00E124A0" w:rsidP="00E124A0">
            <w:pPr>
              <w:pStyle w:val="TableRowCentered"/>
              <w:jc w:val="left"/>
              <w:rPr>
                <w:sz w:val="22"/>
                <w:szCs w:val="22"/>
              </w:rPr>
            </w:pPr>
            <w:r w:rsidRPr="00282259">
              <w:rPr>
                <w:sz w:val="22"/>
                <w:szCs w:val="22"/>
              </w:rPr>
              <w:t>Phonics +5 months</w:t>
            </w:r>
          </w:p>
          <w:p w14:paraId="15EB01AE" w14:textId="37201FD2" w:rsidR="00307FD4" w:rsidRPr="00E124A0" w:rsidRDefault="00F15BA1" w:rsidP="00E124A0">
            <w:pPr>
              <w:pStyle w:val="TableRowCentered"/>
              <w:jc w:val="left"/>
              <w:rPr>
                <w:sz w:val="22"/>
                <w:szCs w:val="22"/>
              </w:rPr>
            </w:pPr>
            <w:hyperlink r:id="rId21" w:history="1">
              <w:r w:rsidR="00E124A0" w:rsidRPr="00282259">
                <w:rPr>
                  <w:rStyle w:val="Hyperlink"/>
                  <w:sz w:val="22"/>
                  <w:szCs w:val="22"/>
                </w:rPr>
                <w:t>https://educationendowmentfoundation.org.uk/education-evidence/teaching-learning-toolkit/phonics</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AC2FBF" w14:textId="79393C27" w:rsidR="00307FD4" w:rsidRDefault="0077593B">
            <w:pPr>
              <w:pStyle w:val="TableRowCentered"/>
              <w:jc w:val="left"/>
              <w:rPr>
                <w:sz w:val="22"/>
              </w:rPr>
            </w:pPr>
            <w:r>
              <w:rPr>
                <w:sz w:val="22"/>
              </w:rPr>
              <w:t>5</w:t>
            </w:r>
          </w:p>
        </w:tc>
      </w:tr>
      <w:tr w:rsidR="00307FD4" w14:paraId="1EECC3C2"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7B5BCDD" w14:textId="5C83CDA0" w:rsidR="00307FD4" w:rsidRDefault="00307FD4">
            <w:pPr>
              <w:pStyle w:val="TableRow"/>
              <w:rPr>
                <w:sz w:val="22"/>
              </w:rPr>
            </w:pPr>
            <w:r>
              <w:rPr>
                <w:sz w:val="22"/>
              </w:rPr>
              <w:t>Fresh Start Phonics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2C64E5" w14:textId="77777777" w:rsidR="00E124A0" w:rsidRPr="00282259" w:rsidRDefault="00E124A0" w:rsidP="00E124A0">
            <w:pPr>
              <w:pStyle w:val="TableRowCentered"/>
              <w:jc w:val="left"/>
              <w:rPr>
                <w:sz w:val="22"/>
                <w:szCs w:val="22"/>
              </w:rPr>
            </w:pPr>
            <w:r w:rsidRPr="00282259">
              <w:rPr>
                <w:sz w:val="22"/>
                <w:szCs w:val="22"/>
              </w:rPr>
              <w:t>Phonics +5 months</w:t>
            </w:r>
          </w:p>
          <w:p w14:paraId="4C274E07" w14:textId="77777777" w:rsidR="00E124A0" w:rsidRPr="00282259" w:rsidRDefault="00F15BA1" w:rsidP="00E124A0">
            <w:pPr>
              <w:pStyle w:val="TableRowCentered"/>
              <w:jc w:val="left"/>
              <w:rPr>
                <w:sz w:val="22"/>
                <w:szCs w:val="22"/>
              </w:rPr>
            </w:pPr>
            <w:hyperlink r:id="rId22" w:history="1">
              <w:r w:rsidR="00E124A0" w:rsidRPr="00282259">
                <w:rPr>
                  <w:rStyle w:val="Hyperlink"/>
                  <w:sz w:val="22"/>
                  <w:szCs w:val="22"/>
                </w:rPr>
                <w:t>https://educationendowmentfoundation.org.uk/education-evidence/teaching-learning-toolkit/phonics</w:t>
              </w:r>
            </w:hyperlink>
          </w:p>
          <w:p w14:paraId="7D477221" w14:textId="77777777" w:rsidR="00E124A0" w:rsidRDefault="00E124A0" w:rsidP="00307FD4">
            <w:pPr>
              <w:pStyle w:val="TableRowCentered"/>
              <w:jc w:val="left"/>
              <w:rPr>
                <w:sz w:val="22"/>
              </w:rPr>
            </w:pPr>
          </w:p>
          <w:p w14:paraId="43F47AAB" w14:textId="754543D0" w:rsidR="00307FD4" w:rsidRDefault="00307FD4" w:rsidP="00307FD4">
            <w:pPr>
              <w:pStyle w:val="TableRowCentered"/>
              <w:jc w:val="left"/>
              <w:rPr>
                <w:sz w:val="22"/>
              </w:rPr>
            </w:pPr>
            <w:r>
              <w:rPr>
                <w:sz w:val="22"/>
              </w:rPr>
              <w:t>Teaching assistant interventions +4 months</w:t>
            </w:r>
          </w:p>
          <w:p w14:paraId="1512DA46" w14:textId="77777777" w:rsidR="00307FD4" w:rsidRDefault="00F15BA1" w:rsidP="00307FD4">
            <w:pPr>
              <w:pStyle w:val="TableRowCentered"/>
              <w:jc w:val="left"/>
              <w:rPr>
                <w:sz w:val="22"/>
              </w:rPr>
            </w:pPr>
            <w:hyperlink r:id="rId23" w:history="1">
              <w:r w:rsidR="00307FD4" w:rsidRPr="00696B24">
                <w:rPr>
                  <w:rStyle w:val="Hyperlink"/>
                  <w:sz w:val="22"/>
                </w:rPr>
                <w:t>https://educationendowmentfoundation.org.uk/education-evidence/teaching-learning-toolkit/teaching-assistant-interventions</w:t>
              </w:r>
            </w:hyperlink>
          </w:p>
          <w:p w14:paraId="621B1451" w14:textId="77777777" w:rsidR="00307FD4" w:rsidRDefault="00307FD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E763CF" w14:textId="150DCEA2" w:rsidR="00307FD4" w:rsidRDefault="0077593B">
            <w:pPr>
              <w:pStyle w:val="TableRowCentered"/>
              <w:jc w:val="left"/>
              <w:rPr>
                <w:sz w:val="22"/>
              </w:rPr>
            </w:pPr>
            <w:r>
              <w:rPr>
                <w:sz w:val="22"/>
              </w:rPr>
              <w:t>5</w:t>
            </w:r>
          </w:p>
        </w:tc>
      </w:tr>
      <w:tr w:rsidR="00307FD4" w14:paraId="4FE047A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112A5" w14:textId="68BA51C7" w:rsidR="00307FD4" w:rsidRDefault="00307FD4">
            <w:pPr>
              <w:pStyle w:val="TableRow"/>
              <w:rPr>
                <w:sz w:val="22"/>
              </w:rPr>
            </w:pPr>
            <w:r>
              <w:rPr>
                <w:sz w:val="22"/>
              </w:rPr>
              <w:t>Socially Speaking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11C99" w14:textId="77777777" w:rsidR="00E124A0" w:rsidRDefault="00E124A0" w:rsidP="00E124A0">
            <w:pPr>
              <w:pStyle w:val="TableRowCentered"/>
              <w:jc w:val="left"/>
              <w:rPr>
                <w:sz w:val="22"/>
              </w:rPr>
            </w:pPr>
            <w:r>
              <w:rPr>
                <w:sz w:val="22"/>
              </w:rPr>
              <w:t>Oral language interventions +6 months</w:t>
            </w:r>
          </w:p>
          <w:p w14:paraId="5CC315D0" w14:textId="77777777" w:rsidR="00E124A0" w:rsidRDefault="00F15BA1" w:rsidP="00E124A0">
            <w:pPr>
              <w:pStyle w:val="TableRowCentered"/>
              <w:jc w:val="left"/>
              <w:rPr>
                <w:sz w:val="22"/>
              </w:rPr>
            </w:pPr>
            <w:hyperlink r:id="rId24" w:history="1">
              <w:r w:rsidR="00E124A0" w:rsidRPr="00696B24">
                <w:rPr>
                  <w:rStyle w:val="Hyperlink"/>
                  <w:sz w:val="22"/>
                </w:rPr>
                <w:t>https://educationendowmentfoundation.org.uk/education-evidence/teaching-learning-toolkit/oral-language-interventions</w:t>
              </w:r>
            </w:hyperlink>
          </w:p>
          <w:p w14:paraId="6B6BCD8E" w14:textId="72245518" w:rsidR="00E124A0" w:rsidRDefault="00E124A0" w:rsidP="00307FD4">
            <w:pPr>
              <w:pStyle w:val="TableRowCentered"/>
              <w:jc w:val="left"/>
              <w:rPr>
                <w:sz w:val="22"/>
              </w:rPr>
            </w:pPr>
          </w:p>
          <w:p w14:paraId="5CB6B7A3" w14:textId="77777777" w:rsidR="00E124A0" w:rsidRDefault="00E124A0" w:rsidP="00E124A0">
            <w:pPr>
              <w:pStyle w:val="TableRowCentered"/>
              <w:jc w:val="left"/>
              <w:rPr>
                <w:sz w:val="22"/>
              </w:rPr>
            </w:pPr>
            <w:r>
              <w:rPr>
                <w:sz w:val="22"/>
              </w:rPr>
              <w:t>Social and emotional learning +4 months</w:t>
            </w:r>
          </w:p>
          <w:p w14:paraId="68AFCFB0" w14:textId="77777777" w:rsidR="00E124A0" w:rsidRDefault="00F15BA1" w:rsidP="00E124A0">
            <w:pPr>
              <w:pStyle w:val="TableRowCentered"/>
              <w:jc w:val="left"/>
              <w:rPr>
                <w:sz w:val="22"/>
              </w:rPr>
            </w:pPr>
            <w:hyperlink r:id="rId25" w:history="1">
              <w:r w:rsidR="00E124A0" w:rsidRPr="00696B24">
                <w:rPr>
                  <w:rStyle w:val="Hyperlink"/>
                  <w:sz w:val="22"/>
                </w:rPr>
                <w:t>https://educationendowmentfoundation.org.uk/education-evidence/teaching-learning-toolkit/social-and-emotional-learning</w:t>
              </w:r>
            </w:hyperlink>
          </w:p>
          <w:p w14:paraId="76E17B6B" w14:textId="77777777" w:rsidR="00E124A0" w:rsidRDefault="00E124A0" w:rsidP="00307FD4">
            <w:pPr>
              <w:pStyle w:val="TableRowCentered"/>
              <w:jc w:val="left"/>
              <w:rPr>
                <w:sz w:val="22"/>
              </w:rPr>
            </w:pPr>
          </w:p>
          <w:p w14:paraId="38053E26" w14:textId="77777777" w:rsidR="00307FD4" w:rsidRDefault="00307FD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2E1B76" w14:textId="5FEB830F" w:rsidR="00307FD4" w:rsidRDefault="0077593B">
            <w:pPr>
              <w:pStyle w:val="TableRowCentered"/>
              <w:jc w:val="left"/>
              <w:rPr>
                <w:sz w:val="22"/>
              </w:rPr>
            </w:pPr>
            <w:r>
              <w:rPr>
                <w:sz w:val="22"/>
              </w:rPr>
              <w:t>1</w:t>
            </w:r>
          </w:p>
        </w:tc>
      </w:tr>
      <w:tr w:rsidR="007C7E4E" w14:paraId="093A47CA"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5ED8A3" w14:textId="1767D722" w:rsidR="007C7E4E" w:rsidRDefault="007C7E4E">
            <w:pPr>
              <w:pStyle w:val="TableRow"/>
              <w:rPr>
                <w:sz w:val="22"/>
              </w:rPr>
            </w:pPr>
            <w:r>
              <w:rPr>
                <w:sz w:val="22"/>
              </w:rPr>
              <w:t>Lego Therapy</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5756DB" w14:textId="77777777" w:rsidR="007C7E4E" w:rsidRDefault="007C7E4E">
            <w:pPr>
              <w:pStyle w:val="TableRowCentered"/>
              <w:jc w:val="left"/>
              <w:rPr>
                <w:sz w:val="22"/>
              </w:rPr>
            </w:pPr>
            <w:r>
              <w:rPr>
                <w:sz w:val="22"/>
              </w:rPr>
              <w:t>Oral language interventions +6 months</w:t>
            </w:r>
          </w:p>
          <w:p w14:paraId="3ECD6427" w14:textId="1A2C058A" w:rsidR="007C7E4E" w:rsidRDefault="00F15BA1">
            <w:pPr>
              <w:pStyle w:val="TableRowCentered"/>
              <w:jc w:val="left"/>
              <w:rPr>
                <w:sz w:val="22"/>
              </w:rPr>
            </w:pPr>
            <w:hyperlink r:id="rId26" w:history="1">
              <w:r w:rsidR="007C7E4E" w:rsidRPr="00696B24">
                <w:rPr>
                  <w:rStyle w:val="Hyperlink"/>
                  <w:sz w:val="22"/>
                </w:rPr>
                <w:t>https://educationendowmentfoundation.org.uk/education-evidence/teaching-learning-toolkit/oral-language-interventions</w:t>
              </w:r>
            </w:hyperlink>
          </w:p>
          <w:p w14:paraId="7FC1AC84" w14:textId="77777777" w:rsidR="007C7E4E" w:rsidRDefault="007C7E4E">
            <w:pPr>
              <w:pStyle w:val="TableRowCentered"/>
              <w:jc w:val="left"/>
              <w:rPr>
                <w:sz w:val="22"/>
              </w:rPr>
            </w:pPr>
          </w:p>
          <w:p w14:paraId="37DFB24F" w14:textId="77777777" w:rsidR="007C7E4E" w:rsidRDefault="007C7E4E">
            <w:pPr>
              <w:pStyle w:val="TableRowCentered"/>
              <w:jc w:val="left"/>
              <w:rPr>
                <w:sz w:val="22"/>
              </w:rPr>
            </w:pPr>
            <w:r>
              <w:rPr>
                <w:sz w:val="22"/>
              </w:rPr>
              <w:t>Social and emotional learning +4 months</w:t>
            </w:r>
          </w:p>
          <w:p w14:paraId="0C50C8D1" w14:textId="0B42D48D" w:rsidR="007C7E4E" w:rsidRDefault="00F15BA1">
            <w:pPr>
              <w:pStyle w:val="TableRowCentered"/>
              <w:jc w:val="left"/>
              <w:rPr>
                <w:sz w:val="22"/>
              </w:rPr>
            </w:pPr>
            <w:hyperlink r:id="rId27" w:history="1">
              <w:r w:rsidR="007C7E4E" w:rsidRPr="00696B24">
                <w:rPr>
                  <w:rStyle w:val="Hyperlink"/>
                  <w:sz w:val="22"/>
                </w:rPr>
                <w:t>https://educationendowmentfoundation.org.uk/education-evidence/teaching-learning-toolkit/social-and-emotional-learning</w:t>
              </w:r>
            </w:hyperlink>
          </w:p>
          <w:p w14:paraId="05A9BBB0" w14:textId="58A6A690" w:rsidR="007C7E4E" w:rsidRDefault="007C7E4E">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1F393" w14:textId="3FCF4013" w:rsidR="007C7E4E" w:rsidRDefault="0077593B">
            <w:pPr>
              <w:pStyle w:val="TableRowCentered"/>
              <w:jc w:val="left"/>
              <w:rPr>
                <w:sz w:val="22"/>
              </w:rPr>
            </w:pPr>
            <w:r>
              <w:rPr>
                <w:sz w:val="22"/>
              </w:rPr>
              <w:t>1</w:t>
            </w:r>
          </w:p>
        </w:tc>
      </w:tr>
      <w:tr w:rsidR="007C7E4E" w14:paraId="4A4728B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F7F49" w14:textId="25BA4E23" w:rsidR="007C7E4E" w:rsidRDefault="00C97097">
            <w:pPr>
              <w:pStyle w:val="TableRow"/>
              <w:rPr>
                <w:sz w:val="22"/>
              </w:rPr>
            </w:pPr>
            <w:proofErr w:type="spellStart"/>
            <w:r>
              <w:rPr>
                <w:sz w:val="22"/>
              </w:rPr>
              <w:t>PiXL</w:t>
            </w:r>
            <w:proofErr w:type="spellEnd"/>
            <w:r>
              <w:rPr>
                <w:sz w:val="22"/>
              </w:rPr>
              <w:t xml:space="preserve"> interventions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A46921" w14:textId="77777777" w:rsidR="00C97097" w:rsidRDefault="00C97097" w:rsidP="00C97097">
            <w:pPr>
              <w:pStyle w:val="TableRowCentered"/>
              <w:jc w:val="left"/>
              <w:rPr>
                <w:sz w:val="22"/>
              </w:rPr>
            </w:pPr>
            <w:r>
              <w:rPr>
                <w:sz w:val="22"/>
              </w:rPr>
              <w:t>Teaching assistant interventions +4 months</w:t>
            </w:r>
          </w:p>
          <w:p w14:paraId="30F406C1" w14:textId="1466C41B" w:rsidR="00C97097" w:rsidRDefault="00F15BA1" w:rsidP="00C97097">
            <w:pPr>
              <w:pStyle w:val="TableRowCentered"/>
              <w:jc w:val="left"/>
              <w:rPr>
                <w:sz w:val="22"/>
              </w:rPr>
            </w:pPr>
            <w:hyperlink r:id="rId28" w:history="1">
              <w:r w:rsidR="00C97097" w:rsidRPr="00696B24">
                <w:rPr>
                  <w:rStyle w:val="Hyperlink"/>
                  <w:sz w:val="22"/>
                </w:rPr>
                <w:t>https://educationendowmentfoundation.org.uk/education-evidence/teaching-learning-toolkit/teaching-assistant-interventions</w:t>
              </w:r>
            </w:hyperlink>
          </w:p>
          <w:p w14:paraId="0502E771" w14:textId="1120C360" w:rsidR="00C97097" w:rsidRDefault="00C97097" w:rsidP="00C9709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759E4F" w14:textId="05676D8E" w:rsidR="007C7E4E" w:rsidRDefault="0077593B">
            <w:pPr>
              <w:pStyle w:val="TableRowCentered"/>
              <w:jc w:val="left"/>
              <w:rPr>
                <w:sz w:val="22"/>
              </w:rPr>
            </w:pPr>
            <w:r>
              <w:rPr>
                <w:sz w:val="22"/>
              </w:rPr>
              <w:t>2, 5</w:t>
            </w:r>
          </w:p>
        </w:tc>
      </w:tr>
    </w:tbl>
    <w:p w14:paraId="2A7D5531" w14:textId="77777777" w:rsidR="00E66558" w:rsidRDefault="00E66558" w:rsidP="00AA355B"/>
    <w:p w14:paraId="2A7D5532" w14:textId="59A68BC3" w:rsidR="00E66558" w:rsidRPr="00AA355B" w:rsidRDefault="009D71E8" w:rsidP="00AA355B">
      <w:pPr>
        <w:pStyle w:val="Heading3"/>
      </w:pPr>
      <w:r>
        <w:lastRenderedPageBreak/>
        <w:t>Wider strategies (for example, related to attendance, behaviour, wellbeing)</w:t>
      </w:r>
    </w:p>
    <w:p w14:paraId="2A7D5533" w14:textId="26B9E768" w:rsidR="00E66558" w:rsidRDefault="00AF7E98">
      <w:pPr>
        <w:spacing w:before="240" w:after="120"/>
      </w:pPr>
      <w:r>
        <w:t xml:space="preserve">Budgeted cost: </w:t>
      </w:r>
      <w:r w:rsidR="00046355">
        <w:t>£14,</w:t>
      </w:r>
      <w:r w:rsidR="00C7623D">
        <w:t>957</w:t>
      </w:r>
    </w:p>
    <w:tbl>
      <w:tblPr>
        <w:tblW w:w="5000" w:type="pct"/>
        <w:tblCellMar>
          <w:left w:w="10" w:type="dxa"/>
          <w:right w:w="10" w:type="dxa"/>
        </w:tblCellMar>
        <w:tblLook w:val="04A0" w:firstRow="1" w:lastRow="0" w:firstColumn="1" w:lastColumn="0" w:noHBand="0" w:noVBand="1"/>
      </w:tblPr>
      <w:tblGrid>
        <w:gridCol w:w="2313"/>
        <w:gridCol w:w="5685"/>
        <w:gridCol w:w="1488"/>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440968DF" w:rsidR="00E66558" w:rsidRPr="00383469" w:rsidRDefault="00383469">
            <w:pPr>
              <w:pStyle w:val="TableRow"/>
            </w:pPr>
            <w:r>
              <w:rPr>
                <w:iCs/>
                <w:sz w:val="22"/>
                <w:szCs w:val="22"/>
              </w:rPr>
              <w:t>Thrive sessions led by two trained Thrive Practitioners for children identified as needing social and emotional support.</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02C43C" w14:textId="28F7E1D0" w:rsidR="00383469" w:rsidRDefault="00383469">
            <w:pPr>
              <w:pStyle w:val="TableRowCentered"/>
              <w:jc w:val="left"/>
              <w:rPr>
                <w:sz w:val="22"/>
              </w:rPr>
            </w:pPr>
            <w:r>
              <w:rPr>
                <w:sz w:val="22"/>
              </w:rPr>
              <w:t>Social and emotional learning +4 months</w:t>
            </w:r>
          </w:p>
          <w:p w14:paraId="335450D1" w14:textId="77777777" w:rsidR="00383469" w:rsidRDefault="00383469">
            <w:pPr>
              <w:pStyle w:val="TableRowCentered"/>
              <w:jc w:val="left"/>
              <w:rPr>
                <w:sz w:val="22"/>
              </w:rPr>
            </w:pPr>
          </w:p>
          <w:p w14:paraId="583ED03C" w14:textId="3DAA9A83" w:rsidR="00E66558" w:rsidRDefault="00F15BA1">
            <w:pPr>
              <w:pStyle w:val="TableRowCentered"/>
              <w:jc w:val="left"/>
              <w:rPr>
                <w:sz w:val="22"/>
              </w:rPr>
            </w:pPr>
            <w:hyperlink r:id="rId29" w:history="1">
              <w:r w:rsidR="00B13FFC" w:rsidRPr="00696B24">
                <w:rPr>
                  <w:rStyle w:val="Hyperlink"/>
                  <w:sz w:val="22"/>
                </w:rPr>
                <w:t>https://educationendowmentfoundation.org.uk/education-evidence/teaching-learning-toolkit/social-and-emotional-learning</w:t>
              </w:r>
            </w:hyperlink>
          </w:p>
          <w:p w14:paraId="2A7D5539" w14:textId="279D4A79" w:rsidR="00B13FFC" w:rsidRDefault="00B13FFC">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525CB98D" w:rsidR="00E66558" w:rsidRDefault="0077593B">
            <w:pPr>
              <w:pStyle w:val="TableRowCentered"/>
              <w:jc w:val="left"/>
              <w:rPr>
                <w:sz w:val="22"/>
              </w:rPr>
            </w:pPr>
            <w:r>
              <w:rPr>
                <w:sz w:val="22"/>
              </w:rPr>
              <w:t>1, 3</w:t>
            </w: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1A7D6E17" w:rsidR="00E66558" w:rsidRPr="00400987" w:rsidRDefault="00400987" w:rsidP="00D73D48">
            <w:pPr>
              <w:pStyle w:val="TableRow"/>
              <w:rPr>
                <w:sz w:val="22"/>
              </w:rPr>
            </w:pPr>
            <w:r>
              <w:rPr>
                <w:sz w:val="22"/>
              </w:rPr>
              <w:t>Providing opportunities for disadvantaged children to attend trips, visits and after school clubs.</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BFDA5" w14:textId="77777777" w:rsidR="00E66558" w:rsidRDefault="00400987">
            <w:pPr>
              <w:pStyle w:val="TableRowCentered"/>
              <w:jc w:val="left"/>
              <w:rPr>
                <w:sz w:val="22"/>
              </w:rPr>
            </w:pPr>
            <w:r>
              <w:rPr>
                <w:sz w:val="22"/>
              </w:rPr>
              <w:t>Arts participation +3 months</w:t>
            </w:r>
          </w:p>
          <w:p w14:paraId="608401D7" w14:textId="4A97A82F" w:rsidR="00400987" w:rsidRDefault="00F15BA1">
            <w:pPr>
              <w:pStyle w:val="TableRowCentered"/>
              <w:jc w:val="left"/>
              <w:rPr>
                <w:sz w:val="22"/>
              </w:rPr>
            </w:pPr>
            <w:hyperlink r:id="rId30" w:history="1">
              <w:r w:rsidR="00400987" w:rsidRPr="00696B24">
                <w:rPr>
                  <w:rStyle w:val="Hyperlink"/>
                  <w:sz w:val="22"/>
                </w:rPr>
                <w:t>https://educationendowmentfoundation.org.uk/education-evidence/teaching-learning-toolkit/arts-participation</w:t>
              </w:r>
            </w:hyperlink>
          </w:p>
          <w:p w14:paraId="67867D80" w14:textId="77777777" w:rsidR="00400987" w:rsidRDefault="00400987">
            <w:pPr>
              <w:pStyle w:val="TableRowCentered"/>
              <w:jc w:val="left"/>
              <w:rPr>
                <w:sz w:val="22"/>
              </w:rPr>
            </w:pPr>
          </w:p>
          <w:p w14:paraId="4601322E" w14:textId="77777777" w:rsidR="00400987" w:rsidRDefault="00400987">
            <w:pPr>
              <w:pStyle w:val="TableRowCentered"/>
              <w:jc w:val="left"/>
              <w:rPr>
                <w:sz w:val="22"/>
              </w:rPr>
            </w:pPr>
            <w:r>
              <w:rPr>
                <w:sz w:val="22"/>
              </w:rPr>
              <w:t>Physical activity +1 month</w:t>
            </w:r>
          </w:p>
          <w:p w14:paraId="2EEE3D47" w14:textId="44FDC564" w:rsidR="00400987" w:rsidRDefault="00F15BA1">
            <w:pPr>
              <w:pStyle w:val="TableRowCentered"/>
              <w:jc w:val="left"/>
              <w:rPr>
                <w:sz w:val="22"/>
              </w:rPr>
            </w:pPr>
            <w:hyperlink r:id="rId31" w:history="1">
              <w:r w:rsidR="00400987" w:rsidRPr="00696B24">
                <w:rPr>
                  <w:rStyle w:val="Hyperlink"/>
                  <w:sz w:val="22"/>
                </w:rPr>
                <w:t>https://educationendowmentfoundation.org.uk/education-evidence/teaching-learning-toolkit/physical-activity</w:t>
              </w:r>
            </w:hyperlink>
          </w:p>
          <w:p w14:paraId="2A7D553D" w14:textId="294AA024" w:rsidR="00400987" w:rsidRPr="00400987" w:rsidRDefault="0040098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24A85079" w:rsidR="00E66558" w:rsidRPr="00400987" w:rsidRDefault="0077593B">
            <w:pPr>
              <w:pStyle w:val="TableRowCentered"/>
              <w:jc w:val="left"/>
              <w:rPr>
                <w:sz w:val="22"/>
              </w:rPr>
            </w:pPr>
            <w:r>
              <w:rPr>
                <w:sz w:val="22"/>
              </w:rPr>
              <w:t>1, 3</w:t>
            </w:r>
          </w:p>
        </w:tc>
      </w:tr>
      <w:tr w:rsidR="00D73D48" w14:paraId="02AD0EE8"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F43390" w14:textId="4F0AE24F" w:rsidR="00D73D48" w:rsidRPr="00400987" w:rsidRDefault="00400987" w:rsidP="00D73D48">
            <w:pPr>
              <w:pStyle w:val="TableRow"/>
            </w:pPr>
            <w:r>
              <w:t>Training of a therapy dog.</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EC3AE" w14:textId="77777777" w:rsidR="00923F90" w:rsidRDefault="00923F90" w:rsidP="00923F90">
            <w:pPr>
              <w:pStyle w:val="TableRowCentered"/>
              <w:jc w:val="left"/>
              <w:rPr>
                <w:sz w:val="22"/>
              </w:rPr>
            </w:pPr>
            <w:r>
              <w:rPr>
                <w:sz w:val="22"/>
              </w:rPr>
              <w:t>Social and emotional learning +4 months</w:t>
            </w:r>
          </w:p>
          <w:p w14:paraId="4D25DC54" w14:textId="77777777" w:rsidR="00923F90" w:rsidRDefault="00923F90" w:rsidP="00923F90">
            <w:pPr>
              <w:pStyle w:val="TableRowCentered"/>
              <w:jc w:val="left"/>
              <w:rPr>
                <w:sz w:val="22"/>
              </w:rPr>
            </w:pPr>
          </w:p>
          <w:p w14:paraId="706AF9B8" w14:textId="18620F3B" w:rsidR="00923F90" w:rsidRPr="00400987" w:rsidRDefault="00F15BA1" w:rsidP="00923F90">
            <w:pPr>
              <w:pStyle w:val="TableRowCentered"/>
              <w:jc w:val="left"/>
              <w:rPr>
                <w:sz w:val="22"/>
              </w:rPr>
            </w:pPr>
            <w:hyperlink r:id="rId32" w:history="1">
              <w:r w:rsidR="00923F90" w:rsidRPr="00696B24">
                <w:rPr>
                  <w:rStyle w:val="Hyperlink"/>
                  <w:sz w:val="22"/>
                </w:rPr>
                <w:t>https://educationendowmentfoundation.org.uk/education-evidence/teaching-learning-toolkit/social-and-emotional-learning</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FB02F3" w14:textId="0E57F7CE" w:rsidR="00D73D48" w:rsidRPr="00400987" w:rsidRDefault="0077593B">
            <w:pPr>
              <w:pStyle w:val="TableRowCentered"/>
              <w:jc w:val="left"/>
              <w:rPr>
                <w:sz w:val="22"/>
              </w:rPr>
            </w:pPr>
            <w:r>
              <w:rPr>
                <w:sz w:val="22"/>
              </w:rPr>
              <w:t>1</w:t>
            </w:r>
          </w:p>
        </w:tc>
      </w:tr>
      <w:tr w:rsidR="00400987" w14:paraId="0E14E175"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DEE26B" w14:textId="6C393B18" w:rsidR="00400987" w:rsidRDefault="00400987" w:rsidP="00D73D48">
            <w:pPr>
              <w:pStyle w:val="TableRow"/>
            </w:pPr>
            <w:r>
              <w:t xml:space="preserve">Mental Health Lead to work towards </w:t>
            </w:r>
            <w:proofErr w:type="spellStart"/>
            <w:r>
              <w:t>DfE</w:t>
            </w:r>
            <w:proofErr w:type="spellEnd"/>
            <w:r>
              <w:t xml:space="preserve"> Mental Health Charter.</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978917" w14:textId="77777777" w:rsidR="00923F90" w:rsidRDefault="00923F90" w:rsidP="00923F90">
            <w:pPr>
              <w:pStyle w:val="TableRowCentered"/>
              <w:jc w:val="left"/>
              <w:rPr>
                <w:sz w:val="22"/>
              </w:rPr>
            </w:pPr>
            <w:r>
              <w:rPr>
                <w:sz w:val="22"/>
              </w:rPr>
              <w:t>Social and emotional learning +4 months</w:t>
            </w:r>
          </w:p>
          <w:p w14:paraId="5F73237A" w14:textId="77777777" w:rsidR="00923F90" w:rsidRDefault="00923F90" w:rsidP="00923F90">
            <w:pPr>
              <w:pStyle w:val="TableRowCentered"/>
              <w:jc w:val="left"/>
              <w:rPr>
                <w:sz w:val="22"/>
              </w:rPr>
            </w:pPr>
          </w:p>
          <w:p w14:paraId="57A0EF39" w14:textId="0E59C05A" w:rsidR="00923F90" w:rsidRPr="00400987" w:rsidRDefault="00F15BA1" w:rsidP="00923F90">
            <w:pPr>
              <w:pStyle w:val="TableRowCentered"/>
              <w:jc w:val="left"/>
              <w:rPr>
                <w:sz w:val="22"/>
              </w:rPr>
            </w:pPr>
            <w:hyperlink r:id="rId33" w:history="1">
              <w:r w:rsidR="00923F90" w:rsidRPr="00696B24">
                <w:rPr>
                  <w:rStyle w:val="Hyperlink"/>
                  <w:sz w:val="22"/>
                </w:rPr>
                <w:t>https://educationendowmentfoundation.org.uk/education-evidence/teaching-learning-toolkit/social-and-emotional-learning</w:t>
              </w:r>
            </w:hyperlink>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063B11" w14:textId="50F2F96B" w:rsidR="00400987" w:rsidRPr="00400987" w:rsidRDefault="0077593B">
            <w:pPr>
              <w:pStyle w:val="TableRowCentered"/>
              <w:jc w:val="left"/>
              <w:rPr>
                <w:sz w:val="22"/>
              </w:rPr>
            </w:pPr>
            <w:r>
              <w:rPr>
                <w:sz w:val="22"/>
              </w:rPr>
              <w:t>1</w:t>
            </w:r>
          </w:p>
        </w:tc>
      </w:tr>
      <w:tr w:rsidR="00400987" w14:paraId="7734D79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6E96C6" w14:textId="5C8A004A" w:rsidR="00400987" w:rsidRDefault="00400987" w:rsidP="00400987">
            <w:pPr>
              <w:pStyle w:val="TableRow"/>
            </w:pPr>
            <w:r>
              <w:t xml:space="preserve">Embedding principles of good practice set out in the </w:t>
            </w:r>
            <w:proofErr w:type="spellStart"/>
            <w:r>
              <w:t>DfE’s</w:t>
            </w:r>
            <w:proofErr w:type="spellEnd"/>
            <w:r>
              <w:t xml:space="preserve"> Working Together to Improve School Attendance advice. This will involve training and release time for staff to develop and implement new procedures and appointing attendance/suppo</w:t>
            </w:r>
            <w:r>
              <w:lastRenderedPageBreak/>
              <w:t>rt officers to improve attendance.</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10CCF3" w14:textId="5AC71443" w:rsidR="00400987" w:rsidRDefault="00F15BA1">
            <w:pPr>
              <w:pStyle w:val="TableRowCentered"/>
              <w:jc w:val="left"/>
              <w:rPr>
                <w:sz w:val="22"/>
              </w:rPr>
            </w:pPr>
            <w:hyperlink r:id="rId34" w:history="1">
              <w:r w:rsidR="00400987" w:rsidRPr="00696B24">
                <w:rPr>
                  <w:rStyle w:val="Hyperlink"/>
                  <w:sz w:val="22"/>
                </w:rPr>
                <w:t>https://www.gov.uk/government/publications/working-together-to-improve-school-attendance</w:t>
              </w:r>
            </w:hyperlink>
          </w:p>
          <w:p w14:paraId="339B0678" w14:textId="51CB5F38" w:rsidR="00400987" w:rsidRPr="00400987" w:rsidRDefault="00400987">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53E995" w14:textId="38B79913" w:rsidR="00400987" w:rsidRPr="00400987" w:rsidRDefault="0077593B">
            <w:pPr>
              <w:pStyle w:val="TableRowCentered"/>
              <w:jc w:val="left"/>
              <w:rPr>
                <w:sz w:val="22"/>
              </w:rPr>
            </w:pPr>
            <w:r>
              <w:rPr>
                <w:sz w:val="22"/>
              </w:rPr>
              <w:t>3</w:t>
            </w:r>
          </w:p>
        </w:tc>
      </w:tr>
      <w:tr w:rsidR="006C4594" w14:paraId="289DBF8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0B8EAB2" w14:textId="2901DBD5" w:rsidR="006C4594" w:rsidRDefault="006C4594" w:rsidP="00400987">
            <w:pPr>
              <w:pStyle w:val="TableRow"/>
            </w:pPr>
            <w:r>
              <w:t>Thrive morning club to support children with the transition from home to school</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AE554C" w14:textId="77777777" w:rsidR="006C4594" w:rsidRDefault="006C4594" w:rsidP="006C4594">
            <w:pPr>
              <w:pStyle w:val="TableRowCentered"/>
              <w:jc w:val="left"/>
              <w:rPr>
                <w:sz w:val="22"/>
              </w:rPr>
            </w:pPr>
            <w:r>
              <w:rPr>
                <w:sz w:val="22"/>
              </w:rPr>
              <w:t>Social and emotional learning +4 months</w:t>
            </w:r>
          </w:p>
          <w:p w14:paraId="740B014C" w14:textId="77777777" w:rsidR="006C4594" w:rsidRDefault="006C4594" w:rsidP="006C4594">
            <w:pPr>
              <w:pStyle w:val="TableRowCentered"/>
              <w:jc w:val="left"/>
              <w:rPr>
                <w:sz w:val="22"/>
              </w:rPr>
            </w:pPr>
          </w:p>
          <w:p w14:paraId="653DC5C1" w14:textId="77777777" w:rsidR="006C4594" w:rsidRDefault="00F15BA1" w:rsidP="006C4594">
            <w:pPr>
              <w:pStyle w:val="TableRowCentered"/>
              <w:jc w:val="left"/>
              <w:rPr>
                <w:sz w:val="22"/>
              </w:rPr>
            </w:pPr>
            <w:hyperlink r:id="rId35" w:history="1">
              <w:r w:rsidR="006C4594" w:rsidRPr="00696B24">
                <w:rPr>
                  <w:rStyle w:val="Hyperlink"/>
                  <w:sz w:val="22"/>
                </w:rPr>
                <w:t>https://educationendowmentfoundation.org.uk/education-evidence/teaching-learning-toolkit/social-and-emotional-learning</w:t>
              </w:r>
            </w:hyperlink>
          </w:p>
          <w:p w14:paraId="71106CED" w14:textId="77777777" w:rsidR="006C4594" w:rsidRDefault="006C4594">
            <w:pPr>
              <w:pStyle w:val="TableRowCentered"/>
              <w:jc w:val="left"/>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2FBE21" w14:textId="39CA0124" w:rsidR="006C4594" w:rsidRDefault="006C4594">
            <w:pPr>
              <w:pStyle w:val="TableRowCentered"/>
              <w:jc w:val="left"/>
              <w:rPr>
                <w:sz w:val="22"/>
              </w:rPr>
            </w:pPr>
            <w:r>
              <w:rPr>
                <w:sz w:val="22"/>
              </w:rPr>
              <w:t>1, 3</w:t>
            </w:r>
          </w:p>
        </w:tc>
      </w:tr>
      <w:tr w:rsidR="006C4594" w14:paraId="4F0B1027"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E9FEDB" w14:textId="4CCD6CE2" w:rsidR="006C4594" w:rsidRDefault="006C4594" w:rsidP="008252D2">
            <w:pPr>
              <w:pStyle w:val="TableRow"/>
            </w:pPr>
            <w:r>
              <w:t>Parent coffee</w:t>
            </w:r>
            <w:r w:rsidR="008252D2">
              <w:t xml:space="preserve"> mornings </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223D67" w14:textId="35D409CB" w:rsidR="006C4594" w:rsidRDefault="006C4594" w:rsidP="006C4594">
            <w:pPr>
              <w:pStyle w:val="TableRowCentered"/>
              <w:jc w:val="left"/>
              <w:rPr>
                <w:sz w:val="22"/>
              </w:rPr>
            </w:pPr>
            <w:r>
              <w:rPr>
                <w:sz w:val="22"/>
              </w:rPr>
              <w:t>Parental engagement + 4 months</w:t>
            </w:r>
          </w:p>
          <w:p w14:paraId="2288893D" w14:textId="77777777" w:rsidR="006C4594" w:rsidRDefault="006C4594" w:rsidP="006C4594">
            <w:pPr>
              <w:pStyle w:val="TableRowCentered"/>
              <w:jc w:val="left"/>
              <w:rPr>
                <w:sz w:val="22"/>
              </w:rPr>
            </w:pPr>
          </w:p>
          <w:p w14:paraId="04C9C53F" w14:textId="751A4569" w:rsidR="006C4594" w:rsidRDefault="00F15BA1" w:rsidP="006C4594">
            <w:pPr>
              <w:pStyle w:val="TableRowCentered"/>
              <w:jc w:val="left"/>
              <w:rPr>
                <w:sz w:val="22"/>
              </w:rPr>
            </w:pPr>
            <w:hyperlink r:id="rId36" w:history="1">
              <w:r w:rsidR="006C4594" w:rsidRPr="004F7C0C">
                <w:rPr>
                  <w:rStyle w:val="Hyperlink"/>
                  <w:sz w:val="22"/>
                </w:rPr>
                <w:t>https://educationendowmentfoundation.org.uk/education-evidence/teaching-learning-toolkit/parental-engagement</w:t>
              </w:r>
            </w:hyperlink>
          </w:p>
          <w:p w14:paraId="3CE2F97E" w14:textId="2B696162" w:rsidR="006C4594" w:rsidRDefault="006C4594" w:rsidP="006C4594">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8A19C2" w14:textId="77777777" w:rsidR="006C4594" w:rsidRDefault="006C4594">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3AB8D3B7" w:rsidR="00E66558" w:rsidRDefault="00AF7E98" w:rsidP="00120AB1">
      <w:r>
        <w:rPr>
          <w:b/>
          <w:bCs/>
          <w:color w:val="104F75"/>
          <w:sz w:val="28"/>
          <w:szCs w:val="28"/>
        </w:rPr>
        <w:t xml:space="preserve">Total budgeted cost: </w:t>
      </w:r>
      <w:r w:rsidRPr="00BD0129">
        <w:rPr>
          <w:b/>
          <w:bCs/>
          <w:color w:val="104F75"/>
          <w:sz w:val="28"/>
          <w:szCs w:val="28"/>
        </w:rPr>
        <w:t>£</w:t>
      </w:r>
      <w:r w:rsidR="00AF0AD9">
        <w:rPr>
          <w:b/>
          <w:bCs/>
          <w:color w:val="104F75"/>
          <w:sz w:val="28"/>
          <w:szCs w:val="28"/>
        </w:rPr>
        <w:t>59,914</w:t>
      </w:r>
    </w:p>
    <w:p w14:paraId="2A7D5542" w14:textId="18352EC3" w:rsidR="00E66558" w:rsidRPr="00064366" w:rsidRDefault="009D71E8" w:rsidP="00064366">
      <w:pPr>
        <w:pStyle w:val="Heading1"/>
      </w:pPr>
      <w:r w:rsidRPr="00064366">
        <w:lastRenderedPageBreak/>
        <w:t>Part B: Review of the previous academic year</w:t>
      </w:r>
    </w:p>
    <w:p w14:paraId="751285B7" w14:textId="5293BC7E" w:rsidR="008B6404" w:rsidRDefault="00064366" w:rsidP="00173D4C">
      <w:pPr>
        <w:pStyle w:val="Heading2"/>
      </w:pPr>
      <w:r w:rsidRPr="00173D4C">
        <w:t>Outcomes for disadvantaged pupils</w:t>
      </w:r>
    </w:p>
    <w:tbl>
      <w:tblPr>
        <w:tblW w:w="9486" w:type="dxa"/>
        <w:tblCellMar>
          <w:left w:w="10" w:type="dxa"/>
          <w:right w:w="10" w:type="dxa"/>
        </w:tblCellMar>
        <w:tblLook w:val="0000" w:firstRow="0" w:lastRow="0" w:firstColumn="0" w:lastColumn="0" w:noHBand="0" w:noVBand="0"/>
      </w:tblPr>
      <w:tblGrid>
        <w:gridCol w:w="2376"/>
        <w:gridCol w:w="3503"/>
        <w:gridCol w:w="1871"/>
        <w:gridCol w:w="1736"/>
      </w:tblGrid>
      <w:tr w:rsidR="00BC579E" w14:paraId="386C46A9" w14:textId="77777777" w:rsidTr="00656939">
        <w:trPr>
          <w:trHeight w:val="381"/>
        </w:trPr>
        <w:tc>
          <w:tcPr>
            <w:tcW w:w="23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167780" w14:textId="7D4F18F9" w:rsidR="00BC579E" w:rsidRDefault="00BC579E" w:rsidP="006C52CA">
            <w:pPr>
              <w:pStyle w:val="TableRow"/>
              <w:rPr>
                <w:b/>
                <w:sz w:val="22"/>
                <w:szCs w:val="22"/>
              </w:rPr>
            </w:pPr>
            <w:r>
              <w:rPr>
                <w:b/>
                <w:sz w:val="22"/>
                <w:szCs w:val="22"/>
              </w:rPr>
              <w:t>Intended Outcome</w:t>
            </w:r>
          </w:p>
        </w:tc>
        <w:tc>
          <w:tcPr>
            <w:tcW w:w="35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5F314E3" w14:textId="559EFE18" w:rsidR="00BC579E" w:rsidRDefault="00BC579E" w:rsidP="006C52CA">
            <w:pPr>
              <w:pStyle w:val="TableRow"/>
              <w:rPr>
                <w:b/>
                <w:sz w:val="22"/>
                <w:szCs w:val="22"/>
              </w:rPr>
            </w:pPr>
            <w:r>
              <w:rPr>
                <w:b/>
                <w:sz w:val="22"/>
                <w:szCs w:val="22"/>
              </w:rPr>
              <w:t>Success Criteria</w:t>
            </w:r>
          </w:p>
        </w:tc>
        <w:tc>
          <w:tcPr>
            <w:tcW w:w="18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9750275" w14:textId="5FB8F244" w:rsidR="00BC579E" w:rsidRDefault="00BC579E" w:rsidP="006C52CA">
            <w:pPr>
              <w:pStyle w:val="TableRow"/>
              <w:rPr>
                <w:b/>
                <w:sz w:val="22"/>
                <w:szCs w:val="22"/>
              </w:rPr>
            </w:pPr>
            <w:r>
              <w:rPr>
                <w:b/>
                <w:sz w:val="22"/>
                <w:szCs w:val="22"/>
              </w:rPr>
              <w:t xml:space="preserve">Outcome Met? </w:t>
            </w:r>
          </w:p>
        </w:tc>
        <w:tc>
          <w:tcPr>
            <w:tcW w:w="1696" w:type="dxa"/>
            <w:tcBorders>
              <w:top w:val="single" w:sz="4" w:space="0" w:color="BFBFBF"/>
              <w:left w:val="single" w:sz="4" w:space="0" w:color="BFBFBF"/>
              <w:bottom w:val="single" w:sz="4" w:space="0" w:color="BFBFBF"/>
              <w:right w:val="single" w:sz="4" w:space="0" w:color="BFBFBF"/>
            </w:tcBorders>
          </w:tcPr>
          <w:p w14:paraId="18EC32F9" w14:textId="77777777" w:rsidR="00BC579E" w:rsidRDefault="00BC579E" w:rsidP="006C52CA">
            <w:pPr>
              <w:pStyle w:val="TableRow"/>
              <w:rPr>
                <w:b/>
                <w:sz w:val="22"/>
                <w:szCs w:val="22"/>
              </w:rPr>
            </w:pPr>
            <w:r>
              <w:rPr>
                <w:b/>
                <w:sz w:val="22"/>
                <w:szCs w:val="22"/>
              </w:rPr>
              <w:t>Evidence</w:t>
            </w:r>
          </w:p>
        </w:tc>
      </w:tr>
      <w:tr w:rsidR="00F911B5" w14:paraId="0DA0678F" w14:textId="77777777" w:rsidTr="00656939">
        <w:trPr>
          <w:trHeight w:val="381"/>
        </w:trPr>
        <w:tc>
          <w:tcPr>
            <w:tcW w:w="23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2CDF90D2" w14:textId="2E2FB6BE" w:rsidR="00F911B5" w:rsidRDefault="00F911B5" w:rsidP="00F911B5">
            <w:pPr>
              <w:pStyle w:val="TableRow"/>
            </w:pPr>
            <w:r>
              <w:t xml:space="preserve">To achieve and sustain improved wellbeing for all pupils in our school, particularly our disadvantaged pupils so that they feel more emotionally secure. </w:t>
            </w:r>
          </w:p>
        </w:tc>
        <w:tc>
          <w:tcPr>
            <w:tcW w:w="35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16D28C0" w14:textId="77777777" w:rsidR="00F911B5" w:rsidRDefault="00F911B5" w:rsidP="00F911B5">
            <w:pPr>
              <w:pStyle w:val="TableRowCentered"/>
              <w:numPr>
                <w:ilvl w:val="0"/>
                <w:numId w:val="14"/>
              </w:numPr>
              <w:jc w:val="left"/>
              <w:rPr>
                <w:sz w:val="22"/>
                <w:szCs w:val="22"/>
              </w:rPr>
            </w:pPr>
            <w:r>
              <w:rPr>
                <w:sz w:val="22"/>
                <w:szCs w:val="22"/>
              </w:rPr>
              <w:t xml:space="preserve">Thrive profiling indicators show progress for those children who attend Thrive sessions and have interruptions in their emotional development. </w:t>
            </w:r>
          </w:p>
          <w:p w14:paraId="17C39073" w14:textId="6E7079D3" w:rsidR="00F911B5" w:rsidRDefault="00F911B5" w:rsidP="00F911B5">
            <w:pPr>
              <w:pStyle w:val="TableRow"/>
              <w:numPr>
                <w:ilvl w:val="0"/>
                <w:numId w:val="14"/>
              </w:numPr>
            </w:pPr>
            <w:r w:rsidRPr="00046355">
              <w:rPr>
                <w:sz w:val="22"/>
                <w:szCs w:val="22"/>
              </w:rPr>
              <w:t>Pupil voice will show that children feel their well-being and mental health is supported at school.</w:t>
            </w:r>
          </w:p>
        </w:tc>
        <w:tc>
          <w:tcPr>
            <w:tcW w:w="18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893C2E" w14:textId="0EE88930" w:rsidR="00F911B5" w:rsidRDefault="00F911B5" w:rsidP="00F911B5">
            <w:pPr>
              <w:pStyle w:val="TableRow"/>
            </w:pPr>
            <w:r>
              <w:t>Met</w:t>
            </w:r>
          </w:p>
        </w:tc>
        <w:tc>
          <w:tcPr>
            <w:tcW w:w="1696" w:type="dxa"/>
            <w:tcBorders>
              <w:top w:val="single" w:sz="4" w:space="0" w:color="BFBFBF"/>
              <w:left w:val="single" w:sz="4" w:space="0" w:color="BFBFBF"/>
              <w:bottom w:val="single" w:sz="4" w:space="0" w:color="BFBFBF"/>
              <w:right w:val="single" w:sz="4" w:space="0" w:color="BFBFBF"/>
            </w:tcBorders>
          </w:tcPr>
          <w:p w14:paraId="7744B4B7" w14:textId="77777777" w:rsidR="00F911B5" w:rsidRDefault="00F911B5" w:rsidP="00F911B5">
            <w:pPr>
              <w:pStyle w:val="TableRow"/>
            </w:pPr>
            <w:r>
              <w:t xml:space="preserve">Thrive assessments have shown that pupils who have been profiled are making progress within the stages. </w:t>
            </w:r>
          </w:p>
          <w:p w14:paraId="21D5CEA9" w14:textId="77777777" w:rsidR="00F911B5" w:rsidRDefault="00F911B5" w:rsidP="00F911B5">
            <w:pPr>
              <w:pStyle w:val="TableRow"/>
            </w:pPr>
          </w:p>
          <w:p w14:paraId="2265FEBD" w14:textId="77777777" w:rsidR="00F911B5" w:rsidRDefault="00F911B5" w:rsidP="00F911B5">
            <w:pPr>
              <w:pStyle w:val="TableRow"/>
            </w:pPr>
            <w:r>
              <w:t>Some children have attended Thrive and no longer need it.</w:t>
            </w:r>
          </w:p>
          <w:p w14:paraId="3DEA6E3B" w14:textId="77777777" w:rsidR="00F911B5" w:rsidRDefault="00F911B5" w:rsidP="00F911B5">
            <w:pPr>
              <w:pStyle w:val="TableRow"/>
            </w:pPr>
          </w:p>
          <w:p w14:paraId="46823E64" w14:textId="1642C2D4" w:rsidR="00F911B5" w:rsidRDefault="00436FF2" w:rsidP="00F911B5">
            <w:pPr>
              <w:pStyle w:val="TableRow"/>
              <w:ind w:left="0"/>
            </w:pPr>
            <w:r>
              <w:t xml:space="preserve">Thrive has had a positive impact on behaviour and children being able to self-regulate. </w:t>
            </w:r>
          </w:p>
        </w:tc>
      </w:tr>
      <w:tr w:rsidR="00F911B5" w14:paraId="097A8839" w14:textId="77777777" w:rsidTr="00656939">
        <w:trPr>
          <w:trHeight w:val="381"/>
        </w:trPr>
        <w:tc>
          <w:tcPr>
            <w:tcW w:w="23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DB19BA2" w14:textId="3B4C742D" w:rsidR="00F911B5" w:rsidRDefault="00F911B5" w:rsidP="00F911B5">
            <w:pPr>
              <w:pStyle w:val="TableRow"/>
              <w:rPr>
                <w:rFonts w:cs="Calibri"/>
                <w:sz w:val="22"/>
                <w:szCs w:val="22"/>
              </w:rPr>
            </w:pPr>
            <w:r>
              <w:rPr>
                <w:sz w:val="22"/>
                <w:szCs w:val="22"/>
              </w:rPr>
              <w:t xml:space="preserve">For disadvantaged pupils to make at least expected progress from their baseline starting points in writing. </w:t>
            </w:r>
          </w:p>
        </w:tc>
        <w:tc>
          <w:tcPr>
            <w:tcW w:w="35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63E0CC77" w14:textId="77777777" w:rsidR="00F911B5" w:rsidRDefault="00F911B5" w:rsidP="00F911B5">
            <w:pPr>
              <w:pStyle w:val="TableRowCentered"/>
              <w:numPr>
                <w:ilvl w:val="0"/>
                <w:numId w:val="14"/>
              </w:numPr>
              <w:jc w:val="left"/>
              <w:rPr>
                <w:sz w:val="22"/>
                <w:szCs w:val="22"/>
              </w:rPr>
            </w:pPr>
            <w:r>
              <w:rPr>
                <w:sz w:val="22"/>
                <w:szCs w:val="22"/>
              </w:rPr>
              <w:t>Internal assessments show disadvantaged children making expected progress from their starting points.</w:t>
            </w:r>
          </w:p>
          <w:p w14:paraId="4210D975" w14:textId="77777777" w:rsidR="00F911B5" w:rsidRDefault="00F911B5" w:rsidP="00F911B5">
            <w:pPr>
              <w:pStyle w:val="TableRowCentered"/>
              <w:numPr>
                <w:ilvl w:val="0"/>
                <w:numId w:val="14"/>
              </w:numPr>
              <w:jc w:val="left"/>
              <w:rPr>
                <w:sz w:val="22"/>
                <w:szCs w:val="22"/>
              </w:rPr>
            </w:pPr>
            <w:r>
              <w:rPr>
                <w:sz w:val="22"/>
                <w:szCs w:val="22"/>
              </w:rPr>
              <w:t>Half termly pupil progress meetings show teaching staff taking responsibility for disadvantaged outcomes and putting in steps to support individual children.</w:t>
            </w:r>
          </w:p>
          <w:p w14:paraId="01AC8905" w14:textId="7F11AB2D" w:rsidR="00F911B5" w:rsidRDefault="00F911B5" w:rsidP="00F911B5">
            <w:pPr>
              <w:pStyle w:val="TableRow"/>
            </w:pPr>
          </w:p>
        </w:tc>
        <w:tc>
          <w:tcPr>
            <w:tcW w:w="18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53113F42" w14:textId="759080BF" w:rsidR="00F911B5" w:rsidRDefault="00F911B5" w:rsidP="00F911B5">
            <w:pPr>
              <w:pStyle w:val="TableRow"/>
            </w:pPr>
            <w:r>
              <w:t>Partially met</w:t>
            </w:r>
          </w:p>
        </w:tc>
        <w:tc>
          <w:tcPr>
            <w:tcW w:w="1696" w:type="dxa"/>
            <w:tcBorders>
              <w:top w:val="single" w:sz="4" w:space="0" w:color="BFBFBF"/>
              <w:left w:val="single" w:sz="4" w:space="0" w:color="BFBFBF"/>
              <w:bottom w:val="single" w:sz="4" w:space="0" w:color="BFBFBF"/>
              <w:right w:val="single" w:sz="4" w:space="0" w:color="BFBFBF"/>
            </w:tcBorders>
          </w:tcPr>
          <w:p w14:paraId="7460F88D" w14:textId="0EE7D730" w:rsidR="00F911B5" w:rsidRDefault="00436FF2" w:rsidP="004B32FF">
            <w:pPr>
              <w:pStyle w:val="TableRow"/>
            </w:pPr>
            <w:r>
              <w:t>90%</w:t>
            </w:r>
            <w:r w:rsidR="00F911B5">
              <w:t xml:space="preserve"> of disadvantaged children </w:t>
            </w:r>
            <w:r w:rsidR="00711179">
              <w:t xml:space="preserve">achieved ARE at the end of KS2 and </w:t>
            </w:r>
            <w:r w:rsidR="00F15BA1">
              <w:t xml:space="preserve">100% </w:t>
            </w:r>
            <w:bookmarkStart w:id="17" w:name="_GoBack"/>
            <w:bookmarkEnd w:id="17"/>
            <w:r w:rsidR="00711179">
              <w:t>mad</w:t>
            </w:r>
            <w:r w:rsidR="00F15BA1">
              <w:t>e</w:t>
            </w:r>
            <w:r w:rsidR="00711179">
              <w:t xml:space="preserve"> at least expected progress.</w:t>
            </w:r>
          </w:p>
          <w:p w14:paraId="4B72AD98" w14:textId="70384ABF" w:rsidR="004B32FF" w:rsidRDefault="004B32FF" w:rsidP="004B32FF">
            <w:pPr>
              <w:pStyle w:val="TableRow"/>
            </w:pPr>
          </w:p>
        </w:tc>
      </w:tr>
      <w:tr w:rsidR="00F911B5" w14:paraId="465B4AAA" w14:textId="77777777" w:rsidTr="00656939">
        <w:trPr>
          <w:trHeight w:val="381"/>
        </w:trPr>
        <w:tc>
          <w:tcPr>
            <w:tcW w:w="23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CC8AAAE" w14:textId="0F451979" w:rsidR="00F911B5" w:rsidRPr="00285FA7" w:rsidRDefault="00F911B5" w:rsidP="00F911B5">
            <w:pPr>
              <w:pStyle w:val="TableRow"/>
            </w:pPr>
            <w:r w:rsidRPr="00285FA7">
              <w:rPr>
                <w:sz w:val="22"/>
                <w:szCs w:val="22"/>
              </w:rPr>
              <w:t>To narrow the gap in attendance between disadvantaged and non-disadvantaged children.</w:t>
            </w:r>
          </w:p>
        </w:tc>
        <w:tc>
          <w:tcPr>
            <w:tcW w:w="35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20EA5B4" w14:textId="77777777" w:rsidR="00F911B5" w:rsidRPr="00285FA7" w:rsidRDefault="00F911B5" w:rsidP="00F911B5">
            <w:pPr>
              <w:pStyle w:val="TableRowCentered"/>
              <w:numPr>
                <w:ilvl w:val="0"/>
                <w:numId w:val="14"/>
              </w:numPr>
              <w:jc w:val="left"/>
              <w:rPr>
                <w:sz w:val="22"/>
                <w:szCs w:val="22"/>
              </w:rPr>
            </w:pPr>
            <w:r w:rsidRPr="00285FA7">
              <w:rPr>
                <w:sz w:val="22"/>
                <w:szCs w:val="22"/>
              </w:rPr>
              <w:t xml:space="preserve">The percentage for attendance for disadvantaged children will be within 2% of non-disadvantaged children. </w:t>
            </w:r>
          </w:p>
          <w:p w14:paraId="7948A2FC" w14:textId="7D17F599" w:rsidR="00F911B5" w:rsidRPr="00285FA7" w:rsidRDefault="00F911B5" w:rsidP="00DF22EA">
            <w:pPr>
              <w:pStyle w:val="TableRow"/>
              <w:numPr>
                <w:ilvl w:val="0"/>
                <w:numId w:val="14"/>
              </w:numPr>
            </w:pPr>
            <w:r w:rsidRPr="00285FA7">
              <w:rPr>
                <w:sz w:val="22"/>
                <w:szCs w:val="22"/>
              </w:rPr>
              <w:t>Attendance for disadvantaged children will increase.</w:t>
            </w:r>
          </w:p>
        </w:tc>
        <w:tc>
          <w:tcPr>
            <w:tcW w:w="18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2A18C37" w14:textId="56480F25" w:rsidR="00F911B5" w:rsidRDefault="00DA2F23" w:rsidP="00F911B5">
            <w:pPr>
              <w:pStyle w:val="TableRow"/>
            </w:pPr>
            <w:r>
              <w:t>Not met</w:t>
            </w:r>
          </w:p>
        </w:tc>
        <w:tc>
          <w:tcPr>
            <w:tcW w:w="1696" w:type="dxa"/>
            <w:tcBorders>
              <w:top w:val="single" w:sz="4" w:space="0" w:color="BFBFBF"/>
              <w:left w:val="single" w:sz="4" w:space="0" w:color="BFBFBF"/>
              <w:bottom w:val="single" w:sz="4" w:space="0" w:color="BFBFBF"/>
              <w:right w:val="single" w:sz="4" w:space="0" w:color="BFBFBF"/>
            </w:tcBorders>
          </w:tcPr>
          <w:p w14:paraId="3C9CE7B7" w14:textId="7CBFABD6" w:rsidR="00DA2F23" w:rsidRDefault="00DA2F23" w:rsidP="00F911B5">
            <w:pPr>
              <w:pStyle w:val="TableRow"/>
            </w:pPr>
            <w:r>
              <w:t>Attendance 22-23:</w:t>
            </w:r>
          </w:p>
          <w:p w14:paraId="60302F72" w14:textId="77479C39" w:rsidR="00DA2F23" w:rsidRDefault="00DA2F23" w:rsidP="00F911B5">
            <w:pPr>
              <w:pStyle w:val="TableRow"/>
            </w:pPr>
            <w:r>
              <w:t>Whole school: 96.1%</w:t>
            </w:r>
          </w:p>
          <w:p w14:paraId="114139FC" w14:textId="56E580BD" w:rsidR="00DA2F23" w:rsidRDefault="00DA2F23" w:rsidP="00F911B5">
            <w:pPr>
              <w:pStyle w:val="TableRow"/>
            </w:pPr>
            <w:r>
              <w:t>Disadvantaged pupils:</w:t>
            </w:r>
          </w:p>
          <w:p w14:paraId="1AA28810" w14:textId="77777777" w:rsidR="00F911B5" w:rsidRDefault="00DA2F23" w:rsidP="00F911B5">
            <w:pPr>
              <w:pStyle w:val="TableRow"/>
            </w:pPr>
            <w:r>
              <w:t>92.1%</w:t>
            </w:r>
          </w:p>
          <w:p w14:paraId="14F06183" w14:textId="77777777" w:rsidR="00797FD5" w:rsidRDefault="00797FD5" w:rsidP="00F911B5">
            <w:pPr>
              <w:pStyle w:val="TableRow"/>
            </w:pPr>
          </w:p>
          <w:p w14:paraId="7B92FCDC" w14:textId="77777777" w:rsidR="00797FD5" w:rsidRDefault="004830E1" w:rsidP="00F911B5">
            <w:pPr>
              <w:pStyle w:val="TableRow"/>
            </w:pPr>
            <w:r>
              <w:lastRenderedPageBreak/>
              <w:t>Attendance 23-24:</w:t>
            </w:r>
          </w:p>
          <w:p w14:paraId="4E163E27" w14:textId="10E9FCC6" w:rsidR="004830E1" w:rsidRDefault="004830E1" w:rsidP="00F911B5">
            <w:pPr>
              <w:pStyle w:val="TableRow"/>
            </w:pPr>
          </w:p>
        </w:tc>
      </w:tr>
      <w:tr w:rsidR="00DF22EA" w14:paraId="7BC371A2" w14:textId="77777777" w:rsidTr="00656939">
        <w:trPr>
          <w:trHeight w:val="381"/>
        </w:trPr>
        <w:tc>
          <w:tcPr>
            <w:tcW w:w="23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74C3632" w14:textId="592DDF48" w:rsidR="00DF22EA" w:rsidRDefault="00DF22EA" w:rsidP="00DF22EA">
            <w:pPr>
              <w:pStyle w:val="TableRow"/>
            </w:pPr>
            <w:r>
              <w:rPr>
                <w:sz w:val="22"/>
                <w:szCs w:val="22"/>
              </w:rPr>
              <w:lastRenderedPageBreak/>
              <w:t xml:space="preserve">To improved oral language skills and vocabulary among disadvantaged pupils. </w:t>
            </w:r>
          </w:p>
        </w:tc>
        <w:tc>
          <w:tcPr>
            <w:tcW w:w="35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ABBDE20" w14:textId="77777777" w:rsidR="00DF22EA" w:rsidRPr="00196C95" w:rsidRDefault="00DF22EA" w:rsidP="00DF22EA">
            <w:pPr>
              <w:pStyle w:val="TableRowCentered"/>
              <w:numPr>
                <w:ilvl w:val="0"/>
                <w:numId w:val="14"/>
              </w:numPr>
              <w:jc w:val="left"/>
              <w:rPr>
                <w:sz w:val="22"/>
                <w:szCs w:val="22"/>
              </w:rPr>
            </w:pPr>
            <w:r>
              <w:t xml:space="preserve">Our monitoring schedule addressing assessments and observations indicate significantly improved oral language among pupils in receipt of pupil premium. This is evident when triangulated with other sources of evidence, including engagement in lessons, pupil voice/book study and ongoing formative assessment. </w:t>
            </w:r>
          </w:p>
          <w:p w14:paraId="01C7FF39" w14:textId="4FDDB153" w:rsidR="00DF22EA" w:rsidRDefault="00DF22EA" w:rsidP="00DF22EA">
            <w:pPr>
              <w:pStyle w:val="TableRow"/>
              <w:numPr>
                <w:ilvl w:val="0"/>
                <w:numId w:val="14"/>
              </w:numPr>
            </w:pPr>
            <w:r>
              <w:t xml:space="preserve">Lesson visits and pupil book study provide evidence that children are being taught explicit vocabulary and are able to commit the words to long-term memory, which they use to articulate their learning. </w:t>
            </w:r>
          </w:p>
        </w:tc>
        <w:tc>
          <w:tcPr>
            <w:tcW w:w="18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7096E620" w14:textId="55FB939A" w:rsidR="00DF22EA" w:rsidRPr="001A5301" w:rsidRDefault="00DF22EA" w:rsidP="00DF22EA">
            <w:pPr>
              <w:pStyle w:val="TableRow"/>
              <w:rPr>
                <w:color w:val="auto"/>
              </w:rPr>
            </w:pPr>
            <w:r>
              <w:rPr>
                <w:color w:val="auto"/>
              </w:rPr>
              <w:t>Met</w:t>
            </w:r>
          </w:p>
        </w:tc>
        <w:tc>
          <w:tcPr>
            <w:tcW w:w="1696" w:type="dxa"/>
            <w:tcBorders>
              <w:top w:val="single" w:sz="4" w:space="0" w:color="BFBFBF"/>
              <w:left w:val="single" w:sz="4" w:space="0" w:color="BFBFBF"/>
              <w:bottom w:val="single" w:sz="4" w:space="0" w:color="BFBFBF"/>
              <w:right w:val="single" w:sz="4" w:space="0" w:color="BFBFBF"/>
            </w:tcBorders>
          </w:tcPr>
          <w:p w14:paraId="68075136" w14:textId="14C9DFAD" w:rsidR="00DF22EA" w:rsidRDefault="00DF22EA" w:rsidP="00DF22EA">
            <w:pPr>
              <w:pStyle w:val="TableRow"/>
            </w:pPr>
            <w:r>
              <w:t xml:space="preserve">Monitoring shows that children are able to use vocabulary taught explicitly in lessons. </w:t>
            </w:r>
          </w:p>
        </w:tc>
      </w:tr>
      <w:tr w:rsidR="00520C88" w14:paraId="63167A21" w14:textId="77777777" w:rsidTr="00656939">
        <w:trPr>
          <w:trHeight w:val="381"/>
        </w:trPr>
        <w:tc>
          <w:tcPr>
            <w:tcW w:w="23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3EB5F12" w14:textId="73884198" w:rsidR="00520C88" w:rsidRDefault="00520C88" w:rsidP="00520C88">
            <w:pPr>
              <w:pStyle w:val="TableRow"/>
            </w:pPr>
            <w:r>
              <w:rPr>
                <w:sz w:val="22"/>
                <w:szCs w:val="22"/>
              </w:rPr>
              <w:t xml:space="preserve">To improve the </w:t>
            </w:r>
            <w:r>
              <w:t xml:space="preserve">reading attainment of disadvantaged pupils. </w:t>
            </w:r>
          </w:p>
        </w:tc>
        <w:tc>
          <w:tcPr>
            <w:tcW w:w="35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187AD0A" w14:textId="77777777" w:rsidR="00520C88" w:rsidRDefault="00520C88" w:rsidP="00520C88">
            <w:pPr>
              <w:pStyle w:val="TableRowCentered"/>
              <w:numPr>
                <w:ilvl w:val="0"/>
                <w:numId w:val="14"/>
              </w:numPr>
              <w:jc w:val="left"/>
            </w:pPr>
            <w:r>
              <w:t>80% of disadvantaged pupils will pass the Year 1 Phonics Screening Check.</w:t>
            </w:r>
          </w:p>
          <w:p w14:paraId="1D0611E1" w14:textId="77777777" w:rsidR="00520C88" w:rsidRDefault="00520C88" w:rsidP="00520C88">
            <w:pPr>
              <w:pStyle w:val="TableRowCentered"/>
              <w:numPr>
                <w:ilvl w:val="0"/>
                <w:numId w:val="14"/>
              </w:numPr>
              <w:jc w:val="left"/>
            </w:pPr>
            <w:r>
              <w:t xml:space="preserve">KS1 reading outcomes in 2024/25 show that at least 90% of pupils in receipt of pupil premium funding are in line with their peers </w:t>
            </w:r>
          </w:p>
          <w:p w14:paraId="47AAFBE6" w14:textId="6A4A66ED" w:rsidR="00520C88" w:rsidRDefault="00520C88" w:rsidP="00520C88">
            <w:pPr>
              <w:pStyle w:val="TableRow"/>
              <w:numPr>
                <w:ilvl w:val="0"/>
                <w:numId w:val="14"/>
              </w:numPr>
            </w:pPr>
            <w:r>
              <w:t>KS2 reading outcomes in 2024/25 show that at least 90% pupils in receipt of pupil premium funding are in line with their peers</w:t>
            </w:r>
          </w:p>
        </w:tc>
        <w:tc>
          <w:tcPr>
            <w:tcW w:w="18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459B176" w14:textId="297C38A4" w:rsidR="00520C88" w:rsidRPr="001A5301" w:rsidRDefault="004830E1" w:rsidP="004830E1">
            <w:pPr>
              <w:pStyle w:val="TableRow"/>
              <w:ind w:left="0"/>
              <w:rPr>
                <w:color w:val="auto"/>
              </w:rPr>
            </w:pPr>
            <w:r>
              <w:rPr>
                <w:color w:val="auto"/>
              </w:rPr>
              <w:t>Not met - ongoing</w:t>
            </w:r>
          </w:p>
        </w:tc>
        <w:tc>
          <w:tcPr>
            <w:tcW w:w="1696" w:type="dxa"/>
            <w:tcBorders>
              <w:top w:val="single" w:sz="4" w:space="0" w:color="BFBFBF"/>
              <w:left w:val="single" w:sz="4" w:space="0" w:color="BFBFBF"/>
              <w:bottom w:val="single" w:sz="4" w:space="0" w:color="BFBFBF"/>
              <w:right w:val="single" w:sz="4" w:space="0" w:color="BFBFBF"/>
            </w:tcBorders>
          </w:tcPr>
          <w:p w14:paraId="13CF9863" w14:textId="77777777" w:rsidR="00520C88" w:rsidRDefault="004830E1" w:rsidP="00520C88">
            <w:pPr>
              <w:pStyle w:val="TableRow"/>
              <w:rPr>
                <w:color w:val="auto"/>
              </w:rPr>
            </w:pPr>
            <w:r>
              <w:rPr>
                <w:color w:val="auto"/>
              </w:rPr>
              <w:t xml:space="preserve">23-24 – 95% of children passed. </w:t>
            </w:r>
          </w:p>
          <w:p w14:paraId="6F7127F3" w14:textId="575AC3F6" w:rsidR="004830E1" w:rsidRPr="001A5301" w:rsidRDefault="004830E1" w:rsidP="00520C88">
            <w:pPr>
              <w:pStyle w:val="TableRow"/>
              <w:rPr>
                <w:color w:val="auto"/>
              </w:rPr>
            </w:pPr>
            <w:r>
              <w:rPr>
                <w:color w:val="auto"/>
              </w:rPr>
              <w:t xml:space="preserve">40% disadvantaged children passed. </w:t>
            </w:r>
          </w:p>
        </w:tc>
      </w:tr>
      <w:tr w:rsidR="00F911B5" w14:paraId="0212291C" w14:textId="77777777" w:rsidTr="00656939">
        <w:trPr>
          <w:trHeight w:val="381"/>
        </w:trPr>
        <w:tc>
          <w:tcPr>
            <w:tcW w:w="2384"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404797C3" w14:textId="0E773AD1" w:rsidR="00F911B5" w:rsidRPr="00FC2793" w:rsidRDefault="00F911B5" w:rsidP="00F911B5">
            <w:pPr>
              <w:pStyle w:val="TableRow"/>
            </w:pPr>
          </w:p>
        </w:tc>
        <w:tc>
          <w:tcPr>
            <w:tcW w:w="3525"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1595EB22" w14:textId="2B203AA9" w:rsidR="00F911B5" w:rsidRPr="00FC2793" w:rsidRDefault="00F911B5" w:rsidP="00F911B5">
            <w:pPr>
              <w:pStyle w:val="TableRow"/>
            </w:pPr>
          </w:p>
        </w:tc>
        <w:tc>
          <w:tcPr>
            <w:tcW w:w="188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336A4248" w14:textId="29E401A7" w:rsidR="00F911B5" w:rsidRPr="00FC2793" w:rsidRDefault="00F911B5" w:rsidP="00F911B5">
            <w:pPr>
              <w:pStyle w:val="TableRow"/>
              <w:rPr>
                <w:color w:val="auto"/>
              </w:rPr>
            </w:pPr>
          </w:p>
        </w:tc>
        <w:tc>
          <w:tcPr>
            <w:tcW w:w="1696" w:type="dxa"/>
            <w:tcBorders>
              <w:top w:val="single" w:sz="4" w:space="0" w:color="BFBFBF"/>
              <w:left w:val="single" w:sz="4" w:space="0" w:color="BFBFBF"/>
              <w:bottom w:val="single" w:sz="4" w:space="0" w:color="BFBFBF"/>
              <w:right w:val="single" w:sz="4" w:space="0" w:color="BFBFBF"/>
            </w:tcBorders>
          </w:tcPr>
          <w:p w14:paraId="0E7D9036" w14:textId="7C8F8B68" w:rsidR="00F911B5" w:rsidRDefault="00F911B5" w:rsidP="00F911B5">
            <w:pPr>
              <w:pStyle w:val="TableRow"/>
              <w:rPr>
                <w:color w:val="auto"/>
              </w:rPr>
            </w:pPr>
          </w:p>
        </w:tc>
      </w:tr>
    </w:tbl>
    <w:p w14:paraId="604E0246" w14:textId="6BABAE50" w:rsidR="00BC579E" w:rsidRDefault="00BC579E" w:rsidP="00BC579E"/>
    <w:p w14:paraId="344B1A17" w14:textId="0D2A9189" w:rsidR="009B5743" w:rsidRDefault="009B5743" w:rsidP="00BC579E"/>
    <w:p w14:paraId="714CA3B1" w14:textId="7980DFD1" w:rsidR="00C2163C" w:rsidRDefault="00C2163C" w:rsidP="00BC579E"/>
    <w:p w14:paraId="60175EB8" w14:textId="038915F5" w:rsidR="00F43B23" w:rsidRDefault="00F43B23" w:rsidP="00BC579E"/>
    <w:p w14:paraId="3D1C19A4" w14:textId="71F8DE2E" w:rsidR="00F43B23" w:rsidRDefault="00F43B23" w:rsidP="00BC579E"/>
    <w:p w14:paraId="73707016" w14:textId="77777777" w:rsidR="00F43B23" w:rsidRDefault="00F43B23" w:rsidP="00BC579E"/>
    <w:p w14:paraId="17D7022E" w14:textId="3988E641" w:rsidR="009B5743" w:rsidRDefault="00DB7BA2" w:rsidP="009B5743">
      <w:pPr>
        <w:pStyle w:val="Heading2"/>
        <w:rPr>
          <w:sz w:val="24"/>
          <w:szCs w:val="24"/>
        </w:rPr>
      </w:pPr>
      <w:r>
        <w:rPr>
          <w:sz w:val="24"/>
          <w:szCs w:val="24"/>
        </w:rPr>
        <w:t>Review of teaching support 2022-2023</w:t>
      </w:r>
    </w:p>
    <w:tbl>
      <w:tblPr>
        <w:tblW w:w="9493" w:type="dxa"/>
        <w:tblCellMar>
          <w:left w:w="10" w:type="dxa"/>
          <w:right w:w="10" w:type="dxa"/>
        </w:tblCellMar>
        <w:tblLook w:val="0000" w:firstRow="0" w:lastRow="0" w:firstColumn="0" w:lastColumn="0" w:noHBand="0" w:noVBand="0"/>
      </w:tblPr>
      <w:tblGrid>
        <w:gridCol w:w="1555"/>
        <w:gridCol w:w="4252"/>
        <w:gridCol w:w="3686"/>
      </w:tblGrid>
      <w:tr w:rsidR="009B5743" w14:paraId="2095EE1E"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B6CA3" w14:textId="77777777" w:rsidR="009B5743" w:rsidRDefault="009B5743" w:rsidP="006C52CA">
            <w:pPr>
              <w:pStyle w:val="TableRow"/>
              <w:rPr>
                <w:b/>
                <w:sz w:val="22"/>
                <w:szCs w:val="22"/>
              </w:rPr>
            </w:pPr>
            <w:r>
              <w:rPr>
                <w:b/>
                <w:sz w:val="22"/>
                <w:szCs w:val="22"/>
              </w:rPr>
              <w:t>Measure</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037F75" w14:textId="77777777" w:rsidR="009B5743" w:rsidRDefault="009B5743" w:rsidP="006C52CA">
            <w:pPr>
              <w:pStyle w:val="TableRow"/>
              <w:rPr>
                <w:b/>
                <w:sz w:val="22"/>
                <w:szCs w:val="22"/>
              </w:rPr>
            </w:pPr>
            <w:r>
              <w:rPr>
                <w:b/>
                <w:sz w:val="22"/>
                <w:szCs w:val="22"/>
              </w:rPr>
              <w:t>Activity</w:t>
            </w:r>
          </w:p>
        </w:tc>
        <w:tc>
          <w:tcPr>
            <w:tcW w:w="3686" w:type="dxa"/>
            <w:tcBorders>
              <w:top w:val="single" w:sz="4" w:space="0" w:color="000000"/>
              <w:left w:val="single" w:sz="4" w:space="0" w:color="000000"/>
              <w:bottom w:val="single" w:sz="4" w:space="0" w:color="000000"/>
              <w:right w:val="single" w:sz="4" w:space="0" w:color="000000"/>
            </w:tcBorders>
          </w:tcPr>
          <w:p w14:paraId="313D87F7" w14:textId="77777777" w:rsidR="009B5743" w:rsidRDefault="009B5743" w:rsidP="006C52CA">
            <w:pPr>
              <w:pStyle w:val="TableRow"/>
              <w:rPr>
                <w:b/>
                <w:sz w:val="22"/>
                <w:szCs w:val="22"/>
              </w:rPr>
            </w:pPr>
            <w:r>
              <w:rPr>
                <w:b/>
                <w:sz w:val="22"/>
                <w:szCs w:val="22"/>
              </w:rPr>
              <w:t>Outcome</w:t>
            </w:r>
          </w:p>
        </w:tc>
      </w:tr>
      <w:tr w:rsidR="009B5743" w14:paraId="03EDBD6E"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CB124" w14:textId="6B633768" w:rsidR="009B5743" w:rsidRDefault="00F43B23" w:rsidP="009B5743">
            <w:pPr>
              <w:pStyle w:val="TableRow"/>
              <w:ind w:left="0"/>
              <w:rPr>
                <w:rFonts w:cs="Calibri"/>
                <w:sz w:val="22"/>
                <w:szCs w:val="22"/>
              </w:rPr>
            </w:pPr>
            <w:r>
              <w:rPr>
                <w:rFonts w:cs="Calibri"/>
                <w:sz w:val="22"/>
                <w:szCs w:val="22"/>
              </w:rPr>
              <w:t>Priority 2</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6DAE2ED" w14:textId="5B7C7617" w:rsidR="009B5743" w:rsidRDefault="00F43B23" w:rsidP="00F43B23">
            <w:pPr>
              <w:pStyle w:val="TableRow"/>
              <w:numPr>
                <w:ilvl w:val="0"/>
                <w:numId w:val="14"/>
              </w:numPr>
              <w:rPr>
                <w:sz w:val="22"/>
                <w:szCs w:val="22"/>
              </w:rPr>
            </w:pPr>
            <w:r w:rsidRPr="00282259">
              <w:rPr>
                <w:sz w:val="22"/>
                <w:szCs w:val="22"/>
              </w:rPr>
              <w:t>Teachers to target disadvantaged pupils within writing sessions to achieve writing expectations.</w:t>
            </w:r>
          </w:p>
          <w:p w14:paraId="50CB282C" w14:textId="77777777" w:rsidR="00F43B23" w:rsidRDefault="00F43B23" w:rsidP="00F43B23">
            <w:pPr>
              <w:pStyle w:val="TableRow"/>
              <w:ind w:left="417"/>
              <w:rPr>
                <w:sz w:val="22"/>
                <w:szCs w:val="22"/>
              </w:rPr>
            </w:pPr>
          </w:p>
          <w:p w14:paraId="6488942C" w14:textId="7E7FDC98" w:rsidR="00F43B23" w:rsidRDefault="00F43B23" w:rsidP="00F43B23">
            <w:pPr>
              <w:pStyle w:val="TableRow"/>
              <w:numPr>
                <w:ilvl w:val="0"/>
                <w:numId w:val="14"/>
              </w:numPr>
              <w:rPr>
                <w:sz w:val="22"/>
                <w:szCs w:val="22"/>
              </w:rPr>
            </w:pPr>
            <w:r w:rsidRPr="00282259">
              <w:rPr>
                <w:sz w:val="22"/>
                <w:szCs w:val="22"/>
              </w:rPr>
              <w:t>Whole school focus on improving spelling using CUSP spelling.</w:t>
            </w:r>
          </w:p>
          <w:p w14:paraId="0A3EAEB4" w14:textId="3EB5267A" w:rsidR="00F43B23" w:rsidRDefault="00F43B23" w:rsidP="00F43B23">
            <w:pPr>
              <w:pStyle w:val="TableRow"/>
              <w:rPr>
                <w:sz w:val="22"/>
                <w:szCs w:val="22"/>
              </w:rPr>
            </w:pPr>
          </w:p>
          <w:p w14:paraId="4691ED76" w14:textId="3667C958" w:rsidR="00F43B23" w:rsidRDefault="00F43B23" w:rsidP="00F43B23">
            <w:pPr>
              <w:pStyle w:val="TableRow"/>
              <w:rPr>
                <w:sz w:val="22"/>
                <w:szCs w:val="22"/>
              </w:rPr>
            </w:pPr>
          </w:p>
          <w:p w14:paraId="46A3FABA" w14:textId="77777777" w:rsidR="00F43B23" w:rsidRDefault="00F43B23" w:rsidP="00F43B23">
            <w:pPr>
              <w:pStyle w:val="TableRow"/>
              <w:rPr>
                <w:sz w:val="22"/>
                <w:szCs w:val="22"/>
              </w:rPr>
            </w:pPr>
          </w:p>
          <w:p w14:paraId="787F88D3" w14:textId="1968A87F" w:rsidR="00F43B23" w:rsidRDefault="00F43B23" w:rsidP="00F43B23">
            <w:pPr>
              <w:pStyle w:val="TableRow"/>
              <w:numPr>
                <w:ilvl w:val="0"/>
                <w:numId w:val="14"/>
              </w:numPr>
              <w:rPr>
                <w:sz w:val="22"/>
                <w:szCs w:val="22"/>
              </w:rPr>
            </w:pPr>
            <w:r w:rsidRPr="00282259">
              <w:rPr>
                <w:sz w:val="22"/>
                <w:szCs w:val="22"/>
              </w:rPr>
              <w:t xml:space="preserve">Whole school focus on reducing cognitive load </w:t>
            </w:r>
            <w:r>
              <w:rPr>
                <w:sz w:val="22"/>
                <w:szCs w:val="22"/>
              </w:rPr>
              <w:t>with</w:t>
            </w:r>
            <w:r w:rsidRPr="00282259">
              <w:rPr>
                <w:sz w:val="22"/>
                <w:szCs w:val="22"/>
              </w:rPr>
              <w:t>in the learning environment.</w:t>
            </w:r>
          </w:p>
          <w:p w14:paraId="5F14E242" w14:textId="1557F1BD" w:rsidR="00154558" w:rsidRDefault="00154558" w:rsidP="00154558">
            <w:pPr>
              <w:pStyle w:val="TableRow"/>
              <w:rPr>
                <w:sz w:val="22"/>
                <w:szCs w:val="22"/>
              </w:rPr>
            </w:pPr>
          </w:p>
          <w:p w14:paraId="69E1AD5C" w14:textId="6BD859A9" w:rsidR="00154558" w:rsidRDefault="00154558" w:rsidP="00154558">
            <w:pPr>
              <w:pStyle w:val="TableRow"/>
              <w:rPr>
                <w:sz w:val="22"/>
                <w:szCs w:val="22"/>
              </w:rPr>
            </w:pPr>
          </w:p>
          <w:p w14:paraId="65F48CB9" w14:textId="7023C4C9" w:rsidR="00154558" w:rsidRDefault="00154558" w:rsidP="00154558">
            <w:pPr>
              <w:pStyle w:val="TableRow"/>
              <w:rPr>
                <w:sz w:val="22"/>
                <w:szCs w:val="22"/>
              </w:rPr>
            </w:pPr>
          </w:p>
          <w:p w14:paraId="27413C5F" w14:textId="503AC69B" w:rsidR="00154558" w:rsidRDefault="00154558" w:rsidP="00154558">
            <w:pPr>
              <w:pStyle w:val="TableRow"/>
              <w:rPr>
                <w:sz w:val="22"/>
                <w:szCs w:val="22"/>
              </w:rPr>
            </w:pPr>
          </w:p>
          <w:p w14:paraId="79E1F598" w14:textId="38C7215E" w:rsidR="00154558" w:rsidRDefault="00154558" w:rsidP="00154558">
            <w:pPr>
              <w:pStyle w:val="TableRow"/>
              <w:rPr>
                <w:sz w:val="22"/>
                <w:szCs w:val="22"/>
              </w:rPr>
            </w:pPr>
          </w:p>
          <w:p w14:paraId="4A57E246" w14:textId="699B0C3A" w:rsidR="00154558" w:rsidRDefault="00154558" w:rsidP="00154558">
            <w:pPr>
              <w:pStyle w:val="TableRow"/>
              <w:rPr>
                <w:sz w:val="22"/>
                <w:szCs w:val="22"/>
              </w:rPr>
            </w:pPr>
          </w:p>
          <w:p w14:paraId="7C30EDB9" w14:textId="1AB05BD4" w:rsidR="00154558" w:rsidRDefault="00154558" w:rsidP="00154558">
            <w:pPr>
              <w:pStyle w:val="TableRow"/>
              <w:rPr>
                <w:sz w:val="22"/>
                <w:szCs w:val="22"/>
              </w:rPr>
            </w:pPr>
          </w:p>
          <w:p w14:paraId="7ABF88D6" w14:textId="77777777" w:rsidR="00154558" w:rsidRDefault="00154558" w:rsidP="00154558">
            <w:pPr>
              <w:pStyle w:val="TableRow"/>
              <w:rPr>
                <w:sz w:val="22"/>
                <w:szCs w:val="22"/>
              </w:rPr>
            </w:pPr>
          </w:p>
          <w:p w14:paraId="4A01603E" w14:textId="77777777" w:rsidR="00154558" w:rsidRDefault="00154558" w:rsidP="00154558">
            <w:pPr>
              <w:pStyle w:val="TableRow"/>
              <w:rPr>
                <w:sz w:val="22"/>
                <w:szCs w:val="22"/>
              </w:rPr>
            </w:pPr>
          </w:p>
          <w:p w14:paraId="21127D26" w14:textId="77777777" w:rsidR="00F43B23" w:rsidRDefault="00F43B23" w:rsidP="00F43B23">
            <w:pPr>
              <w:pStyle w:val="TableRow"/>
              <w:ind w:left="417"/>
              <w:rPr>
                <w:sz w:val="22"/>
                <w:szCs w:val="22"/>
              </w:rPr>
            </w:pPr>
          </w:p>
          <w:p w14:paraId="01082D34" w14:textId="166BDA23" w:rsidR="00F43B23" w:rsidRPr="00710A66" w:rsidRDefault="00F43B23" w:rsidP="00F43B23">
            <w:pPr>
              <w:pStyle w:val="TableRow"/>
              <w:numPr>
                <w:ilvl w:val="0"/>
                <w:numId w:val="14"/>
              </w:numPr>
              <w:rPr>
                <w:sz w:val="22"/>
                <w:szCs w:val="22"/>
              </w:rPr>
            </w:pPr>
            <w:r>
              <w:rPr>
                <w:sz w:val="22"/>
                <w:szCs w:val="22"/>
              </w:rPr>
              <w:t>Feedback policy focusing on ‘in the moment’ feedback.</w:t>
            </w:r>
          </w:p>
        </w:tc>
        <w:tc>
          <w:tcPr>
            <w:tcW w:w="3686" w:type="dxa"/>
            <w:tcBorders>
              <w:top w:val="single" w:sz="4" w:space="0" w:color="000000"/>
              <w:left w:val="single" w:sz="4" w:space="0" w:color="000000"/>
              <w:bottom w:val="single" w:sz="4" w:space="0" w:color="000000"/>
              <w:right w:val="single" w:sz="4" w:space="0" w:color="000000"/>
            </w:tcBorders>
          </w:tcPr>
          <w:p w14:paraId="0B5C270F" w14:textId="61068BF4" w:rsidR="009B5743" w:rsidRDefault="00F43B23" w:rsidP="006C52CA">
            <w:pPr>
              <w:pStyle w:val="TableRow"/>
              <w:rPr>
                <w:rStyle w:val="PlaceholderText"/>
                <w:b/>
                <w:color w:val="auto"/>
                <w:sz w:val="22"/>
                <w:szCs w:val="22"/>
              </w:rPr>
            </w:pPr>
            <w:r>
              <w:rPr>
                <w:rStyle w:val="PlaceholderText"/>
                <w:b/>
                <w:color w:val="auto"/>
                <w:sz w:val="22"/>
                <w:szCs w:val="22"/>
              </w:rPr>
              <w:t xml:space="preserve">Ongoing </w:t>
            </w:r>
          </w:p>
          <w:p w14:paraId="5333F9AA" w14:textId="6C551067" w:rsidR="00F43B23" w:rsidRDefault="00F43B23" w:rsidP="006C52CA">
            <w:pPr>
              <w:pStyle w:val="TableRow"/>
              <w:rPr>
                <w:rStyle w:val="PlaceholderText"/>
                <w:b/>
                <w:color w:val="auto"/>
                <w:sz w:val="22"/>
                <w:szCs w:val="22"/>
              </w:rPr>
            </w:pPr>
          </w:p>
          <w:p w14:paraId="2401F229" w14:textId="41963D4A" w:rsidR="00F43B23" w:rsidRDefault="00F43B23" w:rsidP="006C52CA">
            <w:pPr>
              <w:pStyle w:val="TableRow"/>
              <w:rPr>
                <w:rStyle w:val="PlaceholderText"/>
                <w:b/>
                <w:color w:val="auto"/>
                <w:sz w:val="22"/>
                <w:szCs w:val="22"/>
              </w:rPr>
            </w:pPr>
            <w:r>
              <w:rPr>
                <w:rStyle w:val="PlaceholderText"/>
                <w:b/>
                <w:color w:val="auto"/>
                <w:sz w:val="22"/>
                <w:szCs w:val="22"/>
              </w:rPr>
              <w:br/>
            </w:r>
          </w:p>
          <w:p w14:paraId="3031C2F2" w14:textId="12C4942D" w:rsidR="00F43B23" w:rsidRDefault="00F43B23" w:rsidP="006C52CA">
            <w:pPr>
              <w:pStyle w:val="TableRow"/>
              <w:rPr>
                <w:rStyle w:val="PlaceholderText"/>
                <w:b/>
                <w:color w:val="auto"/>
                <w:sz w:val="22"/>
                <w:szCs w:val="22"/>
              </w:rPr>
            </w:pPr>
            <w:r>
              <w:rPr>
                <w:rStyle w:val="PlaceholderText"/>
                <w:b/>
                <w:color w:val="auto"/>
                <w:sz w:val="22"/>
                <w:szCs w:val="22"/>
              </w:rPr>
              <w:t xml:space="preserve">Ongoing – </w:t>
            </w:r>
            <w:r w:rsidRPr="00154558">
              <w:rPr>
                <w:rStyle w:val="PlaceholderText"/>
                <w:color w:val="auto"/>
                <w:sz w:val="22"/>
                <w:szCs w:val="22"/>
              </w:rPr>
              <w:t>CUSP has been implemented but it has not been long enough to fully evaluate its impact.</w:t>
            </w:r>
          </w:p>
          <w:p w14:paraId="50DD3140" w14:textId="77777777" w:rsidR="009B5743" w:rsidRDefault="009B5743" w:rsidP="006C52CA">
            <w:pPr>
              <w:pStyle w:val="TableRow"/>
              <w:rPr>
                <w:rStyle w:val="PlaceholderText"/>
                <w:color w:val="auto"/>
                <w:sz w:val="22"/>
                <w:szCs w:val="22"/>
              </w:rPr>
            </w:pPr>
          </w:p>
          <w:p w14:paraId="1317E131" w14:textId="77777777" w:rsidR="00154558" w:rsidRDefault="00F43B23" w:rsidP="00154558">
            <w:pPr>
              <w:pStyle w:val="TableRow"/>
              <w:rPr>
                <w:rStyle w:val="PlaceholderText"/>
                <w:color w:val="auto"/>
                <w:sz w:val="22"/>
                <w:szCs w:val="22"/>
              </w:rPr>
            </w:pPr>
            <w:r w:rsidRPr="00154558">
              <w:rPr>
                <w:rStyle w:val="PlaceholderText"/>
                <w:b/>
                <w:color w:val="auto"/>
                <w:sz w:val="22"/>
                <w:szCs w:val="22"/>
              </w:rPr>
              <w:t>Met and ongoing</w:t>
            </w:r>
            <w:r>
              <w:rPr>
                <w:rStyle w:val="PlaceholderText"/>
                <w:color w:val="auto"/>
                <w:sz w:val="22"/>
                <w:szCs w:val="22"/>
              </w:rPr>
              <w:t xml:space="preserve"> – </w:t>
            </w:r>
            <w:r w:rsidR="00154558">
              <w:rPr>
                <w:rStyle w:val="PlaceholderText"/>
                <w:color w:val="auto"/>
                <w:sz w:val="22"/>
                <w:szCs w:val="22"/>
              </w:rPr>
              <w:t>shown by pupil voice regarding the learning environment:</w:t>
            </w:r>
          </w:p>
          <w:p w14:paraId="5066CB4E" w14:textId="77777777" w:rsidR="00154558" w:rsidRPr="00154558" w:rsidRDefault="00154558" w:rsidP="00154558">
            <w:pPr>
              <w:pStyle w:val="ListParagraph"/>
              <w:numPr>
                <w:ilvl w:val="0"/>
                <w:numId w:val="15"/>
              </w:numPr>
              <w:suppressAutoHyphens w:val="0"/>
              <w:autoSpaceDN/>
              <w:spacing w:after="0" w:line="240" w:lineRule="auto"/>
              <w:jc w:val="both"/>
              <w:rPr>
                <w:i/>
                <w:sz w:val="16"/>
              </w:rPr>
            </w:pPr>
            <w:r w:rsidRPr="00154558">
              <w:rPr>
                <w:i/>
                <w:sz w:val="16"/>
              </w:rPr>
              <w:t>Children recognise how the knowledge/working walls support their learning</w:t>
            </w:r>
          </w:p>
          <w:p w14:paraId="129253AB" w14:textId="77777777" w:rsidR="00154558" w:rsidRPr="00154558" w:rsidRDefault="00154558" w:rsidP="00154558">
            <w:pPr>
              <w:pStyle w:val="ListParagraph"/>
              <w:numPr>
                <w:ilvl w:val="0"/>
                <w:numId w:val="15"/>
              </w:numPr>
              <w:suppressAutoHyphens w:val="0"/>
              <w:autoSpaceDN/>
              <w:spacing w:after="0" w:line="240" w:lineRule="auto"/>
              <w:jc w:val="both"/>
              <w:rPr>
                <w:i/>
                <w:sz w:val="16"/>
              </w:rPr>
            </w:pPr>
            <w:r w:rsidRPr="00154558">
              <w:rPr>
                <w:i/>
                <w:sz w:val="16"/>
              </w:rPr>
              <w:t>Children who found previous environments distracting state this year, they can learn much better</w:t>
            </w:r>
          </w:p>
          <w:p w14:paraId="12A082EB" w14:textId="77777777" w:rsidR="00154558" w:rsidRPr="00154558" w:rsidRDefault="00154558" w:rsidP="00154558">
            <w:pPr>
              <w:pStyle w:val="ListParagraph"/>
              <w:numPr>
                <w:ilvl w:val="0"/>
                <w:numId w:val="15"/>
              </w:numPr>
              <w:suppressAutoHyphens w:val="0"/>
              <w:autoSpaceDN/>
              <w:spacing w:after="0" w:line="240" w:lineRule="auto"/>
              <w:jc w:val="both"/>
              <w:rPr>
                <w:i/>
                <w:sz w:val="16"/>
              </w:rPr>
            </w:pPr>
            <w:r w:rsidRPr="00154558">
              <w:rPr>
                <w:i/>
                <w:sz w:val="16"/>
              </w:rPr>
              <w:t>No one voiced that their learning had been impacted negatively</w:t>
            </w:r>
          </w:p>
          <w:p w14:paraId="32CB22E6" w14:textId="77777777" w:rsidR="00154558" w:rsidRPr="00154558" w:rsidRDefault="00154558" w:rsidP="00154558">
            <w:pPr>
              <w:pStyle w:val="ListParagraph"/>
              <w:numPr>
                <w:ilvl w:val="0"/>
                <w:numId w:val="15"/>
              </w:numPr>
              <w:suppressAutoHyphens w:val="0"/>
              <w:autoSpaceDN/>
              <w:spacing w:after="0" w:line="240" w:lineRule="auto"/>
              <w:jc w:val="both"/>
              <w:rPr>
                <w:i/>
                <w:sz w:val="16"/>
              </w:rPr>
            </w:pPr>
            <w:r w:rsidRPr="00154558">
              <w:rPr>
                <w:i/>
                <w:sz w:val="16"/>
              </w:rPr>
              <w:t>Children identified how a well-resourced room helps them learn</w:t>
            </w:r>
          </w:p>
          <w:p w14:paraId="223F3F0C" w14:textId="77777777" w:rsidR="00F43B23" w:rsidRPr="00154558" w:rsidRDefault="00154558" w:rsidP="00154558">
            <w:pPr>
              <w:pStyle w:val="TableRow"/>
              <w:numPr>
                <w:ilvl w:val="0"/>
                <w:numId w:val="15"/>
              </w:numPr>
              <w:rPr>
                <w:rStyle w:val="PlaceholderText"/>
                <w:color w:val="auto"/>
                <w:sz w:val="22"/>
                <w:szCs w:val="22"/>
              </w:rPr>
            </w:pPr>
            <w:r w:rsidRPr="00154558">
              <w:rPr>
                <w:i/>
                <w:sz w:val="16"/>
              </w:rPr>
              <w:t>Children linked current/recent learning to their environment</w:t>
            </w:r>
            <w:r w:rsidR="00F43B23" w:rsidRPr="00154558">
              <w:rPr>
                <w:rStyle w:val="PlaceholderText"/>
                <w:color w:val="auto"/>
                <w:sz w:val="14"/>
                <w:szCs w:val="22"/>
              </w:rPr>
              <w:t xml:space="preserve"> </w:t>
            </w:r>
          </w:p>
          <w:p w14:paraId="5A67E322" w14:textId="77777777" w:rsidR="00154558" w:rsidRDefault="00154558" w:rsidP="00154558">
            <w:pPr>
              <w:pStyle w:val="TableRow"/>
              <w:rPr>
                <w:rStyle w:val="PlaceholderText"/>
                <w:color w:val="auto"/>
                <w:sz w:val="14"/>
                <w:szCs w:val="22"/>
              </w:rPr>
            </w:pPr>
          </w:p>
          <w:p w14:paraId="1B0084BC" w14:textId="77777777" w:rsidR="00154558" w:rsidRDefault="00154558" w:rsidP="00154558">
            <w:pPr>
              <w:pStyle w:val="TableRow"/>
              <w:rPr>
                <w:rStyle w:val="PlaceholderText"/>
                <w:color w:val="auto"/>
                <w:sz w:val="22"/>
                <w:szCs w:val="22"/>
              </w:rPr>
            </w:pPr>
            <w:r w:rsidRPr="00154558">
              <w:rPr>
                <w:rStyle w:val="PlaceholderText"/>
                <w:b/>
                <w:color w:val="auto"/>
                <w:sz w:val="22"/>
                <w:szCs w:val="22"/>
              </w:rPr>
              <w:t>Ongoing</w:t>
            </w:r>
            <w:r>
              <w:rPr>
                <w:rStyle w:val="PlaceholderText"/>
                <w:color w:val="auto"/>
                <w:sz w:val="22"/>
                <w:szCs w:val="22"/>
              </w:rPr>
              <w:t xml:space="preserve"> – we are currently reviewing the feedback and monitoring policy and rewriting it to ensure it impacts positively on pupil progress and attainment. </w:t>
            </w:r>
          </w:p>
          <w:p w14:paraId="7DE2E164" w14:textId="5F8F9901" w:rsidR="00F07FB4" w:rsidRPr="00154558" w:rsidRDefault="00F07FB4" w:rsidP="00154558">
            <w:pPr>
              <w:pStyle w:val="TableRow"/>
              <w:rPr>
                <w:rStyle w:val="PlaceholderText"/>
                <w:color w:val="auto"/>
                <w:sz w:val="22"/>
                <w:szCs w:val="22"/>
              </w:rPr>
            </w:pPr>
            <w:r>
              <w:rPr>
                <w:rStyle w:val="PlaceholderText"/>
                <w:b/>
                <w:color w:val="auto"/>
                <w:sz w:val="22"/>
                <w:szCs w:val="22"/>
              </w:rPr>
              <w:t>This will be a focus to include metacognition in 2025</w:t>
            </w:r>
            <w:r w:rsidRPr="00F07FB4">
              <w:rPr>
                <w:rStyle w:val="PlaceholderText"/>
                <w:color w:val="auto"/>
                <w:sz w:val="22"/>
                <w:szCs w:val="22"/>
              </w:rPr>
              <w:t>.</w:t>
            </w:r>
            <w:r>
              <w:rPr>
                <w:rStyle w:val="PlaceholderText"/>
                <w:color w:val="auto"/>
                <w:sz w:val="22"/>
                <w:szCs w:val="22"/>
              </w:rPr>
              <w:t xml:space="preserve"> </w:t>
            </w:r>
          </w:p>
        </w:tc>
      </w:tr>
      <w:tr w:rsidR="00D837A1" w14:paraId="72870669"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88E16D" w14:textId="7BA1DFED" w:rsidR="00D837A1" w:rsidRDefault="00D837A1" w:rsidP="00D837A1">
            <w:pPr>
              <w:pStyle w:val="TableRow"/>
              <w:ind w:left="0"/>
              <w:rPr>
                <w:rFonts w:cs="Calibri"/>
                <w:sz w:val="22"/>
                <w:szCs w:val="22"/>
              </w:rPr>
            </w:pPr>
            <w:r>
              <w:rPr>
                <w:rFonts w:cs="Calibri"/>
                <w:sz w:val="22"/>
                <w:szCs w:val="22"/>
              </w:rPr>
              <w:t>Priority 5</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825AD5" w14:textId="77777777" w:rsidR="00D837A1" w:rsidRDefault="00D837A1" w:rsidP="00D837A1">
            <w:pPr>
              <w:pStyle w:val="TableRow"/>
              <w:numPr>
                <w:ilvl w:val="0"/>
                <w:numId w:val="14"/>
              </w:numPr>
              <w:rPr>
                <w:sz w:val="22"/>
                <w:szCs w:val="22"/>
              </w:rPr>
            </w:pPr>
            <w:r w:rsidRPr="00282259">
              <w:rPr>
                <w:sz w:val="22"/>
                <w:szCs w:val="22"/>
              </w:rPr>
              <w:t xml:space="preserve">All staff trained in Read, Write, </w:t>
            </w:r>
            <w:proofErr w:type="spellStart"/>
            <w:proofErr w:type="gramStart"/>
            <w:r w:rsidRPr="00282259">
              <w:rPr>
                <w:sz w:val="22"/>
                <w:szCs w:val="22"/>
              </w:rPr>
              <w:t>inc</w:t>
            </w:r>
            <w:proofErr w:type="spellEnd"/>
            <w:proofErr w:type="gramEnd"/>
            <w:r w:rsidRPr="00282259">
              <w:rPr>
                <w:sz w:val="22"/>
                <w:szCs w:val="22"/>
              </w:rPr>
              <w:t xml:space="preserve"> and small group sessions through more staff being trained. Phonics lead to monitor closely to ensure continuity.</w:t>
            </w:r>
          </w:p>
          <w:p w14:paraId="552DD55E" w14:textId="03A71B7D" w:rsidR="00D837A1" w:rsidRDefault="00D837A1" w:rsidP="00D837A1">
            <w:pPr>
              <w:pStyle w:val="TableRow"/>
              <w:numPr>
                <w:ilvl w:val="0"/>
                <w:numId w:val="14"/>
              </w:numPr>
              <w:rPr>
                <w:sz w:val="22"/>
                <w:szCs w:val="22"/>
              </w:rPr>
            </w:pPr>
            <w:r w:rsidRPr="00282259">
              <w:rPr>
                <w:sz w:val="22"/>
                <w:szCs w:val="22"/>
              </w:rPr>
              <w:t>RWI video links and books sent home linked to each child’s phonics group</w:t>
            </w:r>
          </w:p>
          <w:p w14:paraId="3CD63662" w14:textId="77777777" w:rsidR="00E92D41" w:rsidRDefault="00E92D41" w:rsidP="00E92D41">
            <w:pPr>
              <w:pStyle w:val="TableRow"/>
              <w:ind w:left="417"/>
              <w:rPr>
                <w:sz w:val="22"/>
                <w:szCs w:val="22"/>
              </w:rPr>
            </w:pPr>
          </w:p>
          <w:p w14:paraId="2F546094" w14:textId="5B4BE66E" w:rsidR="00D837A1" w:rsidRPr="00282259" w:rsidRDefault="00D837A1" w:rsidP="00D837A1">
            <w:pPr>
              <w:pStyle w:val="TableRow"/>
              <w:numPr>
                <w:ilvl w:val="0"/>
                <w:numId w:val="14"/>
              </w:numPr>
              <w:rPr>
                <w:sz w:val="22"/>
                <w:szCs w:val="22"/>
              </w:rPr>
            </w:pPr>
            <w:r w:rsidRPr="00282259">
              <w:rPr>
                <w:sz w:val="22"/>
                <w:szCs w:val="22"/>
              </w:rPr>
              <w:t>To embed ‘Reading VIPERS’ in Y2-Y6.</w:t>
            </w:r>
          </w:p>
          <w:p w14:paraId="683D02D7" w14:textId="2AD8AB3C" w:rsidR="00D837A1" w:rsidRPr="00710A66" w:rsidRDefault="00D837A1" w:rsidP="00D837A1">
            <w:pPr>
              <w:pStyle w:val="TableRow"/>
              <w:rPr>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1C2FFCE7" w14:textId="77777777" w:rsidR="00D837A1" w:rsidRPr="00E92D41" w:rsidRDefault="00E92D41" w:rsidP="00D837A1">
            <w:pPr>
              <w:pStyle w:val="TableRow"/>
              <w:tabs>
                <w:tab w:val="left" w:pos="1275"/>
              </w:tabs>
              <w:ind w:left="0"/>
              <w:rPr>
                <w:color w:val="auto"/>
                <w:sz w:val="22"/>
                <w:szCs w:val="22"/>
              </w:rPr>
            </w:pPr>
            <w:r>
              <w:rPr>
                <w:b/>
                <w:color w:val="auto"/>
                <w:sz w:val="22"/>
                <w:szCs w:val="22"/>
              </w:rPr>
              <w:t xml:space="preserve">Met – </w:t>
            </w:r>
            <w:r w:rsidRPr="00E92D41">
              <w:rPr>
                <w:color w:val="auto"/>
                <w:sz w:val="22"/>
                <w:szCs w:val="22"/>
              </w:rPr>
              <w:t>children are making good progress with phonics and this the Phonics Lead is monitoring this closely.</w:t>
            </w:r>
          </w:p>
          <w:p w14:paraId="6F6EEE46" w14:textId="0711ED77" w:rsidR="00E92D41" w:rsidRPr="00E92D41" w:rsidRDefault="00342FF6" w:rsidP="00D837A1">
            <w:pPr>
              <w:pStyle w:val="TableRow"/>
              <w:tabs>
                <w:tab w:val="left" w:pos="1275"/>
              </w:tabs>
              <w:ind w:left="0"/>
              <w:rPr>
                <w:color w:val="auto"/>
                <w:sz w:val="22"/>
                <w:szCs w:val="22"/>
              </w:rPr>
            </w:pPr>
            <w:r>
              <w:rPr>
                <w:color w:val="auto"/>
                <w:sz w:val="22"/>
                <w:szCs w:val="22"/>
              </w:rPr>
              <w:t>Phonics Screening data for 2023/24</w:t>
            </w:r>
            <w:r w:rsidR="00E92D41" w:rsidRPr="00E92D41">
              <w:rPr>
                <w:color w:val="auto"/>
                <w:sz w:val="22"/>
                <w:szCs w:val="22"/>
              </w:rPr>
              <w:t>:</w:t>
            </w:r>
            <w:r>
              <w:rPr>
                <w:color w:val="auto"/>
                <w:sz w:val="22"/>
                <w:szCs w:val="22"/>
              </w:rPr>
              <w:t xml:space="preserve"> 95%</w:t>
            </w:r>
          </w:p>
          <w:p w14:paraId="57222F26" w14:textId="77777777" w:rsidR="00E92D41" w:rsidRPr="00E92D41" w:rsidRDefault="00E92D41" w:rsidP="00D837A1">
            <w:pPr>
              <w:pStyle w:val="TableRow"/>
              <w:tabs>
                <w:tab w:val="left" w:pos="1275"/>
              </w:tabs>
              <w:ind w:left="0"/>
              <w:rPr>
                <w:color w:val="auto"/>
                <w:sz w:val="22"/>
                <w:szCs w:val="22"/>
              </w:rPr>
            </w:pPr>
            <w:r w:rsidRPr="00E92D41">
              <w:rPr>
                <w:color w:val="auto"/>
                <w:sz w:val="22"/>
                <w:szCs w:val="22"/>
              </w:rPr>
              <w:t>RWI video links and books are sent home weekly.</w:t>
            </w:r>
          </w:p>
          <w:p w14:paraId="72D457D7" w14:textId="77777777" w:rsidR="00E92D41" w:rsidRDefault="00E92D41" w:rsidP="00D837A1">
            <w:pPr>
              <w:pStyle w:val="TableRow"/>
              <w:tabs>
                <w:tab w:val="left" w:pos="1275"/>
              </w:tabs>
              <w:ind w:left="0"/>
              <w:rPr>
                <w:b/>
                <w:color w:val="auto"/>
                <w:sz w:val="22"/>
                <w:szCs w:val="22"/>
              </w:rPr>
            </w:pPr>
          </w:p>
          <w:p w14:paraId="0C068E20" w14:textId="34F09D8B" w:rsidR="00E92D41" w:rsidRPr="009D05F0" w:rsidRDefault="00E92D41" w:rsidP="00D837A1">
            <w:pPr>
              <w:pStyle w:val="TableRow"/>
              <w:tabs>
                <w:tab w:val="left" w:pos="1275"/>
              </w:tabs>
              <w:ind w:left="0"/>
              <w:rPr>
                <w:b/>
                <w:color w:val="auto"/>
                <w:sz w:val="22"/>
                <w:szCs w:val="22"/>
              </w:rPr>
            </w:pPr>
            <w:r>
              <w:rPr>
                <w:b/>
                <w:color w:val="auto"/>
                <w:sz w:val="22"/>
                <w:szCs w:val="22"/>
              </w:rPr>
              <w:t xml:space="preserve">Met – </w:t>
            </w:r>
            <w:r w:rsidRPr="00E92D41">
              <w:rPr>
                <w:color w:val="auto"/>
                <w:sz w:val="22"/>
                <w:szCs w:val="22"/>
              </w:rPr>
              <w:t>Reading VIPERS lessons are taught in Y2-Y6.</w:t>
            </w:r>
            <w:r>
              <w:rPr>
                <w:b/>
                <w:color w:val="auto"/>
                <w:sz w:val="22"/>
                <w:szCs w:val="22"/>
              </w:rPr>
              <w:t xml:space="preserve"> </w:t>
            </w:r>
          </w:p>
        </w:tc>
      </w:tr>
      <w:tr w:rsidR="00D837A1" w14:paraId="557A826A"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6884F3" w14:textId="77777777" w:rsidR="00D837A1" w:rsidRDefault="00D837A1" w:rsidP="00D837A1">
            <w:pPr>
              <w:pStyle w:val="TableRow"/>
              <w:ind w:left="0"/>
              <w:rPr>
                <w:rFonts w:cs="Calibri"/>
                <w:sz w:val="22"/>
                <w:szCs w:val="22"/>
              </w:rPr>
            </w:pPr>
            <w:r>
              <w:rPr>
                <w:rFonts w:cs="Calibri"/>
                <w:sz w:val="22"/>
                <w:szCs w:val="22"/>
              </w:rPr>
              <w:t>Projected spending</w:t>
            </w:r>
          </w:p>
        </w:tc>
        <w:tc>
          <w:tcPr>
            <w:tcW w:w="42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8DF6DD" w14:textId="77777777" w:rsidR="00D837A1" w:rsidRPr="00282259" w:rsidRDefault="00D837A1" w:rsidP="00D837A1">
            <w:pPr>
              <w:pStyle w:val="TableRow"/>
              <w:rPr>
                <w:sz w:val="22"/>
                <w:szCs w:val="22"/>
              </w:rPr>
            </w:pPr>
          </w:p>
          <w:p w14:paraId="3CC13C3D" w14:textId="2C98EA3C" w:rsidR="00D837A1" w:rsidRPr="00710A66" w:rsidRDefault="00D837A1" w:rsidP="00D837A1">
            <w:pPr>
              <w:pStyle w:val="TableRow"/>
              <w:rPr>
                <w:sz w:val="22"/>
                <w:szCs w:val="22"/>
              </w:rPr>
            </w:pPr>
          </w:p>
        </w:tc>
        <w:tc>
          <w:tcPr>
            <w:tcW w:w="3686" w:type="dxa"/>
            <w:tcBorders>
              <w:top w:val="single" w:sz="4" w:space="0" w:color="000000"/>
              <w:left w:val="single" w:sz="4" w:space="0" w:color="000000"/>
              <w:bottom w:val="single" w:sz="4" w:space="0" w:color="000000"/>
              <w:right w:val="single" w:sz="4" w:space="0" w:color="000000"/>
            </w:tcBorders>
          </w:tcPr>
          <w:p w14:paraId="5C30C175" w14:textId="7E28BCF5" w:rsidR="00D837A1" w:rsidRPr="00710A66" w:rsidRDefault="00D837A1" w:rsidP="00D837A1">
            <w:pPr>
              <w:pStyle w:val="TableRow"/>
              <w:rPr>
                <w:b/>
                <w:sz w:val="22"/>
                <w:szCs w:val="22"/>
              </w:rPr>
            </w:pPr>
            <w:r w:rsidRPr="00710A66">
              <w:rPr>
                <w:sz w:val="22"/>
                <w:szCs w:val="22"/>
              </w:rPr>
              <w:t xml:space="preserve"> Actual spend:</w:t>
            </w:r>
            <w:r w:rsidRPr="00710A66">
              <w:rPr>
                <w:b/>
                <w:sz w:val="22"/>
                <w:szCs w:val="22"/>
              </w:rPr>
              <w:t xml:space="preserve"> </w:t>
            </w:r>
          </w:p>
        </w:tc>
      </w:tr>
    </w:tbl>
    <w:p w14:paraId="0B4BBE2D" w14:textId="3887A2DB" w:rsidR="009B5743" w:rsidRDefault="009B5743" w:rsidP="009B5743">
      <w:pPr>
        <w:pStyle w:val="Heading2"/>
        <w:rPr>
          <w:sz w:val="24"/>
          <w:szCs w:val="24"/>
        </w:rPr>
      </w:pPr>
      <w:r>
        <w:rPr>
          <w:sz w:val="24"/>
          <w:szCs w:val="24"/>
        </w:rPr>
        <w:lastRenderedPageBreak/>
        <w:t>Review o</w:t>
      </w:r>
      <w:r w:rsidR="006233F1">
        <w:rPr>
          <w:sz w:val="24"/>
          <w:szCs w:val="24"/>
        </w:rPr>
        <w:t>f targeted academic support 2023-2024</w:t>
      </w:r>
    </w:p>
    <w:tbl>
      <w:tblPr>
        <w:tblW w:w="9634" w:type="dxa"/>
        <w:tblCellMar>
          <w:left w:w="10" w:type="dxa"/>
          <w:right w:w="10" w:type="dxa"/>
        </w:tblCellMar>
        <w:tblLook w:val="0000" w:firstRow="0" w:lastRow="0" w:firstColumn="0" w:lastColumn="0" w:noHBand="0" w:noVBand="0"/>
      </w:tblPr>
      <w:tblGrid>
        <w:gridCol w:w="1555"/>
        <w:gridCol w:w="4394"/>
        <w:gridCol w:w="3685"/>
      </w:tblGrid>
      <w:tr w:rsidR="009B5743" w14:paraId="04D9AF55"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CB799E" w14:textId="77777777" w:rsidR="009B5743" w:rsidRDefault="009B5743" w:rsidP="006C52CA">
            <w:pPr>
              <w:pStyle w:val="TableRow"/>
              <w:rPr>
                <w:b/>
                <w:sz w:val="22"/>
                <w:szCs w:val="22"/>
              </w:rPr>
            </w:pPr>
            <w:r>
              <w:rPr>
                <w:b/>
                <w:sz w:val="22"/>
                <w:szCs w:val="22"/>
              </w:rPr>
              <w:t>Measure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5A838" w14:textId="77777777" w:rsidR="009B5743" w:rsidRDefault="009B5743" w:rsidP="006C52CA">
            <w:pPr>
              <w:pStyle w:val="TableRow"/>
              <w:rPr>
                <w:b/>
                <w:sz w:val="22"/>
                <w:szCs w:val="22"/>
              </w:rPr>
            </w:pPr>
            <w:r>
              <w:rPr>
                <w:b/>
                <w:sz w:val="22"/>
                <w:szCs w:val="22"/>
              </w:rPr>
              <w:t>Activity</w:t>
            </w:r>
          </w:p>
        </w:tc>
        <w:tc>
          <w:tcPr>
            <w:tcW w:w="3685" w:type="dxa"/>
            <w:tcBorders>
              <w:top w:val="single" w:sz="4" w:space="0" w:color="000000"/>
              <w:left w:val="single" w:sz="4" w:space="0" w:color="000000"/>
              <w:bottom w:val="single" w:sz="4" w:space="0" w:color="000000"/>
              <w:right w:val="single" w:sz="4" w:space="0" w:color="000000"/>
            </w:tcBorders>
          </w:tcPr>
          <w:p w14:paraId="54135611" w14:textId="77777777" w:rsidR="009B5743" w:rsidRDefault="009B5743" w:rsidP="006C52CA">
            <w:pPr>
              <w:pStyle w:val="TableRow"/>
              <w:rPr>
                <w:b/>
                <w:sz w:val="22"/>
                <w:szCs w:val="22"/>
              </w:rPr>
            </w:pPr>
            <w:r>
              <w:rPr>
                <w:b/>
                <w:sz w:val="22"/>
                <w:szCs w:val="22"/>
              </w:rPr>
              <w:t>Outcome</w:t>
            </w:r>
          </w:p>
        </w:tc>
      </w:tr>
      <w:tr w:rsidR="00097B17" w14:paraId="62553394"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280B99" w14:textId="15F8ED53" w:rsidR="00097B17" w:rsidRDefault="00097B17" w:rsidP="00097B17">
            <w:pPr>
              <w:pStyle w:val="TableRow"/>
              <w:ind w:left="0"/>
              <w:rPr>
                <w:rFonts w:cs="Calibri"/>
                <w:sz w:val="22"/>
                <w:szCs w:val="22"/>
              </w:rPr>
            </w:pPr>
            <w:r>
              <w:rPr>
                <w:rFonts w:cs="Calibri"/>
                <w:sz w:val="22"/>
                <w:szCs w:val="22"/>
              </w:rPr>
              <w:t>Priority 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47C4BF" w14:textId="77777777" w:rsidR="00097B17" w:rsidRPr="00097B17" w:rsidRDefault="00097B17" w:rsidP="00097B17">
            <w:pPr>
              <w:pStyle w:val="TableRow"/>
              <w:numPr>
                <w:ilvl w:val="0"/>
                <w:numId w:val="14"/>
              </w:numPr>
              <w:rPr>
                <w:sz w:val="22"/>
                <w:szCs w:val="22"/>
              </w:rPr>
            </w:pPr>
            <w:r>
              <w:rPr>
                <w:sz w:val="22"/>
              </w:rPr>
              <w:t>Socially Speaking interventions</w:t>
            </w:r>
          </w:p>
          <w:p w14:paraId="479D3037" w14:textId="77777777" w:rsidR="00097B17" w:rsidRPr="00097B17" w:rsidRDefault="00097B17" w:rsidP="00097B17">
            <w:pPr>
              <w:pStyle w:val="TableRow"/>
              <w:numPr>
                <w:ilvl w:val="0"/>
                <w:numId w:val="14"/>
              </w:numPr>
              <w:rPr>
                <w:sz w:val="22"/>
                <w:szCs w:val="22"/>
              </w:rPr>
            </w:pPr>
            <w:r>
              <w:rPr>
                <w:sz w:val="22"/>
              </w:rPr>
              <w:t>Lego Therapy</w:t>
            </w:r>
          </w:p>
          <w:p w14:paraId="47DFDE4C" w14:textId="78E5A9CF" w:rsidR="00097B17" w:rsidRPr="00710A66" w:rsidRDefault="00097B17" w:rsidP="00097B17">
            <w:pPr>
              <w:pStyle w:val="TableRow"/>
              <w:numPr>
                <w:ilvl w:val="0"/>
                <w:numId w:val="14"/>
              </w:numPr>
              <w:rPr>
                <w:sz w:val="22"/>
                <w:szCs w:val="22"/>
              </w:rPr>
            </w:pPr>
            <w:r>
              <w:rPr>
                <w:sz w:val="22"/>
              </w:rPr>
              <w:t>1:1 Thrive sessions</w:t>
            </w:r>
          </w:p>
        </w:tc>
        <w:tc>
          <w:tcPr>
            <w:tcW w:w="3685" w:type="dxa"/>
            <w:tcBorders>
              <w:top w:val="single" w:sz="4" w:space="0" w:color="000000"/>
              <w:left w:val="single" w:sz="4" w:space="0" w:color="000000"/>
              <w:bottom w:val="single" w:sz="4" w:space="0" w:color="000000"/>
              <w:right w:val="single" w:sz="4" w:space="0" w:color="000000"/>
            </w:tcBorders>
          </w:tcPr>
          <w:p w14:paraId="7169B64B" w14:textId="3A76A989" w:rsidR="00097B17" w:rsidRPr="00097B17" w:rsidRDefault="00097B17" w:rsidP="00097B17">
            <w:pPr>
              <w:pStyle w:val="TableRow"/>
              <w:rPr>
                <w:color w:val="auto"/>
                <w:sz w:val="22"/>
                <w:szCs w:val="22"/>
              </w:rPr>
            </w:pPr>
            <w:r w:rsidRPr="00710A66">
              <w:rPr>
                <w:b/>
                <w:color w:val="auto"/>
                <w:sz w:val="22"/>
                <w:szCs w:val="22"/>
              </w:rPr>
              <w:t>Implemented</w:t>
            </w:r>
            <w:r>
              <w:rPr>
                <w:color w:val="auto"/>
                <w:sz w:val="22"/>
                <w:szCs w:val="22"/>
              </w:rPr>
              <w:t xml:space="preserve"> </w:t>
            </w:r>
            <w:r>
              <w:rPr>
                <w:b/>
                <w:color w:val="auto"/>
                <w:sz w:val="22"/>
                <w:szCs w:val="22"/>
              </w:rPr>
              <w:t xml:space="preserve">and ongoing </w:t>
            </w:r>
            <w:r>
              <w:rPr>
                <w:color w:val="auto"/>
                <w:sz w:val="22"/>
                <w:szCs w:val="22"/>
              </w:rPr>
              <w:t xml:space="preserve">– children have made progress within interventions but these are ongoing. </w:t>
            </w:r>
          </w:p>
          <w:p w14:paraId="09F5E496" w14:textId="77777777" w:rsidR="00097B17" w:rsidRDefault="00097B17" w:rsidP="00097B17">
            <w:pPr>
              <w:pStyle w:val="TableRow"/>
              <w:rPr>
                <w:color w:val="auto"/>
                <w:sz w:val="22"/>
                <w:szCs w:val="22"/>
              </w:rPr>
            </w:pPr>
          </w:p>
          <w:p w14:paraId="725FDAAE" w14:textId="43AFB73C" w:rsidR="00097B17" w:rsidRPr="00710A66" w:rsidRDefault="00097B17" w:rsidP="00097B17">
            <w:pPr>
              <w:pStyle w:val="TableRow"/>
              <w:rPr>
                <w:color w:val="auto"/>
                <w:sz w:val="22"/>
                <w:szCs w:val="22"/>
              </w:rPr>
            </w:pPr>
            <w:r w:rsidRPr="004F4DCC">
              <w:rPr>
                <w:color w:val="auto"/>
                <w:sz w:val="22"/>
                <w:szCs w:val="22"/>
              </w:rPr>
              <w:t>.</w:t>
            </w:r>
          </w:p>
        </w:tc>
      </w:tr>
      <w:tr w:rsidR="00097B17" w14:paraId="7111E8F6"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A8A408" w14:textId="45DF92F9" w:rsidR="00097B17" w:rsidRDefault="00AE7A25" w:rsidP="00097B17">
            <w:pPr>
              <w:pStyle w:val="TableRow"/>
              <w:ind w:left="0"/>
              <w:rPr>
                <w:rFonts w:cs="Calibri"/>
                <w:sz w:val="22"/>
                <w:szCs w:val="22"/>
              </w:rPr>
            </w:pPr>
            <w:r>
              <w:rPr>
                <w:rFonts w:cs="Calibri"/>
                <w:sz w:val="22"/>
                <w:szCs w:val="22"/>
              </w:rPr>
              <w:t>Priority 2</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61859B" w14:textId="44F3975D" w:rsidR="00097B17" w:rsidRPr="00710A66" w:rsidRDefault="00AE7A25" w:rsidP="00AE7A25">
            <w:pPr>
              <w:pStyle w:val="TableRow"/>
              <w:numPr>
                <w:ilvl w:val="0"/>
                <w:numId w:val="14"/>
              </w:numPr>
              <w:rPr>
                <w:sz w:val="22"/>
                <w:szCs w:val="22"/>
              </w:rPr>
            </w:pPr>
            <w:proofErr w:type="spellStart"/>
            <w:r>
              <w:rPr>
                <w:sz w:val="22"/>
              </w:rPr>
              <w:t>PiXL</w:t>
            </w:r>
            <w:proofErr w:type="spellEnd"/>
            <w:r>
              <w:rPr>
                <w:sz w:val="22"/>
              </w:rPr>
              <w:t xml:space="preserve"> interventions</w:t>
            </w:r>
          </w:p>
        </w:tc>
        <w:tc>
          <w:tcPr>
            <w:tcW w:w="3685" w:type="dxa"/>
            <w:tcBorders>
              <w:top w:val="single" w:sz="4" w:space="0" w:color="000000"/>
              <w:left w:val="single" w:sz="4" w:space="0" w:color="000000"/>
              <w:bottom w:val="single" w:sz="4" w:space="0" w:color="000000"/>
              <w:right w:val="single" w:sz="4" w:space="0" w:color="000000"/>
            </w:tcBorders>
          </w:tcPr>
          <w:p w14:paraId="6E449391" w14:textId="1F10B041" w:rsidR="00097B17" w:rsidRPr="00AE7A25" w:rsidRDefault="00097B17" w:rsidP="00AE7A25">
            <w:pPr>
              <w:pStyle w:val="TableRow"/>
              <w:rPr>
                <w:b/>
                <w:color w:val="auto"/>
                <w:sz w:val="22"/>
                <w:szCs w:val="22"/>
              </w:rPr>
            </w:pPr>
            <w:r w:rsidRPr="00376535">
              <w:rPr>
                <w:b/>
                <w:color w:val="auto"/>
                <w:sz w:val="22"/>
                <w:szCs w:val="22"/>
              </w:rPr>
              <w:t>Implemented</w:t>
            </w:r>
            <w:r w:rsidR="00AE7A25">
              <w:rPr>
                <w:b/>
                <w:color w:val="auto"/>
                <w:sz w:val="22"/>
                <w:szCs w:val="22"/>
              </w:rPr>
              <w:t xml:space="preserve"> and ongoing - </w:t>
            </w:r>
            <w:r w:rsidR="00AE7A25">
              <w:rPr>
                <w:color w:val="auto"/>
                <w:sz w:val="22"/>
                <w:szCs w:val="22"/>
              </w:rPr>
              <w:t>children have made progress within interventions but these are ongoing.</w:t>
            </w:r>
          </w:p>
          <w:p w14:paraId="57DE1AE9" w14:textId="77777777" w:rsidR="00097B17" w:rsidRPr="00710A66" w:rsidRDefault="00097B17" w:rsidP="00097B17">
            <w:pPr>
              <w:pStyle w:val="TableRow"/>
              <w:rPr>
                <w:color w:val="auto"/>
                <w:sz w:val="22"/>
                <w:szCs w:val="22"/>
              </w:rPr>
            </w:pPr>
          </w:p>
          <w:p w14:paraId="7EBB3295" w14:textId="77777777" w:rsidR="00097B17" w:rsidRPr="00710A66" w:rsidRDefault="00097B17" w:rsidP="00097B17">
            <w:pPr>
              <w:pStyle w:val="TableRow"/>
              <w:rPr>
                <w:color w:val="auto"/>
                <w:sz w:val="22"/>
                <w:szCs w:val="22"/>
              </w:rPr>
            </w:pPr>
          </w:p>
          <w:p w14:paraId="1B7BA266" w14:textId="021BCDC9" w:rsidR="00097B17" w:rsidRPr="00710A66" w:rsidRDefault="00097B17" w:rsidP="00097B17">
            <w:pPr>
              <w:pStyle w:val="TableRow"/>
              <w:ind w:left="0"/>
              <w:rPr>
                <w:b/>
                <w:color w:val="auto"/>
                <w:sz w:val="22"/>
                <w:szCs w:val="22"/>
              </w:rPr>
            </w:pPr>
          </w:p>
        </w:tc>
      </w:tr>
      <w:tr w:rsidR="00C6272B" w14:paraId="7326CCC1" w14:textId="77777777" w:rsidTr="006C52CA">
        <w:trPr>
          <w:trHeight w:val="4254"/>
        </w:trPr>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31143" w14:textId="06E579EF" w:rsidR="00C6272B" w:rsidRDefault="00C6272B" w:rsidP="00C6272B">
            <w:pPr>
              <w:pStyle w:val="TableRow"/>
              <w:ind w:left="0"/>
              <w:rPr>
                <w:rFonts w:cs="Calibri"/>
                <w:sz w:val="22"/>
                <w:szCs w:val="22"/>
              </w:rPr>
            </w:pPr>
            <w:r>
              <w:rPr>
                <w:rFonts w:cs="Calibri"/>
                <w:sz w:val="22"/>
                <w:szCs w:val="22"/>
              </w:rPr>
              <w:t xml:space="preserve">Priority 4 </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6BEF51E" w14:textId="3BEAA3AD" w:rsidR="00C6272B" w:rsidRDefault="00C6272B" w:rsidP="00C6272B">
            <w:pPr>
              <w:pStyle w:val="TableRow"/>
              <w:numPr>
                <w:ilvl w:val="0"/>
                <w:numId w:val="14"/>
              </w:numPr>
              <w:rPr>
                <w:sz w:val="22"/>
              </w:rPr>
            </w:pPr>
            <w:r w:rsidRPr="00C97097">
              <w:rPr>
                <w:sz w:val="22"/>
              </w:rPr>
              <w:t>Embedding a range of CPD to address speech and language which will support targeted interventions (</w:t>
            </w:r>
            <w:r w:rsidR="008400D0">
              <w:rPr>
                <w:sz w:val="22"/>
              </w:rPr>
              <w:t>WELLCOM</w:t>
            </w:r>
            <w:r w:rsidRPr="00C97097">
              <w:rPr>
                <w:sz w:val="22"/>
              </w:rPr>
              <w:t>, ERT)</w:t>
            </w:r>
          </w:p>
          <w:p w14:paraId="1C73A8BE" w14:textId="77777777" w:rsidR="00C6272B" w:rsidRDefault="00C6272B" w:rsidP="00C6272B">
            <w:pPr>
              <w:pStyle w:val="TableRow"/>
              <w:rPr>
                <w:sz w:val="22"/>
              </w:rPr>
            </w:pPr>
          </w:p>
          <w:p w14:paraId="55438A0D" w14:textId="2D2C63EA" w:rsidR="00C6272B" w:rsidRPr="00710A66" w:rsidRDefault="00C6272B" w:rsidP="00C6272B">
            <w:pPr>
              <w:pStyle w:val="TableRow"/>
              <w:numPr>
                <w:ilvl w:val="0"/>
                <w:numId w:val="14"/>
              </w:numPr>
              <w:rPr>
                <w:sz w:val="22"/>
                <w:szCs w:val="22"/>
              </w:rPr>
            </w:pPr>
            <w:r>
              <w:rPr>
                <w:sz w:val="22"/>
              </w:rPr>
              <w:t xml:space="preserve">Embedding </w:t>
            </w:r>
            <w:proofErr w:type="spellStart"/>
            <w:r>
              <w:rPr>
                <w:sz w:val="22"/>
              </w:rPr>
              <w:t>Maketon</w:t>
            </w:r>
            <w:proofErr w:type="spellEnd"/>
            <w:r>
              <w:rPr>
                <w:sz w:val="22"/>
              </w:rPr>
              <w:t xml:space="preserve"> training</w:t>
            </w:r>
          </w:p>
        </w:tc>
        <w:tc>
          <w:tcPr>
            <w:tcW w:w="3685" w:type="dxa"/>
            <w:tcBorders>
              <w:top w:val="single" w:sz="4" w:space="0" w:color="000000"/>
              <w:left w:val="single" w:sz="4" w:space="0" w:color="000000"/>
              <w:bottom w:val="single" w:sz="4" w:space="0" w:color="000000"/>
              <w:right w:val="single" w:sz="4" w:space="0" w:color="000000"/>
            </w:tcBorders>
          </w:tcPr>
          <w:p w14:paraId="1B13F0F6" w14:textId="463E5088" w:rsidR="00C6272B" w:rsidRPr="00AA50E0" w:rsidRDefault="008400D0" w:rsidP="00C6272B">
            <w:pPr>
              <w:pStyle w:val="TableRow"/>
              <w:rPr>
                <w:color w:val="auto"/>
                <w:sz w:val="22"/>
                <w:szCs w:val="22"/>
              </w:rPr>
            </w:pPr>
            <w:r>
              <w:rPr>
                <w:b/>
                <w:color w:val="auto"/>
                <w:sz w:val="22"/>
                <w:szCs w:val="22"/>
              </w:rPr>
              <w:t>Ongoing – WELCOMM is currently being introduced to screen speech and language needs (</w:t>
            </w:r>
            <w:proofErr w:type="spellStart"/>
            <w:r>
              <w:rPr>
                <w:b/>
                <w:color w:val="auto"/>
                <w:sz w:val="22"/>
                <w:szCs w:val="22"/>
              </w:rPr>
              <w:t>aut</w:t>
            </w:r>
            <w:proofErr w:type="spellEnd"/>
            <w:r>
              <w:rPr>
                <w:b/>
                <w:color w:val="auto"/>
                <w:sz w:val="22"/>
                <w:szCs w:val="22"/>
              </w:rPr>
              <w:t xml:space="preserve"> 2024)</w:t>
            </w:r>
          </w:p>
          <w:p w14:paraId="670FD7D8" w14:textId="77777777" w:rsidR="00C6272B" w:rsidRPr="00AA50E0" w:rsidRDefault="00C6272B" w:rsidP="00C6272B">
            <w:pPr>
              <w:pStyle w:val="TableRow"/>
              <w:rPr>
                <w:color w:val="auto"/>
                <w:sz w:val="22"/>
                <w:szCs w:val="22"/>
              </w:rPr>
            </w:pPr>
          </w:p>
          <w:p w14:paraId="08193F64" w14:textId="77777777" w:rsidR="00C6272B" w:rsidRDefault="00C6272B" w:rsidP="00C6272B">
            <w:pPr>
              <w:pStyle w:val="TableRow"/>
              <w:rPr>
                <w:color w:val="auto"/>
                <w:sz w:val="22"/>
                <w:szCs w:val="22"/>
              </w:rPr>
            </w:pPr>
            <w:r w:rsidRPr="00AA50E0">
              <w:rPr>
                <w:b/>
                <w:color w:val="auto"/>
                <w:sz w:val="22"/>
                <w:szCs w:val="22"/>
              </w:rPr>
              <w:t>Implemented</w:t>
            </w:r>
            <w:r w:rsidRPr="00AA50E0">
              <w:rPr>
                <w:color w:val="auto"/>
                <w:sz w:val="22"/>
                <w:szCs w:val="22"/>
              </w:rPr>
              <w:t xml:space="preserve"> ERT </w:t>
            </w:r>
          </w:p>
          <w:p w14:paraId="7BCF7285" w14:textId="77777777" w:rsidR="00C6272B" w:rsidRDefault="00C6272B" w:rsidP="00C6272B">
            <w:pPr>
              <w:pStyle w:val="TableRow"/>
              <w:rPr>
                <w:sz w:val="22"/>
                <w:szCs w:val="22"/>
              </w:rPr>
            </w:pPr>
          </w:p>
          <w:p w14:paraId="16025941" w14:textId="621BAD70" w:rsidR="00C6272B" w:rsidRPr="00C6272B" w:rsidRDefault="00C6272B" w:rsidP="00C6272B">
            <w:pPr>
              <w:pStyle w:val="TableRow"/>
              <w:rPr>
                <w:sz w:val="22"/>
                <w:szCs w:val="22"/>
              </w:rPr>
            </w:pPr>
            <w:r>
              <w:rPr>
                <w:b/>
                <w:sz w:val="22"/>
                <w:szCs w:val="22"/>
              </w:rPr>
              <w:t xml:space="preserve">Ongoing – </w:t>
            </w:r>
            <w:r>
              <w:rPr>
                <w:sz w:val="22"/>
                <w:szCs w:val="22"/>
              </w:rPr>
              <w:t xml:space="preserve">staff are using </w:t>
            </w:r>
            <w:proofErr w:type="spellStart"/>
            <w:r>
              <w:rPr>
                <w:sz w:val="22"/>
                <w:szCs w:val="22"/>
              </w:rPr>
              <w:t>Maketon</w:t>
            </w:r>
            <w:proofErr w:type="spellEnd"/>
            <w:r>
              <w:rPr>
                <w:sz w:val="22"/>
                <w:szCs w:val="22"/>
              </w:rPr>
              <w:t xml:space="preserve"> with our non-verbal children and linking this to APDR targets. More training may be needed due to new staff. </w:t>
            </w:r>
          </w:p>
        </w:tc>
      </w:tr>
      <w:tr w:rsidR="008B69C4" w14:paraId="56E6898A"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A0685" w14:textId="4B213C32" w:rsidR="008B69C4" w:rsidRDefault="008B69C4" w:rsidP="008B69C4">
            <w:pPr>
              <w:pStyle w:val="TableRow"/>
              <w:ind w:left="0"/>
              <w:rPr>
                <w:rFonts w:cs="Calibri"/>
                <w:sz w:val="22"/>
                <w:szCs w:val="22"/>
              </w:rPr>
            </w:pPr>
            <w:r>
              <w:rPr>
                <w:rFonts w:cs="Calibri"/>
                <w:sz w:val="22"/>
                <w:szCs w:val="22"/>
              </w:rPr>
              <w:t>Priority 5</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0BC24D" w14:textId="26A1EDFE" w:rsidR="008B69C4" w:rsidRDefault="008B69C4" w:rsidP="008B69C4">
            <w:pPr>
              <w:pStyle w:val="TableRow"/>
              <w:numPr>
                <w:ilvl w:val="0"/>
                <w:numId w:val="14"/>
              </w:numPr>
              <w:rPr>
                <w:sz w:val="22"/>
              </w:rPr>
            </w:pPr>
            <w:r>
              <w:rPr>
                <w:sz w:val="22"/>
              </w:rPr>
              <w:t>5 Minute Literacy Box interventions</w:t>
            </w:r>
          </w:p>
          <w:p w14:paraId="2D33F840" w14:textId="3FDD40E7" w:rsidR="008B69C4" w:rsidRDefault="008B69C4" w:rsidP="008B69C4">
            <w:pPr>
              <w:pStyle w:val="TableRow"/>
              <w:rPr>
                <w:sz w:val="22"/>
              </w:rPr>
            </w:pPr>
          </w:p>
          <w:p w14:paraId="7014B1B3" w14:textId="453A0120" w:rsidR="008B69C4" w:rsidRDefault="008B69C4" w:rsidP="008B69C4">
            <w:pPr>
              <w:pStyle w:val="TableRow"/>
              <w:ind w:left="0"/>
              <w:rPr>
                <w:sz w:val="22"/>
              </w:rPr>
            </w:pPr>
          </w:p>
          <w:p w14:paraId="7428E046" w14:textId="6EA03BDE" w:rsidR="008B69C4" w:rsidRPr="00710A66" w:rsidRDefault="008B69C4" w:rsidP="008B69C4">
            <w:pPr>
              <w:pStyle w:val="TableRow"/>
              <w:numPr>
                <w:ilvl w:val="0"/>
                <w:numId w:val="14"/>
              </w:numPr>
              <w:rPr>
                <w:sz w:val="22"/>
                <w:szCs w:val="22"/>
              </w:rPr>
            </w:pPr>
            <w:r>
              <w:rPr>
                <w:sz w:val="22"/>
              </w:rPr>
              <w:t>Fresh Start Phonics interventions</w:t>
            </w:r>
          </w:p>
        </w:tc>
        <w:tc>
          <w:tcPr>
            <w:tcW w:w="3685" w:type="dxa"/>
            <w:tcBorders>
              <w:top w:val="single" w:sz="4" w:space="0" w:color="000000"/>
              <w:left w:val="single" w:sz="4" w:space="0" w:color="000000"/>
              <w:bottom w:val="single" w:sz="4" w:space="0" w:color="000000"/>
              <w:right w:val="single" w:sz="4" w:space="0" w:color="000000"/>
            </w:tcBorders>
          </w:tcPr>
          <w:p w14:paraId="750FFFDA" w14:textId="77777777" w:rsidR="008B69C4" w:rsidRPr="00AE7A25" w:rsidRDefault="008B69C4" w:rsidP="008B69C4">
            <w:pPr>
              <w:pStyle w:val="TableRow"/>
              <w:rPr>
                <w:b/>
                <w:color w:val="auto"/>
                <w:sz w:val="22"/>
                <w:szCs w:val="22"/>
              </w:rPr>
            </w:pPr>
            <w:r w:rsidRPr="00376535">
              <w:rPr>
                <w:b/>
                <w:color w:val="auto"/>
                <w:sz w:val="22"/>
                <w:szCs w:val="22"/>
              </w:rPr>
              <w:t>Implemented</w:t>
            </w:r>
            <w:r>
              <w:rPr>
                <w:b/>
                <w:color w:val="auto"/>
                <w:sz w:val="22"/>
                <w:szCs w:val="22"/>
              </w:rPr>
              <w:t xml:space="preserve"> and ongoing - </w:t>
            </w:r>
            <w:r>
              <w:rPr>
                <w:color w:val="auto"/>
                <w:sz w:val="22"/>
                <w:szCs w:val="22"/>
              </w:rPr>
              <w:t>children have made progress within interventions but these are ongoing.</w:t>
            </w:r>
          </w:p>
          <w:p w14:paraId="6A91A67F" w14:textId="77777777" w:rsidR="008B69C4" w:rsidRPr="00AE7A25" w:rsidRDefault="008B69C4" w:rsidP="008B69C4">
            <w:pPr>
              <w:pStyle w:val="TableRow"/>
              <w:rPr>
                <w:b/>
                <w:color w:val="auto"/>
                <w:sz w:val="22"/>
                <w:szCs w:val="22"/>
              </w:rPr>
            </w:pPr>
            <w:r w:rsidRPr="00376535">
              <w:rPr>
                <w:b/>
                <w:color w:val="auto"/>
                <w:sz w:val="22"/>
                <w:szCs w:val="22"/>
              </w:rPr>
              <w:t>Implemented</w:t>
            </w:r>
            <w:r>
              <w:rPr>
                <w:b/>
                <w:color w:val="auto"/>
                <w:sz w:val="22"/>
                <w:szCs w:val="22"/>
              </w:rPr>
              <w:t xml:space="preserve"> and ongoing - </w:t>
            </w:r>
            <w:r>
              <w:rPr>
                <w:color w:val="auto"/>
                <w:sz w:val="22"/>
                <w:szCs w:val="22"/>
              </w:rPr>
              <w:t>children have made progress within interventions but these are ongoing.</w:t>
            </w:r>
          </w:p>
          <w:p w14:paraId="1B3B8EEB" w14:textId="6525C553" w:rsidR="008B69C4" w:rsidRPr="0077593B" w:rsidRDefault="008B69C4" w:rsidP="008B69C4">
            <w:pPr>
              <w:pStyle w:val="TableRow"/>
              <w:rPr>
                <w:b/>
                <w:color w:val="auto"/>
                <w:sz w:val="22"/>
                <w:szCs w:val="22"/>
              </w:rPr>
            </w:pPr>
          </w:p>
        </w:tc>
      </w:tr>
      <w:tr w:rsidR="008B69C4" w14:paraId="30DC65AA"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74780" w14:textId="77777777" w:rsidR="008B69C4" w:rsidRDefault="008B69C4" w:rsidP="008B69C4">
            <w:pPr>
              <w:pStyle w:val="TableRow"/>
              <w:ind w:left="0"/>
              <w:rPr>
                <w:rFonts w:cs="Calibri"/>
                <w:sz w:val="22"/>
                <w:szCs w:val="22"/>
              </w:rPr>
            </w:pPr>
            <w:r>
              <w:rPr>
                <w:rFonts w:cs="Calibri"/>
                <w:sz w:val="22"/>
                <w:szCs w:val="22"/>
              </w:rPr>
              <w:t>Projected spending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BEE793" w14:textId="77777777" w:rsidR="008B69C4" w:rsidRPr="00710A66" w:rsidRDefault="008B69C4" w:rsidP="008B69C4">
            <w:pPr>
              <w:pStyle w:val="TableRow"/>
              <w:rPr>
                <w:sz w:val="22"/>
                <w:szCs w:val="22"/>
              </w:rPr>
            </w:pPr>
            <w:r w:rsidRPr="00710A66">
              <w:rPr>
                <w:sz w:val="22"/>
                <w:szCs w:val="22"/>
              </w:rPr>
              <w:t>£60,136</w:t>
            </w:r>
          </w:p>
        </w:tc>
        <w:tc>
          <w:tcPr>
            <w:tcW w:w="3685" w:type="dxa"/>
            <w:tcBorders>
              <w:top w:val="single" w:sz="4" w:space="0" w:color="000000"/>
              <w:left w:val="single" w:sz="4" w:space="0" w:color="000000"/>
              <w:bottom w:val="single" w:sz="4" w:space="0" w:color="000000"/>
              <w:right w:val="single" w:sz="4" w:space="0" w:color="000000"/>
            </w:tcBorders>
          </w:tcPr>
          <w:p w14:paraId="7AC69F5B" w14:textId="77777777" w:rsidR="008B69C4" w:rsidRPr="00710A66" w:rsidRDefault="008B69C4" w:rsidP="008B69C4">
            <w:pPr>
              <w:pStyle w:val="TableRow"/>
              <w:rPr>
                <w:color w:val="auto"/>
                <w:sz w:val="22"/>
                <w:szCs w:val="22"/>
              </w:rPr>
            </w:pPr>
            <w:r w:rsidRPr="00710A66">
              <w:rPr>
                <w:sz w:val="22"/>
                <w:szCs w:val="22"/>
              </w:rPr>
              <w:t xml:space="preserve">Actual spend: </w:t>
            </w:r>
            <w:r w:rsidRPr="00C925B9">
              <w:rPr>
                <w:b/>
                <w:color w:val="auto"/>
                <w:sz w:val="22"/>
                <w:szCs w:val="22"/>
              </w:rPr>
              <w:t>£60,136</w:t>
            </w:r>
          </w:p>
        </w:tc>
      </w:tr>
    </w:tbl>
    <w:p w14:paraId="1234EB20" w14:textId="77777777" w:rsidR="009B5743" w:rsidRPr="00CB4866" w:rsidRDefault="009B5743" w:rsidP="009B5743"/>
    <w:p w14:paraId="132CDF3A" w14:textId="293C1F3F" w:rsidR="009B5743" w:rsidRDefault="00DB7BA2" w:rsidP="009B5743">
      <w:pPr>
        <w:pStyle w:val="Heading2"/>
        <w:rPr>
          <w:sz w:val="24"/>
          <w:szCs w:val="24"/>
        </w:rPr>
      </w:pPr>
      <w:r>
        <w:rPr>
          <w:sz w:val="24"/>
          <w:szCs w:val="24"/>
        </w:rPr>
        <w:t>Review of wider strategies 2022-2023</w:t>
      </w:r>
    </w:p>
    <w:p w14:paraId="451EFF75" w14:textId="61F5DDD8" w:rsidR="00656939" w:rsidRPr="00656939" w:rsidRDefault="00656939" w:rsidP="00656939"/>
    <w:tbl>
      <w:tblPr>
        <w:tblW w:w="9776" w:type="dxa"/>
        <w:tblCellMar>
          <w:left w:w="10" w:type="dxa"/>
          <w:right w:w="10" w:type="dxa"/>
        </w:tblCellMar>
        <w:tblLook w:val="0000" w:firstRow="0" w:lastRow="0" w:firstColumn="0" w:lastColumn="0" w:noHBand="0" w:noVBand="0"/>
      </w:tblPr>
      <w:tblGrid>
        <w:gridCol w:w="1555"/>
        <w:gridCol w:w="4394"/>
        <w:gridCol w:w="3827"/>
      </w:tblGrid>
      <w:tr w:rsidR="009B5743" w14:paraId="78FEB675"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7C7B2E" w14:textId="77777777" w:rsidR="009B5743" w:rsidRDefault="009B5743" w:rsidP="006C52CA">
            <w:pPr>
              <w:pStyle w:val="TableRow"/>
              <w:rPr>
                <w:b/>
                <w:sz w:val="22"/>
                <w:szCs w:val="22"/>
              </w:rPr>
            </w:pPr>
            <w:r>
              <w:rPr>
                <w:b/>
                <w:sz w:val="22"/>
                <w:szCs w:val="22"/>
              </w:rPr>
              <w:t>Measure</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8E55A6" w14:textId="77777777" w:rsidR="009B5743" w:rsidRDefault="009B5743" w:rsidP="006C52CA">
            <w:pPr>
              <w:pStyle w:val="TableRow"/>
              <w:rPr>
                <w:b/>
                <w:sz w:val="22"/>
                <w:szCs w:val="22"/>
              </w:rPr>
            </w:pPr>
            <w:r>
              <w:rPr>
                <w:b/>
                <w:sz w:val="22"/>
                <w:szCs w:val="22"/>
              </w:rPr>
              <w:t>Activity</w:t>
            </w:r>
          </w:p>
        </w:tc>
        <w:tc>
          <w:tcPr>
            <w:tcW w:w="3827" w:type="dxa"/>
            <w:tcBorders>
              <w:top w:val="single" w:sz="4" w:space="0" w:color="000000"/>
              <w:left w:val="single" w:sz="4" w:space="0" w:color="000000"/>
              <w:bottom w:val="single" w:sz="4" w:space="0" w:color="000000"/>
              <w:right w:val="single" w:sz="4" w:space="0" w:color="000000"/>
            </w:tcBorders>
          </w:tcPr>
          <w:p w14:paraId="3C789526" w14:textId="77777777" w:rsidR="009B5743" w:rsidRDefault="009B5743" w:rsidP="006C52CA">
            <w:pPr>
              <w:pStyle w:val="TableRow"/>
              <w:rPr>
                <w:b/>
                <w:sz w:val="22"/>
                <w:szCs w:val="22"/>
              </w:rPr>
            </w:pPr>
            <w:r>
              <w:rPr>
                <w:b/>
                <w:sz w:val="22"/>
                <w:szCs w:val="22"/>
              </w:rPr>
              <w:t>Outcome</w:t>
            </w:r>
          </w:p>
        </w:tc>
      </w:tr>
      <w:tr w:rsidR="009B5743" w14:paraId="18F01FF7"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A96AC" w14:textId="55AD734B" w:rsidR="009B5743" w:rsidRDefault="00D461EA" w:rsidP="00D461EA">
            <w:pPr>
              <w:pStyle w:val="TableRow"/>
              <w:ind w:left="0"/>
              <w:rPr>
                <w:rFonts w:cs="Calibri"/>
                <w:sz w:val="22"/>
                <w:szCs w:val="22"/>
              </w:rPr>
            </w:pPr>
            <w:r>
              <w:rPr>
                <w:rFonts w:cs="Calibri"/>
                <w:sz w:val="22"/>
                <w:szCs w:val="22"/>
              </w:rPr>
              <w:t>Priority 1</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485A3" w14:textId="19EEEC59" w:rsidR="00F6089E" w:rsidRDefault="00F6089E" w:rsidP="006C52CA">
            <w:pPr>
              <w:pStyle w:val="TableRow"/>
            </w:pPr>
            <w:r>
              <w:rPr>
                <w:iCs/>
                <w:sz w:val="22"/>
                <w:szCs w:val="22"/>
              </w:rPr>
              <w:t>Thrive sessions led by two trained Thrive Practitioners for children identified as needing social and emotional support.</w:t>
            </w:r>
          </w:p>
          <w:p w14:paraId="098517A7" w14:textId="77777777" w:rsidR="00F6089E" w:rsidRDefault="00F6089E" w:rsidP="006C52CA">
            <w:pPr>
              <w:pStyle w:val="TableRow"/>
            </w:pPr>
          </w:p>
          <w:p w14:paraId="444FFDB9" w14:textId="0F7EAB7A" w:rsidR="009B5743" w:rsidRDefault="00D461EA" w:rsidP="006C52CA">
            <w:pPr>
              <w:pStyle w:val="TableRow"/>
            </w:pPr>
            <w:r>
              <w:t>Training of a therapy dog</w:t>
            </w:r>
          </w:p>
          <w:p w14:paraId="25E26E0C" w14:textId="77777777" w:rsidR="00D461EA" w:rsidRDefault="00D461EA" w:rsidP="006C52CA">
            <w:pPr>
              <w:pStyle w:val="TableRow"/>
            </w:pPr>
          </w:p>
          <w:p w14:paraId="248E93E1" w14:textId="77777777" w:rsidR="00D461EA" w:rsidRDefault="00D461EA" w:rsidP="006C52CA">
            <w:pPr>
              <w:pStyle w:val="TableRow"/>
            </w:pPr>
          </w:p>
          <w:p w14:paraId="57DBF007" w14:textId="1FE4A0EA" w:rsidR="00D461EA" w:rsidRDefault="00D461EA" w:rsidP="006C52CA">
            <w:pPr>
              <w:pStyle w:val="TableRow"/>
            </w:pPr>
            <w:r>
              <w:t>Providing opportunities for disadvantaged children to attend trips, visits and after school clubs.</w:t>
            </w:r>
          </w:p>
          <w:p w14:paraId="20FDF5F2" w14:textId="4A2D3ADC" w:rsidR="00D461EA" w:rsidRDefault="00D461EA" w:rsidP="006C52CA">
            <w:pPr>
              <w:pStyle w:val="TableRow"/>
            </w:pPr>
          </w:p>
          <w:p w14:paraId="4437DF57" w14:textId="024C8A26" w:rsidR="00D461EA" w:rsidRDefault="00D461EA" w:rsidP="006C52CA">
            <w:pPr>
              <w:pStyle w:val="TableRow"/>
            </w:pPr>
            <w:r>
              <w:t>Mental Health course for mental health lead</w:t>
            </w:r>
          </w:p>
          <w:p w14:paraId="62166D41" w14:textId="5930E863" w:rsidR="00D461EA" w:rsidRPr="00710A66" w:rsidRDefault="00D461EA" w:rsidP="006C52CA">
            <w:pPr>
              <w:pStyle w:val="TableRow"/>
              <w:rPr>
                <w:sz w:val="22"/>
                <w:szCs w:val="22"/>
              </w:rPr>
            </w:pPr>
          </w:p>
        </w:tc>
        <w:tc>
          <w:tcPr>
            <w:tcW w:w="3827" w:type="dxa"/>
            <w:tcBorders>
              <w:top w:val="single" w:sz="4" w:space="0" w:color="000000"/>
              <w:left w:val="single" w:sz="4" w:space="0" w:color="000000"/>
              <w:bottom w:val="single" w:sz="4" w:space="0" w:color="000000"/>
              <w:right w:val="single" w:sz="4" w:space="0" w:color="000000"/>
            </w:tcBorders>
          </w:tcPr>
          <w:p w14:paraId="459AC441" w14:textId="1FE0FDC5" w:rsidR="00F6089E" w:rsidRDefault="00024940" w:rsidP="006C52CA">
            <w:pPr>
              <w:pStyle w:val="TableRow"/>
              <w:rPr>
                <w:b/>
                <w:sz w:val="22"/>
                <w:szCs w:val="22"/>
              </w:rPr>
            </w:pPr>
            <w:r>
              <w:rPr>
                <w:b/>
                <w:sz w:val="22"/>
                <w:szCs w:val="22"/>
              </w:rPr>
              <w:lastRenderedPageBreak/>
              <w:t>Met and ongoing</w:t>
            </w:r>
          </w:p>
          <w:p w14:paraId="1EE83014" w14:textId="77777777" w:rsidR="00F6089E" w:rsidRDefault="00F6089E" w:rsidP="006C52CA">
            <w:pPr>
              <w:pStyle w:val="TableRow"/>
              <w:rPr>
                <w:b/>
                <w:sz w:val="22"/>
                <w:szCs w:val="22"/>
              </w:rPr>
            </w:pPr>
          </w:p>
          <w:p w14:paraId="09C6E107" w14:textId="073C0EC9" w:rsidR="00F6089E" w:rsidRDefault="00F6089E" w:rsidP="006C52CA">
            <w:pPr>
              <w:pStyle w:val="TableRow"/>
              <w:rPr>
                <w:b/>
                <w:sz w:val="22"/>
                <w:szCs w:val="22"/>
              </w:rPr>
            </w:pPr>
          </w:p>
          <w:p w14:paraId="260FDE15" w14:textId="77777777" w:rsidR="00F6089E" w:rsidRDefault="00F6089E" w:rsidP="006C52CA">
            <w:pPr>
              <w:pStyle w:val="TableRow"/>
              <w:rPr>
                <w:b/>
                <w:sz w:val="22"/>
                <w:szCs w:val="22"/>
              </w:rPr>
            </w:pPr>
          </w:p>
          <w:p w14:paraId="185B6229" w14:textId="47C39F67" w:rsidR="009B5743" w:rsidRDefault="00F6089E" w:rsidP="006C52CA">
            <w:pPr>
              <w:pStyle w:val="TableRow"/>
              <w:rPr>
                <w:sz w:val="22"/>
                <w:szCs w:val="22"/>
              </w:rPr>
            </w:pPr>
            <w:r>
              <w:rPr>
                <w:b/>
                <w:sz w:val="22"/>
                <w:szCs w:val="22"/>
              </w:rPr>
              <w:t>Unmet</w:t>
            </w:r>
            <w:r w:rsidR="00D461EA">
              <w:rPr>
                <w:sz w:val="22"/>
                <w:szCs w:val="22"/>
              </w:rPr>
              <w:t xml:space="preserve"> – </w:t>
            </w:r>
            <w:r>
              <w:rPr>
                <w:sz w:val="22"/>
                <w:szCs w:val="22"/>
              </w:rPr>
              <w:t xml:space="preserve">we do not have current staff capacity </w:t>
            </w:r>
            <w:r w:rsidR="00B3496C">
              <w:rPr>
                <w:sz w:val="22"/>
                <w:szCs w:val="22"/>
              </w:rPr>
              <w:t>for our trained dog to support children in school</w:t>
            </w:r>
            <w:r w:rsidR="00B14498">
              <w:rPr>
                <w:sz w:val="22"/>
                <w:szCs w:val="22"/>
              </w:rPr>
              <w:t xml:space="preserve">. </w:t>
            </w:r>
          </w:p>
          <w:p w14:paraId="5A57AAEA" w14:textId="77777777" w:rsidR="00D461EA" w:rsidRDefault="00D461EA" w:rsidP="006C52CA">
            <w:pPr>
              <w:pStyle w:val="TableRow"/>
              <w:rPr>
                <w:sz w:val="22"/>
                <w:szCs w:val="22"/>
              </w:rPr>
            </w:pPr>
          </w:p>
          <w:p w14:paraId="4920DFD7" w14:textId="6A1CEEEB" w:rsidR="00D461EA" w:rsidRDefault="00024940" w:rsidP="006C52CA">
            <w:pPr>
              <w:pStyle w:val="TableRow"/>
              <w:rPr>
                <w:sz w:val="22"/>
                <w:szCs w:val="22"/>
              </w:rPr>
            </w:pPr>
            <w:r>
              <w:rPr>
                <w:b/>
                <w:sz w:val="22"/>
                <w:szCs w:val="22"/>
              </w:rPr>
              <w:t>Met and ongoing</w:t>
            </w:r>
            <w:r w:rsidR="00D461EA">
              <w:rPr>
                <w:sz w:val="22"/>
                <w:szCs w:val="22"/>
              </w:rPr>
              <w:t xml:space="preserve"> – </w:t>
            </w:r>
          </w:p>
          <w:p w14:paraId="4480D578" w14:textId="13284F27" w:rsidR="00D461EA" w:rsidRDefault="00D461EA" w:rsidP="006C52CA">
            <w:pPr>
              <w:pStyle w:val="TableRow"/>
              <w:rPr>
                <w:sz w:val="22"/>
                <w:szCs w:val="22"/>
              </w:rPr>
            </w:pPr>
          </w:p>
          <w:p w14:paraId="0C715593" w14:textId="4C1A7255" w:rsidR="00D461EA" w:rsidRDefault="00D461EA" w:rsidP="006C52CA">
            <w:pPr>
              <w:pStyle w:val="TableRow"/>
              <w:rPr>
                <w:sz w:val="22"/>
                <w:szCs w:val="22"/>
              </w:rPr>
            </w:pPr>
          </w:p>
          <w:p w14:paraId="2DA10930" w14:textId="2A54142E" w:rsidR="00D461EA" w:rsidRDefault="00D461EA" w:rsidP="00D461EA">
            <w:pPr>
              <w:pStyle w:val="TableRow"/>
              <w:ind w:left="0"/>
              <w:rPr>
                <w:sz w:val="22"/>
                <w:szCs w:val="22"/>
              </w:rPr>
            </w:pPr>
            <w:r w:rsidRPr="00D461EA">
              <w:rPr>
                <w:b/>
                <w:sz w:val="22"/>
                <w:szCs w:val="22"/>
              </w:rPr>
              <w:t>Met</w:t>
            </w:r>
            <w:r>
              <w:rPr>
                <w:sz w:val="22"/>
                <w:szCs w:val="22"/>
              </w:rPr>
              <w:t>.</w:t>
            </w:r>
          </w:p>
          <w:p w14:paraId="52FBFCDF" w14:textId="77777777" w:rsidR="00D461EA" w:rsidRDefault="00D461EA" w:rsidP="006C52CA">
            <w:pPr>
              <w:pStyle w:val="TableRow"/>
              <w:rPr>
                <w:sz w:val="22"/>
                <w:szCs w:val="22"/>
              </w:rPr>
            </w:pPr>
          </w:p>
          <w:p w14:paraId="11EA402B" w14:textId="77777777" w:rsidR="00D461EA" w:rsidRDefault="00D461EA" w:rsidP="006C52CA">
            <w:pPr>
              <w:pStyle w:val="TableRow"/>
              <w:rPr>
                <w:sz w:val="22"/>
                <w:szCs w:val="22"/>
              </w:rPr>
            </w:pPr>
          </w:p>
          <w:p w14:paraId="56939CB2" w14:textId="77777777" w:rsidR="00D461EA" w:rsidRDefault="00D461EA" w:rsidP="006C52CA">
            <w:pPr>
              <w:pStyle w:val="TableRow"/>
              <w:rPr>
                <w:sz w:val="22"/>
                <w:szCs w:val="22"/>
              </w:rPr>
            </w:pPr>
          </w:p>
          <w:p w14:paraId="34B182B5" w14:textId="00ABB6E2" w:rsidR="00D461EA" w:rsidRPr="00710A66" w:rsidRDefault="00D461EA" w:rsidP="006C52CA">
            <w:pPr>
              <w:pStyle w:val="TableRow"/>
              <w:rPr>
                <w:sz w:val="22"/>
                <w:szCs w:val="22"/>
              </w:rPr>
            </w:pPr>
          </w:p>
        </w:tc>
      </w:tr>
      <w:tr w:rsidR="009B5743" w14:paraId="21093A13"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BF8267" w14:textId="79F8B6F3" w:rsidR="009B5743" w:rsidRDefault="00916302" w:rsidP="006C52CA">
            <w:pPr>
              <w:pStyle w:val="TableRow"/>
              <w:ind w:left="0"/>
              <w:rPr>
                <w:rFonts w:cs="Calibri"/>
                <w:sz w:val="22"/>
                <w:szCs w:val="22"/>
              </w:rPr>
            </w:pPr>
            <w:r>
              <w:rPr>
                <w:rFonts w:cs="Calibri"/>
                <w:sz w:val="22"/>
                <w:szCs w:val="22"/>
              </w:rPr>
              <w:lastRenderedPageBreak/>
              <w:t>Priority 3</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FA5480" w14:textId="147C00CC" w:rsidR="009B5743" w:rsidRPr="00710A66" w:rsidRDefault="00D461EA" w:rsidP="006C52CA">
            <w:pPr>
              <w:pStyle w:val="TableRow"/>
              <w:rPr>
                <w:sz w:val="22"/>
                <w:szCs w:val="22"/>
              </w:rPr>
            </w:pPr>
            <w:r>
              <w:t xml:space="preserve">Embedding principles of good practice set out in the </w:t>
            </w:r>
            <w:proofErr w:type="spellStart"/>
            <w:r>
              <w:t>DfE’s</w:t>
            </w:r>
            <w:proofErr w:type="spellEnd"/>
            <w:r>
              <w:t xml:space="preserve"> Improving School Attendance advice. This will involve training and release time for staff to develop and implement new procedures and appointing attendance/support officers to improve attendance.</w:t>
            </w:r>
          </w:p>
        </w:tc>
        <w:tc>
          <w:tcPr>
            <w:tcW w:w="3827" w:type="dxa"/>
            <w:tcBorders>
              <w:top w:val="single" w:sz="4" w:space="0" w:color="000000"/>
              <w:left w:val="single" w:sz="4" w:space="0" w:color="000000"/>
              <w:bottom w:val="single" w:sz="4" w:space="0" w:color="000000"/>
              <w:right w:val="single" w:sz="4" w:space="0" w:color="000000"/>
            </w:tcBorders>
          </w:tcPr>
          <w:p w14:paraId="4DE842D3" w14:textId="77777777" w:rsidR="009B5743" w:rsidRPr="007442E6" w:rsidRDefault="007442E6" w:rsidP="006C52CA">
            <w:pPr>
              <w:pStyle w:val="TableRow"/>
              <w:rPr>
                <w:sz w:val="22"/>
                <w:szCs w:val="22"/>
              </w:rPr>
            </w:pPr>
            <w:r w:rsidRPr="007442E6">
              <w:rPr>
                <w:sz w:val="22"/>
                <w:szCs w:val="22"/>
              </w:rPr>
              <w:t xml:space="preserve">New attendance procedures in place – </w:t>
            </w:r>
            <w:r w:rsidRPr="00DB7BA2">
              <w:rPr>
                <w:b/>
                <w:sz w:val="22"/>
                <w:szCs w:val="22"/>
              </w:rPr>
              <w:t>ongoing</w:t>
            </w:r>
            <w:r w:rsidRPr="007442E6">
              <w:rPr>
                <w:sz w:val="22"/>
                <w:szCs w:val="22"/>
              </w:rPr>
              <w:t>.</w:t>
            </w:r>
          </w:p>
          <w:p w14:paraId="1E451916" w14:textId="77777777" w:rsidR="007442E6" w:rsidRDefault="007442E6" w:rsidP="006C52CA">
            <w:pPr>
              <w:pStyle w:val="TableRow"/>
              <w:rPr>
                <w:b/>
                <w:sz w:val="22"/>
                <w:szCs w:val="22"/>
              </w:rPr>
            </w:pPr>
          </w:p>
          <w:p w14:paraId="71889D58" w14:textId="2FD7F9A0" w:rsidR="007442E6" w:rsidRPr="007442E6" w:rsidRDefault="007442E6" w:rsidP="006C52CA">
            <w:pPr>
              <w:pStyle w:val="TableRow"/>
              <w:rPr>
                <w:b/>
                <w:sz w:val="22"/>
                <w:szCs w:val="22"/>
              </w:rPr>
            </w:pPr>
          </w:p>
        </w:tc>
      </w:tr>
      <w:tr w:rsidR="00D461EA" w14:paraId="227FDB0B"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999AB" w14:textId="4E9AAA99" w:rsidR="00D461EA" w:rsidRDefault="00D461EA" w:rsidP="006C52CA">
            <w:pPr>
              <w:pStyle w:val="TableRow"/>
              <w:ind w:left="0"/>
              <w:rPr>
                <w:rFonts w:cs="Calibri"/>
                <w:sz w:val="22"/>
                <w:szCs w:val="22"/>
              </w:rPr>
            </w:pPr>
            <w:r>
              <w:rPr>
                <w:rFonts w:cs="Calibri"/>
                <w:sz w:val="22"/>
                <w:szCs w:val="22"/>
              </w:rPr>
              <w:t>All</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58F9C0" w14:textId="5F61DC74" w:rsidR="00D461EA" w:rsidRDefault="00D461EA" w:rsidP="006C52CA">
            <w:pPr>
              <w:pStyle w:val="TableRow"/>
            </w:pPr>
            <w:r>
              <w:t>Contingency fund for acute issues.</w:t>
            </w:r>
          </w:p>
        </w:tc>
        <w:tc>
          <w:tcPr>
            <w:tcW w:w="3827" w:type="dxa"/>
            <w:tcBorders>
              <w:top w:val="single" w:sz="4" w:space="0" w:color="000000"/>
              <w:left w:val="single" w:sz="4" w:space="0" w:color="000000"/>
              <w:bottom w:val="single" w:sz="4" w:space="0" w:color="000000"/>
              <w:right w:val="single" w:sz="4" w:space="0" w:color="000000"/>
            </w:tcBorders>
          </w:tcPr>
          <w:p w14:paraId="137249A4" w14:textId="77777777" w:rsidR="00D461EA" w:rsidRPr="00710A66" w:rsidRDefault="00D461EA" w:rsidP="006C52CA">
            <w:pPr>
              <w:pStyle w:val="TableRow"/>
              <w:rPr>
                <w:sz w:val="22"/>
                <w:szCs w:val="22"/>
              </w:rPr>
            </w:pPr>
          </w:p>
        </w:tc>
      </w:tr>
      <w:tr w:rsidR="009B5743" w14:paraId="57EC6EE4" w14:textId="77777777" w:rsidTr="006C52CA">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060815" w14:textId="77777777" w:rsidR="009B5743" w:rsidRDefault="009B5743" w:rsidP="006C52CA">
            <w:pPr>
              <w:pStyle w:val="TableRow"/>
              <w:ind w:left="0"/>
              <w:rPr>
                <w:rFonts w:cs="Calibri"/>
                <w:sz w:val="22"/>
                <w:szCs w:val="22"/>
              </w:rPr>
            </w:pPr>
            <w:r>
              <w:rPr>
                <w:rFonts w:cs="Calibri"/>
                <w:sz w:val="22"/>
                <w:szCs w:val="22"/>
              </w:rPr>
              <w:t>Projected spending</w:t>
            </w:r>
          </w:p>
        </w:tc>
        <w:tc>
          <w:tcPr>
            <w:tcW w:w="43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70E84B" w14:textId="77777777" w:rsidR="009B5743" w:rsidRPr="00A47E37" w:rsidRDefault="009B5743" w:rsidP="006C52CA">
            <w:pPr>
              <w:pStyle w:val="TableRow"/>
              <w:rPr>
                <w:sz w:val="22"/>
                <w:szCs w:val="22"/>
                <w:highlight w:val="yellow"/>
              </w:rPr>
            </w:pPr>
            <w:r w:rsidRPr="00C925B9">
              <w:rPr>
                <w:sz w:val="22"/>
                <w:szCs w:val="22"/>
              </w:rPr>
              <w:t>£67,680.40</w:t>
            </w:r>
          </w:p>
        </w:tc>
        <w:tc>
          <w:tcPr>
            <w:tcW w:w="3827" w:type="dxa"/>
            <w:tcBorders>
              <w:top w:val="single" w:sz="4" w:space="0" w:color="000000"/>
              <w:left w:val="single" w:sz="4" w:space="0" w:color="000000"/>
              <w:bottom w:val="single" w:sz="4" w:space="0" w:color="000000"/>
              <w:right w:val="single" w:sz="4" w:space="0" w:color="000000"/>
            </w:tcBorders>
          </w:tcPr>
          <w:p w14:paraId="398C56D8" w14:textId="612F81C9" w:rsidR="009B5743" w:rsidRPr="00710A66" w:rsidRDefault="009B5743" w:rsidP="00AA50E0">
            <w:pPr>
              <w:pStyle w:val="TableRow"/>
              <w:rPr>
                <w:sz w:val="22"/>
                <w:szCs w:val="22"/>
              </w:rPr>
            </w:pPr>
            <w:r w:rsidRPr="00710A66">
              <w:rPr>
                <w:sz w:val="22"/>
                <w:szCs w:val="22"/>
              </w:rPr>
              <w:t xml:space="preserve">Actual spend: </w:t>
            </w:r>
            <w:r w:rsidR="00C925B9" w:rsidRPr="00C925B9">
              <w:rPr>
                <w:sz w:val="22"/>
                <w:szCs w:val="22"/>
              </w:rPr>
              <w:t>£67,680.40</w:t>
            </w:r>
          </w:p>
        </w:tc>
      </w:tr>
    </w:tbl>
    <w:p w14:paraId="2466F32D" w14:textId="77777777" w:rsidR="009B5743" w:rsidRDefault="009B5743" w:rsidP="009B5743"/>
    <w:p w14:paraId="2A7D5548" w14:textId="0199D85C" w:rsidR="00E66558" w:rsidRDefault="006D6372" w:rsidP="00A82A98">
      <w:pPr>
        <w:pStyle w:val="Heading2"/>
      </w:pPr>
      <w:r>
        <w:t>E</w:t>
      </w:r>
      <w:r w:rsidR="009D71E8">
        <w:t>xternally provided programmes</w:t>
      </w:r>
    </w:p>
    <w:p w14:paraId="2A7D5549" w14:textId="1DAEF3DE" w:rsidR="00E66558" w:rsidRDefault="0B240EAF" w:rsidP="07FFD3D3">
      <w:pPr>
        <w:rPr>
          <w:i/>
          <w:iCs/>
        </w:rPr>
      </w:pPr>
      <w:r w:rsidRPr="07FFD3D3">
        <w:rPr>
          <w:i/>
          <w:iCs/>
        </w:rPr>
        <w:t>Please include the names of any non-</w:t>
      </w:r>
      <w:proofErr w:type="spellStart"/>
      <w:r w:rsidRPr="07FFD3D3">
        <w:rPr>
          <w:i/>
          <w:iCs/>
        </w:rPr>
        <w:t>DfE</w:t>
      </w:r>
      <w:proofErr w:type="spellEnd"/>
      <w:r w:rsidRPr="07FFD3D3">
        <w:rPr>
          <w:i/>
          <w:iCs/>
        </w:rPr>
        <w:t xml:space="preserve"> programmes that you </w:t>
      </w:r>
      <w:r w:rsidR="491E3A64" w:rsidRPr="07FFD3D3">
        <w:rPr>
          <w:i/>
          <w:iCs/>
        </w:rPr>
        <w:t xml:space="preserve">used your pupil premium (or recovery premium) to fund </w:t>
      </w:r>
      <w:r w:rsidRPr="07FFD3D3">
        <w:rPr>
          <w:i/>
          <w:iCs/>
        </w:rPr>
        <w:t xml:space="preserve">in the previous academic year.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316AC9D2" w:rsidR="00E66558" w:rsidRDefault="00AF11DA">
            <w:pPr>
              <w:pStyle w:val="TableRow"/>
            </w:pPr>
            <w:r>
              <w:t>Thrive</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8338613" w:rsidR="00E66558" w:rsidRDefault="00AF11DA">
            <w:pPr>
              <w:pStyle w:val="TableRowCentered"/>
              <w:jc w:val="left"/>
            </w:pPr>
            <w:r>
              <w:t>The Thrive Approach</w:t>
            </w:r>
          </w:p>
        </w:tc>
      </w:tr>
      <w:tr w:rsidR="00AF11DA" w14:paraId="43EFE683"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1C74F0" w14:textId="250DBA0B" w:rsidR="00AF11DA" w:rsidRDefault="00AF11DA">
            <w:pPr>
              <w:pStyle w:val="TableRow"/>
            </w:pPr>
            <w:r>
              <w:t>Provision mapping</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BF0357" w14:textId="368EAD17" w:rsidR="00AF11DA" w:rsidRDefault="00AF11DA">
            <w:pPr>
              <w:pStyle w:val="TableRowCentered"/>
              <w:jc w:val="left"/>
            </w:pPr>
            <w:proofErr w:type="spellStart"/>
            <w:r>
              <w:t>Edukey</w:t>
            </w:r>
            <w:proofErr w:type="spellEnd"/>
          </w:p>
        </w:tc>
      </w:tr>
      <w:tr w:rsidR="00AF11DA" w14:paraId="0BB48D0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D80743" w14:textId="77777777" w:rsidR="00AF11DA" w:rsidRDefault="00AF11DA">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9B6D14" w14:textId="77777777" w:rsidR="00AF11DA" w:rsidRDefault="00AF11DA">
            <w:pPr>
              <w:pStyle w:val="TableRowCentered"/>
              <w:jc w:val="left"/>
            </w:pPr>
          </w:p>
        </w:tc>
      </w:tr>
    </w:tbl>
    <w:p w14:paraId="2A7D5553" w14:textId="193B71B2" w:rsidR="00E66558" w:rsidRDefault="00E66558" w:rsidP="0008384B"/>
    <w:p w14:paraId="188578FB" w14:textId="537EFB51" w:rsidR="0008384B" w:rsidRDefault="0008384B" w:rsidP="0008384B"/>
    <w:p w14:paraId="497C2CDD" w14:textId="3BD1FD57" w:rsidR="0008384B" w:rsidRDefault="0008384B" w:rsidP="0008384B"/>
    <w:p w14:paraId="01F0D165" w14:textId="1FC4C866" w:rsidR="0008384B" w:rsidRDefault="0008384B" w:rsidP="0008384B"/>
    <w:bookmarkEnd w:id="14"/>
    <w:bookmarkEnd w:id="15"/>
    <w:bookmarkEnd w:id="16"/>
    <w:p w14:paraId="2A7D5564" w14:textId="77777777" w:rsidR="00E66558" w:rsidRDefault="00E66558"/>
    <w:sectPr w:rsidR="00E66558">
      <w:headerReference w:type="default" r:id="rId37"/>
      <w:footerReference w:type="default" r:id="rId38"/>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87C5B" w14:textId="77777777" w:rsidR="00C12746" w:rsidRDefault="00C12746">
      <w:pPr>
        <w:spacing w:after="0" w:line="240" w:lineRule="auto"/>
      </w:pPr>
      <w:r>
        <w:separator/>
      </w:r>
    </w:p>
  </w:endnote>
  <w:endnote w:type="continuationSeparator" w:id="0">
    <w:p w14:paraId="3D0B605C" w14:textId="77777777" w:rsidR="00C12746" w:rsidRDefault="00C12746">
      <w:pPr>
        <w:spacing w:after="0" w:line="240" w:lineRule="auto"/>
      </w:pPr>
      <w:r>
        <w:continuationSeparator/>
      </w:r>
    </w:p>
  </w:endnote>
  <w:endnote w:type="continuationNotice" w:id="1">
    <w:p w14:paraId="5937F05E" w14:textId="77777777" w:rsidR="00C12746" w:rsidRDefault="00C12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E" w14:textId="1F2D80F8" w:rsidR="00C373EA" w:rsidRDefault="009D71E8">
    <w:pPr>
      <w:pStyle w:val="Footer"/>
      <w:ind w:firstLine="4513"/>
    </w:pPr>
    <w:r>
      <w:fldChar w:fldCharType="begin"/>
    </w:r>
    <w:r>
      <w:instrText xml:space="preserve"> PAGE </w:instrText>
    </w:r>
    <w:r>
      <w:fldChar w:fldCharType="separate"/>
    </w:r>
    <w:r w:rsidR="00F15BA1">
      <w:rPr>
        <w:noProof/>
      </w:rPr>
      <w:t>11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DCDFE4" w14:textId="77777777" w:rsidR="00C12746" w:rsidRDefault="00C12746">
      <w:pPr>
        <w:spacing w:after="0" w:line="240" w:lineRule="auto"/>
      </w:pPr>
      <w:r>
        <w:separator/>
      </w:r>
    </w:p>
  </w:footnote>
  <w:footnote w:type="continuationSeparator" w:id="0">
    <w:p w14:paraId="527955F0" w14:textId="77777777" w:rsidR="00C12746" w:rsidRDefault="00C12746">
      <w:pPr>
        <w:spacing w:after="0" w:line="240" w:lineRule="auto"/>
      </w:pPr>
      <w:r>
        <w:continuationSeparator/>
      </w:r>
    </w:p>
  </w:footnote>
  <w:footnote w:type="continuationNotice" w:id="1">
    <w:p w14:paraId="7C8694AF" w14:textId="77777777" w:rsidR="00C12746" w:rsidRDefault="00C12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7D54BC" w14:textId="77777777" w:rsidR="00C373EA" w:rsidRDefault="00C373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46D3F55"/>
    <w:multiLevelType w:val="hybridMultilevel"/>
    <w:tmpl w:val="59EE5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4" w15:restartNumberingAfterBreak="0">
    <w:nsid w:val="7C1A35D4"/>
    <w:multiLevelType w:val="hybridMultilevel"/>
    <w:tmpl w:val="582619DA"/>
    <w:lvl w:ilvl="0" w:tplc="050E4D00">
      <w:numFmt w:val="bullet"/>
      <w:lvlText w:val="-"/>
      <w:lvlJc w:val="left"/>
      <w:pPr>
        <w:ind w:left="417" w:hanging="360"/>
      </w:pPr>
      <w:rPr>
        <w:rFonts w:ascii="Arial" w:eastAsia="Times New Roman" w:hAnsi="Arial" w:cs="Aria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3"/>
  </w:num>
  <w:num w:numId="9">
    <w:abstractNumId w:val="10"/>
  </w:num>
  <w:num w:numId="10">
    <w:abstractNumId w:val="9"/>
  </w:num>
  <w:num w:numId="11">
    <w:abstractNumId w:val="2"/>
  </w:num>
  <w:num w:numId="12">
    <w:abstractNumId w:val="11"/>
  </w:num>
  <w:num w:numId="13">
    <w:abstractNumId w:val="7"/>
  </w:num>
  <w:num w:numId="14">
    <w:abstractNumId w:val="14"/>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6558"/>
    <w:rsid w:val="00003A45"/>
    <w:rsid w:val="0000474C"/>
    <w:rsid w:val="00006F58"/>
    <w:rsid w:val="00015D08"/>
    <w:rsid w:val="00022A53"/>
    <w:rsid w:val="00023729"/>
    <w:rsid w:val="000243B4"/>
    <w:rsid w:val="00024940"/>
    <w:rsid w:val="000375D9"/>
    <w:rsid w:val="000452EB"/>
    <w:rsid w:val="00046355"/>
    <w:rsid w:val="000463AE"/>
    <w:rsid w:val="000507A3"/>
    <w:rsid w:val="0005426E"/>
    <w:rsid w:val="00060A62"/>
    <w:rsid w:val="00064366"/>
    <w:rsid w:val="00066B73"/>
    <w:rsid w:val="00071481"/>
    <w:rsid w:val="00075FAE"/>
    <w:rsid w:val="00076343"/>
    <w:rsid w:val="00082F38"/>
    <w:rsid w:val="0008384B"/>
    <w:rsid w:val="0008602E"/>
    <w:rsid w:val="00091DF8"/>
    <w:rsid w:val="000929EC"/>
    <w:rsid w:val="00093CDE"/>
    <w:rsid w:val="00097B17"/>
    <w:rsid w:val="000A6379"/>
    <w:rsid w:val="000D22B0"/>
    <w:rsid w:val="000D35C9"/>
    <w:rsid w:val="000D520C"/>
    <w:rsid w:val="000D6596"/>
    <w:rsid w:val="000E6DF0"/>
    <w:rsid w:val="0010164F"/>
    <w:rsid w:val="0010261A"/>
    <w:rsid w:val="001037CB"/>
    <w:rsid w:val="0010629E"/>
    <w:rsid w:val="00115538"/>
    <w:rsid w:val="00120AB1"/>
    <w:rsid w:val="00123A7F"/>
    <w:rsid w:val="001278D0"/>
    <w:rsid w:val="00127F72"/>
    <w:rsid w:val="00131FE2"/>
    <w:rsid w:val="00140646"/>
    <w:rsid w:val="00147A4B"/>
    <w:rsid w:val="00154558"/>
    <w:rsid w:val="001671ED"/>
    <w:rsid w:val="001727FA"/>
    <w:rsid w:val="00173D4C"/>
    <w:rsid w:val="00183218"/>
    <w:rsid w:val="00185988"/>
    <w:rsid w:val="001873B6"/>
    <w:rsid w:val="001901E6"/>
    <w:rsid w:val="00191305"/>
    <w:rsid w:val="00195B55"/>
    <w:rsid w:val="00196C95"/>
    <w:rsid w:val="001A2FE8"/>
    <w:rsid w:val="001A33AC"/>
    <w:rsid w:val="001C1C51"/>
    <w:rsid w:val="001D2D34"/>
    <w:rsid w:val="001D5620"/>
    <w:rsid w:val="001E0ECA"/>
    <w:rsid w:val="001E206F"/>
    <w:rsid w:val="001E5750"/>
    <w:rsid w:val="001E7739"/>
    <w:rsid w:val="001F3DB4"/>
    <w:rsid w:val="00204F40"/>
    <w:rsid w:val="00205DEF"/>
    <w:rsid w:val="00216C8A"/>
    <w:rsid w:val="00217D0D"/>
    <w:rsid w:val="00226317"/>
    <w:rsid w:val="00231539"/>
    <w:rsid w:val="002523E3"/>
    <w:rsid w:val="00266FA5"/>
    <w:rsid w:val="00282259"/>
    <w:rsid w:val="00285FA7"/>
    <w:rsid w:val="002920F4"/>
    <w:rsid w:val="002940F3"/>
    <w:rsid w:val="00295842"/>
    <w:rsid w:val="002B3574"/>
    <w:rsid w:val="002B6B74"/>
    <w:rsid w:val="002C6AE7"/>
    <w:rsid w:val="002D2D4B"/>
    <w:rsid w:val="002D3805"/>
    <w:rsid w:val="002E66AE"/>
    <w:rsid w:val="002E7763"/>
    <w:rsid w:val="002F5842"/>
    <w:rsid w:val="00306CB7"/>
    <w:rsid w:val="00307FD4"/>
    <w:rsid w:val="003111F5"/>
    <w:rsid w:val="00311A2B"/>
    <w:rsid w:val="00336200"/>
    <w:rsid w:val="00337418"/>
    <w:rsid w:val="00342FF6"/>
    <w:rsid w:val="00351D83"/>
    <w:rsid w:val="00353E46"/>
    <w:rsid w:val="003563CB"/>
    <w:rsid w:val="003576C4"/>
    <w:rsid w:val="00366AB0"/>
    <w:rsid w:val="0037437C"/>
    <w:rsid w:val="00376535"/>
    <w:rsid w:val="0038146B"/>
    <w:rsid w:val="0038340F"/>
    <w:rsid w:val="00383469"/>
    <w:rsid w:val="00384457"/>
    <w:rsid w:val="00384F24"/>
    <w:rsid w:val="003A2B4E"/>
    <w:rsid w:val="003A32B2"/>
    <w:rsid w:val="003A47DD"/>
    <w:rsid w:val="003A634F"/>
    <w:rsid w:val="003B588A"/>
    <w:rsid w:val="003B621D"/>
    <w:rsid w:val="003C4388"/>
    <w:rsid w:val="003C4C27"/>
    <w:rsid w:val="003C7F7B"/>
    <w:rsid w:val="003D2EAA"/>
    <w:rsid w:val="003E054C"/>
    <w:rsid w:val="003E27A0"/>
    <w:rsid w:val="003E3872"/>
    <w:rsid w:val="00400987"/>
    <w:rsid w:val="004044AA"/>
    <w:rsid w:val="004044C8"/>
    <w:rsid w:val="00404F3F"/>
    <w:rsid w:val="00410B5D"/>
    <w:rsid w:val="00413BEC"/>
    <w:rsid w:val="004156F3"/>
    <w:rsid w:val="0042265E"/>
    <w:rsid w:val="0042375A"/>
    <w:rsid w:val="00424ED7"/>
    <w:rsid w:val="00425258"/>
    <w:rsid w:val="00426217"/>
    <w:rsid w:val="00431A80"/>
    <w:rsid w:val="00433DA1"/>
    <w:rsid w:val="00435A89"/>
    <w:rsid w:val="00436FF2"/>
    <w:rsid w:val="00445732"/>
    <w:rsid w:val="004457EC"/>
    <w:rsid w:val="00452267"/>
    <w:rsid w:val="00453307"/>
    <w:rsid w:val="00457E36"/>
    <w:rsid w:val="00462F8F"/>
    <w:rsid w:val="00481D56"/>
    <w:rsid w:val="004830E1"/>
    <w:rsid w:val="00490408"/>
    <w:rsid w:val="004A4C45"/>
    <w:rsid w:val="004B0485"/>
    <w:rsid w:val="004B32FF"/>
    <w:rsid w:val="004B428E"/>
    <w:rsid w:val="004B4D37"/>
    <w:rsid w:val="004C42F0"/>
    <w:rsid w:val="004E1D73"/>
    <w:rsid w:val="004F4DCC"/>
    <w:rsid w:val="00511A28"/>
    <w:rsid w:val="0051286E"/>
    <w:rsid w:val="005140F3"/>
    <w:rsid w:val="00515096"/>
    <w:rsid w:val="00516021"/>
    <w:rsid w:val="00516457"/>
    <w:rsid w:val="00520A0C"/>
    <w:rsid w:val="00520C88"/>
    <w:rsid w:val="00530E37"/>
    <w:rsid w:val="005440E6"/>
    <w:rsid w:val="005464A1"/>
    <w:rsid w:val="00546A33"/>
    <w:rsid w:val="00546F12"/>
    <w:rsid w:val="0055339C"/>
    <w:rsid w:val="00560E7D"/>
    <w:rsid w:val="00562B3C"/>
    <w:rsid w:val="00564E40"/>
    <w:rsid w:val="005750E2"/>
    <w:rsid w:val="0058313F"/>
    <w:rsid w:val="00585859"/>
    <w:rsid w:val="00586FBC"/>
    <w:rsid w:val="005879C9"/>
    <w:rsid w:val="005A3C6B"/>
    <w:rsid w:val="005B1EA5"/>
    <w:rsid w:val="005D162B"/>
    <w:rsid w:val="005D7176"/>
    <w:rsid w:val="005E1F24"/>
    <w:rsid w:val="005E73F1"/>
    <w:rsid w:val="005F07EF"/>
    <w:rsid w:val="005F798E"/>
    <w:rsid w:val="00600B2E"/>
    <w:rsid w:val="00607CEB"/>
    <w:rsid w:val="00613299"/>
    <w:rsid w:val="0061762D"/>
    <w:rsid w:val="006230F8"/>
    <w:rsid w:val="006233F1"/>
    <w:rsid w:val="00634238"/>
    <w:rsid w:val="00635FBC"/>
    <w:rsid w:val="00637728"/>
    <w:rsid w:val="0064113A"/>
    <w:rsid w:val="00644002"/>
    <w:rsid w:val="006458B1"/>
    <w:rsid w:val="00650529"/>
    <w:rsid w:val="00650BAB"/>
    <w:rsid w:val="00651737"/>
    <w:rsid w:val="00656939"/>
    <w:rsid w:val="006671BF"/>
    <w:rsid w:val="00672A7D"/>
    <w:rsid w:val="006778F6"/>
    <w:rsid w:val="00681416"/>
    <w:rsid w:val="006A06F5"/>
    <w:rsid w:val="006A0ED2"/>
    <w:rsid w:val="006B0A73"/>
    <w:rsid w:val="006B1CA8"/>
    <w:rsid w:val="006B5A6B"/>
    <w:rsid w:val="006C0F82"/>
    <w:rsid w:val="006C332E"/>
    <w:rsid w:val="006C4594"/>
    <w:rsid w:val="006C5901"/>
    <w:rsid w:val="006D3D89"/>
    <w:rsid w:val="006D6372"/>
    <w:rsid w:val="006D6E5C"/>
    <w:rsid w:val="006E02AF"/>
    <w:rsid w:val="006E0786"/>
    <w:rsid w:val="006E6B4A"/>
    <w:rsid w:val="006E7449"/>
    <w:rsid w:val="006E7FB1"/>
    <w:rsid w:val="006F2604"/>
    <w:rsid w:val="006F5319"/>
    <w:rsid w:val="006F55FD"/>
    <w:rsid w:val="006F5D21"/>
    <w:rsid w:val="00711179"/>
    <w:rsid w:val="00711BE3"/>
    <w:rsid w:val="00724FA7"/>
    <w:rsid w:val="00725415"/>
    <w:rsid w:val="00727505"/>
    <w:rsid w:val="00731581"/>
    <w:rsid w:val="00741B9E"/>
    <w:rsid w:val="00743DAC"/>
    <w:rsid w:val="007442E6"/>
    <w:rsid w:val="0075337B"/>
    <w:rsid w:val="00755CD4"/>
    <w:rsid w:val="00757F96"/>
    <w:rsid w:val="0077593B"/>
    <w:rsid w:val="0078080E"/>
    <w:rsid w:val="00785285"/>
    <w:rsid w:val="0078529D"/>
    <w:rsid w:val="00787DC1"/>
    <w:rsid w:val="00794070"/>
    <w:rsid w:val="00797FD5"/>
    <w:rsid w:val="007A713B"/>
    <w:rsid w:val="007B64E5"/>
    <w:rsid w:val="007C2F04"/>
    <w:rsid w:val="007C7E4E"/>
    <w:rsid w:val="007F5B8B"/>
    <w:rsid w:val="00817E9A"/>
    <w:rsid w:val="00820048"/>
    <w:rsid w:val="008252D2"/>
    <w:rsid w:val="00830D57"/>
    <w:rsid w:val="00835F52"/>
    <w:rsid w:val="008400D0"/>
    <w:rsid w:val="00855A63"/>
    <w:rsid w:val="00860B07"/>
    <w:rsid w:val="008616F6"/>
    <w:rsid w:val="0086259C"/>
    <w:rsid w:val="00883F24"/>
    <w:rsid w:val="0088414F"/>
    <w:rsid w:val="00897E1F"/>
    <w:rsid w:val="008B2CB4"/>
    <w:rsid w:val="008B6404"/>
    <w:rsid w:val="008B69C4"/>
    <w:rsid w:val="008C2C21"/>
    <w:rsid w:val="008C7DD3"/>
    <w:rsid w:val="008E000B"/>
    <w:rsid w:val="008E2926"/>
    <w:rsid w:val="008E35C6"/>
    <w:rsid w:val="008E3F49"/>
    <w:rsid w:val="008F243B"/>
    <w:rsid w:val="008F4675"/>
    <w:rsid w:val="00904A66"/>
    <w:rsid w:val="00916302"/>
    <w:rsid w:val="0092287F"/>
    <w:rsid w:val="00923F90"/>
    <w:rsid w:val="0092495B"/>
    <w:rsid w:val="0092660E"/>
    <w:rsid w:val="00936519"/>
    <w:rsid w:val="00941DA3"/>
    <w:rsid w:val="00942C0C"/>
    <w:rsid w:val="009539E3"/>
    <w:rsid w:val="00954A5E"/>
    <w:rsid w:val="009551B2"/>
    <w:rsid w:val="00964625"/>
    <w:rsid w:val="00981C1D"/>
    <w:rsid w:val="00987B20"/>
    <w:rsid w:val="0099109C"/>
    <w:rsid w:val="009925D3"/>
    <w:rsid w:val="009936DB"/>
    <w:rsid w:val="00993CFC"/>
    <w:rsid w:val="009A1DC2"/>
    <w:rsid w:val="009B5743"/>
    <w:rsid w:val="009C0914"/>
    <w:rsid w:val="009C27E5"/>
    <w:rsid w:val="009D05F0"/>
    <w:rsid w:val="009D71E8"/>
    <w:rsid w:val="009E104B"/>
    <w:rsid w:val="009E7DE4"/>
    <w:rsid w:val="009F3BBD"/>
    <w:rsid w:val="00A063DD"/>
    <w:rsid w:val="00A112B5"/>
    <w:rsid w:val="00A14EEA"/>
    <w:rsid w:val="00A44FBB"/>
    <w:rsid w:val="00A47E37"/>
    <w:rsid w:val="00A50104"/>
    <w:rsid w:val="00A522E0"/>
    <w:rsid w:val="00A63579"/>
    <w:rsid w:val="00A638AC"/>
    <w:rsid w:val="00A727E5"/>
    <w:rsid w:val="00A748B5"/>
    <w:rsid w:val="00A80A32"/>
    <w:rsid w:val="00A82A98"/>
    <w:rsid w:val="00A82D16"/>
    <w:rsid w:val="00A91E0A"/>
    <w:rsid w:val="00A95F75"/>
    <w:rsid w:val="00A96B83"/>
    <w:rsid w:val="00AA355B"/>
    <w:rsid w:val="00AA42E5"/>
    <w:rsid w:val="00AA50E0"/>
    <w:rsid w:val="00AB24FA"/>
    <w:rsid w:val="00AB64D1"/>
    <w:rsid w:val="00AC004E"/>
    <w:rsid w:val="00AC4AAA"/>
    <w:rsid w:val="00AD7B5A"/>
    <w:rsid w:val="00AE229F"/>
    <w:rsid w:val="00AE7A25"/>
    <w:rsid w:val="00AF0AD9"/>
    <w:rsid w:val="00AF11DA"/>
    <w:rsid w:val="00AF5E20"/>
    <w:rsid w:val="00AF74B8"/>
    <w:rsid w:val="00AF7E98"/>
    <w:rsid w:val="00B002FA"/>
    <w:rsid w:val="00B00327"/>
    <w:rsid w:val="00B024B3"/>
    <w:rsid w:val="00B11DE8"/>
    <w:rsid w:val="00B13FFC"/>
    <w:rsid w:val="00B14498"/>
    <w:rsid w:val="00B179ED"/>
    <w:rsid w:val="00B20E18"/>
    <w:rsid w:val="00B3496C"/>
    <w:rsid w:val="00B572C4"/>
    <w:rsid w:val="00B60858"/>
    <w:rsid w:val="00B74D4E"/>
    <w:rsid w:val="00B76370"/>
    <w:rsid w:val="00B80219"/>
    <w:rsid w:val="00BA19A5"/>
    <w:rsid w:val="00BC579E"/>
    <w:rsid w:val="00BC67F6"/>
    <w:rsid w:val="00BD0129"/>
    <w:rsid w:val="00BD2004"/>
    <w:rsid w:val="00BD4B12"/>
    <w:rsid w:val="00BE2F92"/>
    <w:rsid w:val="00BF0D5F"/>
    <w:rsid w:val="00BF135B"/>
    <w:rsid w:val="00BF7129"/>
    <w:rsid w:val="00C0168C"/>
    <w:rsid w:val="00C1136E"/>
    <w:rsid w:val="00C11EB4"/>
    <w:rsid w:val="00C12746"/>
    <w:rsid w:val="00C17B5E"/>
    <w:rsid w:val="00C2163C"/>
    <w:rsid w:val="00C25827"/>
    <w:rsid w:val="00C31BB8"/>
    <w:rsid w:val="00C33387"/>
    <w:rsid w:val="00C3537A"/>
    <w:rsid w:val="00C373EA"/>
    <w:rsid w:val="00C43DB2"/>
    <w:rsid w:val="00C621C1"/>
    <w:rsid w:val="00C6272B"/>
    <w:rsid w:val="00C62989"/>
    <w:rsid w:val="00C65CBB"/>
    <w:rsid w:val="00C7623D"/>
    <w:rsid w:val="00C80F37"/>
    <w:rsid w:val="00C925B9"/>
    <w:rsid w:val="00C97097"/>
    <w:rsid w:val="00C97A7F"/>
    <w:rsid w:val="00CB5B17"/>
    <w:rsid w:val="00CC4443"/>
    <w:rsid w:val="00CC5CAF"/>
    <w:rsid w:val="00CD31E4"/>
    <w:rsid w:val="00D06874"/>
    <w:rsid w:val="00D06A51"/>
    <w:rsid w:val="00D173F7"/>
    <w:rsid w:val="00D20203"/>
    <w:rsid w:val="00D204E0"/>
    <w:rsid w:val="00D21354"/>
    <w:rsid w:val="00D22400"/>
    <w:rsid w:val="00D278BA"/>
    <w:rsid w:val="00D33FE5"/>
    <w:rsid w:val="00D3578A"/>
    <w:rsid w:val="00D4463C"/>
    <w:rsid w:val="00D461EA"/>
    <w:rsid w:val="00D501EE"/>
    <w:rsid w:val="00D517DC"/>
    <w:rsid w:val="00D5590D"/>
    <w:rsid w:val="00D618E4"/>
    <w:rsid w:val="00D61DA5"/>
    <w:rsid w:val="00D67CA7"/>
    <w:rsid w:val="00D73D48"/>
    <w:rsid w:val="00D771F8"/>
    <w:rsid w:val="00D837A1"/>
    <w:rsid w:val="00D875ED"/>
    <w:rsid w:val="00D877D0"/>
    <w:rsid w:val="00D90013"/>
    <w:rsid w:val="00D91B9C"/>
    <w:rsid w:val="00D92C1B"/>
    <w:rsid w:val="00D94CC7"/>
    <w:rsid w:val="00DA1AF4"/>
    <w:rsid w:val="00DA2F23"/>
    <w:rsid w:val="00DB0C60"/>
    <w:rsid w:val="00DB7BA2"/>
    <w:rsid w:val="00DC5D78"/>
    <w:rsid w:val="00DC641A"/>
    <w:rsid w:val="00DD6B7D"/>
    <w:rsid w:val="00DD6E14"/>
    <w:rsid w:val="00DE15AC"/>
    <w:rsid w:val="00DF22EA"/>
    <w:rsid w:val="00E0128F"/>
    <w:rsid w:val="00E02569"/>
    <w:rsid w:val="00E061EC"/>
    <w:rsid w:val="00E124A0"/>
    <w:rsid w:val="00E13E51"/>
    <w:rsid w:val="00E43EAD"/>
    <w:rsid w:val="00E50A22"/>
    <w:rsid w:val="00E60AE3"/>
    <w:rsid w:val="00E62DCB"/>
    <w:rsid w:val="00E649DA"/>
    <w:rsid w:val="00E651DD"/>
    <w:rsid w:val="00E66558"/>
    <w:rsid w:val="00E70D81"/>
    <w:rsid w:val="00E726A6"/>
    <w:rsid w:val="00E82BDE"/>
    <w:rsid w:val="00E86F05"/>
    <w:rsid w:val="00E92D41"/>
    <w:rsid w:val="00EA3A2A"/>
    <w:rsid w:val="00EA7CC5"/>
    <w:rsid w:val="00EB4556"/>
    <w:rsid w:val="00EB64C8"/>
    <w:rsid w:val="00ED5108"/>
    <w:rsid w:val="00ED65DB"/>
    <w:rsid w:val="00F012CA"/>
    <w:rsid w:val="00F01752"/>
    <w:rsid w:val="00F0355A"/>
    <w:rsid w:val="00F057B7"/>
    <w:rsid w:val="00F07FB4"/>
    <w:rsid w:val="00F11100"/>
    <w:rsid w:val="00F15BA1"/>
    <w:rsid w:val="00F24A7E"/>
    <w:rsid w:val="00F33DC0"/>
    <w:rsid w:val="00F42137"/>
    <w:rsid w:val="00F43B23"/>
    <w:rsid w:val="00F6089E"/>
    <w:rsid w:val="00F62587"/>
    <w:rsid w:val="00F63E9E"/>
    <w:rsid w:val="00F72D0C"/>
    <w:rsid w:val="00F76843"/>
    <w:rsid w:val="00F776E1"/>
    <w:rsid w:val="00F911B5"/>
    <w:rsid w:val="00F925EB"/>
    <w:rsid w:val="00FA217B"/>
    <w:rsid w:val="00FA6DD0"/>
    <w:rsid w:val="00FB78D0"/>
    <w:rsid w:val="00FC2793"/>
    <w:rsid w:val="00FC28DF"/>
    <w:rsid w:val="00FD1B20"/>
    <w:rsid w:val="00FD5D39"/>
    <w:rsid w:val="00FE3136"/>
    <w:rsid w:val="00FE50A3"/>
    <w:rsid w:val="00FE5484"/>
    <w:rsid w:val="00FE7A91"/>
    <w:rsid w:val="00FF369D"/>
    <w:rsid w:val="00FF6FB0"/>
    <w:rsid w:val="05B6D577"/>
    <w:rsid w:val="069AA0E3"/>
    <w:rsid w:val="07FFD3D3"/>
    <w:rsid w:val="0B240EAF"/>
    <w:rsid w:val="13173609"/>
    <w:rsid w:val="1A172959"/>
    <w:rsid w:val="1CBF4D92"/>
    <w:rsid w:val="2497129E"/>
    <w:rsid w:val="2860AB8E"/>
    <w:rsid w:val="2FFB967E"/>
    <w:rsid w:val="31CC4DD9"/>
    <w:rsid w:val="380BAE89"/>
    <w:rsid w:val="3A3F1ACF"/>
    <w:rsid w:val="3BE13FA2"/>
    <w:rsid w:val="3EA4202B"/>
    <w:rsid w:val="418407A1"/>
    <w:rsid w:val="491E3A64"/>
    <w:rsid w:val="4BF69EA0"/>
    <w:rsid w:val="5C40C457"/>
    <w:rsid w:val="5F3A7B6B"/>
    <w:rsid w:val="617B4808"/>
    <w:rsid w:val="625D1A15"/>
    <w:rsid w:val="6D28B1AF"/>
    <w:rsid w:val="6D616F43"/>
    <w:rsid w:val="6EB73E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8F3CF67D-12D9-4CBD-8668-182D8E77A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uiPriority w:val="34"/>
    <w:qFormat/>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customStyle="1"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 w:type="paragraph" w:styleId="Revision">
    <w:name w:val="Revision"/>
    <w:hidden/>
    <w:uiPriority w:val="99"/>
    <w:semiHidden/>
    <w:rsid w:val="00115538"/>
    <w:pPr>
      <w:autoSpaceDN/>
    </w:pPr>
    <w:rPr>
      <w:color w:val="0D0D0D"/>
      <w:sz w:val="24"/>
      <w:szCs w:val="24"/>
    </w:rPr>
  </w:style>
  <w:style w:type="character" w:customStyle="1" w:styleId="Mention">
    <w:name w:val="Mention"/>
    <w:basedOn w:val="DefaultParagraphFont"/>
    <w:uiPriority w:val="99"/>
    <w:unhideWhenUsed/>
    <w:rsid w:val="00E726A6"/>
    <w:rPr>
      <w:color w:val="2B579A"/>
      <w:shd w:val="clear" w:color="auto" w:fill="E1DFDD"/>
    </w:rPr>
  </w:style>
  <w:style w:type="table" w:styleId="TableGrid">
    <w:name w:val="Table Grid"/>
    <w:basedOn w:val="TableNormal"/>
    <w:uiPriority w:val="39"/>
    <w:rsid w:val="009539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E0128F"/>
  </w:style>
  <w:style w:type="character" w:styleId="PlaceholderText">
    <w:name w:val="Placeholder Text"/>
    <w:basedOn w:val="DefaultParagraphFont"/>
    <w:rsid w:val="00BC579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29493">
      <w:bodyDiv w:val="1"/>
      <w:marLeft w:val="0"/>
      <w:marRight w:val="0"/>
      <w:marTop w:val="0"/>
      <w:marBottom w:val="0"/>
      <w:divBdr>
        <w:top w:val="none" w:sz="0" w:space="0" w:color="auto"/>
        <w:left w:val="none" w:sz="0" w:space="0" w:color="auto"/>
        <w:bottom w:val="none" w:sz="0" w:space="0" w:color="auto"/>
        <w:right w:val="none" w:sz="0" w:space="0" w:color="auto"/>
      </w:divBdr>
    </w:div>
    <w:div w:id="21184814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education-evidence/teaching-learning-toolkit/phonics" TargetMode="External"/><Relationship Id="rId13" Type="http://schemas.openxmlformats.org/officeDocument/2006/relationships/hyperlink" Target="https://educationendowmentfoundation.org.uk/education-evidence/teaching-learning-toolkit/small-group-tuition" TargetMode="External"/><Relationship Id="rId18" Type="http://schemas.openxmlformats.org/officeDocument/2006/relationships/hyperlink" Target="https://educationendowmentfoundation.org.uk/education-evidence/teaching-learning-toolkit/mastery-learning" TargetMode="External"/><Relationship Id="rId26" Type="http://schemas.openxmlformats.org/officeDocument/2006/relationships/hyperlink" Target="https://educationendowmentfoundation.org.uk/education-evidence/teaching-learning-toolkit/oral-language-interventions" TargetMode="Externa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ducationendowmentfoundation.org.uk/education-evidence/teaching-learning-toolkit/phonics" TargetMode="External"/><Relationship Id="rId34" Type="http://schemas.openxmlformats.org/officeDocument/2006/relationships/hyperlink" Target="https://www.gov.uk/government/publications/working-together-to-improve-school-attendance" TargetMode="External"/><Relationship Id="rId7" Type="http://schemas.openxmlformats.org/officeDocument/2006/relationships/endnotes" Target="endnotes.xml"/><Relationship Id="rId12" Type="http://schemas.openxmlformats.org/officeDocument/2006/relationships/hyperlink" Target="https://educationendowmentfoundation.org.uk/education-evidence/teaching-learning-toolkit/individualised-instruction" TargetMode="External"/><Relationship Id="rId17" Type="http://schemas.openxmlformats.org/officeDocument/2006/relationships/hyperlink" Target="https://educationendowmentfoundation.org.uk/education-evidence/teaching-learning-toolkit/feedback" TargetMode="External"/><Relationship Id="rId25" Type="http://schemas.openxmlformats.org/officeDocument/2006/relationships/hyperlink" Target="https://educationendowmentfoundation.org.uk/education-evidence/teaching-learning-toolkit/social-and-emotional-learning" TargetMode="External"/><Relationship Id="rId33" Type="http://schemas.openxmlformats.org/officeDocument/2006/relationships/hyperlink" Target="https://educationendowmentfoundation.org.uk/education-evidence/teaching-learning-toolkit/social-and-emotional-learning"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educationendowmentfoundation.org.uk/education-evidence/teaching-learning-toolkit/metacognition-and-self-regulation" TargetMode="External"/><Relationship Id="rId20" Type="http://schemas.openxmlformats.org/officeDocument/2006/relationships/hyperlink" Target="https://educationendowmentfoundation.org.uk/education-evidence/teaching-learning-toolkit/teaching-assistant-interventions" TargetMode="External"/><Relationship Id="rId29" Type="http://schemas.openxmlformats.org/officeDocument/2006/relationships/hyperlink" Target="https://educationendowmentfoundation.org.uk/education-evidence/teaching-learning-toolkit/social-and-emotional-lear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ducationendowmentfoundation.org.uk/education-evidence/teaching-learning-toolkit/reading-comprehension-strategies" TargetMode="External"/><Relationship Id="rId24" Type="http://schemas.openxmlformats.org/officeDocument/2006/relationships/hyperlink" Target="https://educationendowmentfoundation.org.uk/education-evidence/teaching-learning-toolkit/oral-language-interventions" TargetMode="External"/><Relationship Id="rId32" Type="http://schemas.openxmlformats.org/officeDocument/2006/relationships/hyperlink" Target="https://educationendowmentfoundation.org.uk/education-evidence/teaching-learning-toolkit/social-and-emotional-learning"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ducationendowmentfoundation.org.uk/education-evidence/teaching-learning-toolkit/metacognition-and-self-regulation" TargetMode="External"/><Relationship Id="rId23" Type="http://schemas.openxmlformats.org/officeDocument/2006/relationships/hyperlink" Target="https://educationendowmentfoundation.org.uk/education-evidence/teaching-learning-toolkit/teaching-assistant-interventions" TargetMode="External"/><Relationship Id="rId28" Type="http://schemas.openxmlformats.org/officeDocument/2006/relationships/hyperlink" Target="https://educationendowmentfoundation.org.uk/education-evidence/teaching-learning-toolkit/teaching-assistant-interventions" TargetMode="External"/><Relationship Id="rId36" Type="http://schemas.openxmlformats.org/officeDocument/2006/relationships/hyperlink" Target="https://educationendowmentfoundation.org.uk/education-evidence/teaching-learning-toolkit/parental-engagement" TargetMode="External"/><Relationship Id="rId10" Type="http://schemas.openxmlformats.org/officeDocument/2006/relationships/hyperlink" Target="https://educationendowmentfoundation.org.uk/education-evidence/teaching-learning-toolkit/parental-engagement" TargetMode="External"/><Relationship Id="rId19" Type="http://schemas.openxmlformats.org/officeDocument/2006/relationships/hyperlink" Target="https://educationendowmentfoundation.org.uk/education-evidence/teaching-learning-toolkit/small-group-tuition" TargetMode="External"/><Relationship Id="rId31" Type="http://schemas.openxmlformats.org/officeDocument/2006/relationships/hyperlink" Target="https://educationendowmentfoundation.org.uk/education-evidence/teaching-learning-toolkit/physical-activity" TargetMode="External"/><Relationship Id="rId4" Type="http://schemas.openxmlformats.org/officeDocument/2006/relationships/settings" Target="settings.xml"/><Relationship Id="rId9" Type="http://schemas.openxmlformats.org/officeDocument/2006/relationships/hyperlink" Target="https://educationendowmentfoundation.org.uk/education-evidence/teaching-learning-toolkit/small-group-tuition" TargetMode="External"/><Relationship Id="rId14" Type="http://schemas.openxmlformats.org/officeDocument/2006/relationships/hyperlink" Target="https://educationendowmentfoundation.org.uk/education-evidence/teaching-learning-toolkit/feedback" TargetMode="External"/><Relationship Id="rId22" Type="http://schemas.openxmlformats.org/officeDocument/2006/relationships/hyperlink" Target="https://educationendowmentfoundation.org.uk/education-evidence/teaching-learning-toolkit/phonics" TargetMode="External"/><Relationship Id="rId27" Type="http://schemas.openxmlformats.org/officeDocument/2006/relationships/hyperlink" Target="https://educationendowmentfoundation.org.uk/education-evidence/teaching-learning-toolkit/social-and-emotional-learning" TargetMode="External"/><Relationship Id="rId30" Type="http://schemas.openxmlformats.org/officeDocument/2006/relationships/hyperlink" Target="https://educationendowmentfoundation.org.uk/education-evidence/teaching-learning-toolkit/arts-participation" TargetMode="External"/><Relationship Id="rId35" Type="http://schemas.openxmlformats.org/officeDocument/2006/relationships/hyperlink" Target="https://educationendowmentfoundation.org.uk/education-evidence/teaching-learning-toolkit/social-and-emotional-lear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567498-DF44-4442-8DE1-53E1A85E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307</TotalTime>
  <Pages>14</Pages>
  <Words>3609</Words>
  <Characters>20574</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Pupil premium strategy statement</vt:lpstr>
    </vt:vector>
  </TitlesOfParts>
  <Company/>
  <LinksUpToDate>false</LinksUpToDate>
  <CharactersWithSpaces>24135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Pupil premium strategy statement</dc:title>
  <dc:subject/>
  <dc:creator>Publishing.TEAM@education.gsi.gov.uk</dc:creator>
  <cp:keywords/>
  <dc:description>Master-ET-v3.8</dc:description>
  <cp:lastModifiedBy>Natalie Godfrey</cp:lastModifiedBy>
  <cp:revision>23</cp:revision>
  <cp:lastPrinted>2014-09-17T21:26:00Z</cp:lastPrinted>
  <dcterms:created xsi:type="dcterms:W3CDTF">2024-12-19T11:14:00Z</dcterms:created>
  <dcterms:modified xsi:type="dcterms:W3CDTF">2024-12-20T15:55:00Z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