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A027" w14:textId="77777777" w:rsidR="00696B5A" w:rsidRDefault="001E4137" w:rsidP="00696B5A">
      <w:pPr>
        <w:pStyle w:val="Heading3"/>
        <w:rPr>
          <w:color w:val="303330"/>
          <w:w w:val="105"/>
        </w:rPr>
      </w:pPr>
      <w:r>
        <w:rPr>
          <w:noProof/>
          <w:color w:val="303330"/>
          <w:w w:val="105"/>
          <w:lang w:val="en-GB" w:eastAsia="en-GB"/>
        </w:rPr>
        <w:drawing>
          <wp:anchor distT="0" distB="0" distL="114300" distR="114300" simplePos="0" relativeHeight="251659264" behindDoc="1" locked="0" layoutInCell="1" allowOverlap="1" wp14:anchorId="748204B9" wp14:editId="3AFC217F">
            <wp:simplePos x="0" y="0"/>
            <wp:positionH relativeFrom="column">
              <wp:posOffset>4685665</wp:posOffset>
            </wp:positionH>
            <wp:positionV relativeFrom="paragraph">
              <wp:posOffset>102870</wp:posOffset>
            </wp:positionV>
            <wp:extent cx="1400175" cy="763270"/>
            <wp:effectExtent l="0" t="0" r="9525" b="0"/>
            <wp:wrapThrough wrapText="bothSides">
              <wp:wrapPolygon edited="0">
                <wp:start x="0" y="0"/>
                <wp:lineTo x="0" y="21025"/>
                <wp:lineTo x="21453" y="21025"/>
                <wp:lineTo x="2145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grant-school-logo-2.jpg"/>
                    <pic:cNvPicPr/>
                  </pic:nvPicPr>
                  <pic:blipFill rotWithShape="1">
                    <a:blip r:embed="rId5">
                      <a:extLst>
                        <a:ext uri="{28A0092B-C50C-407E-A947-70E740481C1C}">
                          <a14:useLocalDpi xmlns:a14="http://schemas.microsoft.com/office/drawing/2010/main" val="0"/>
                        </a:ext>
                      </a:extLst>
                    </a:blip>
                    <a:srcRect l="52174" b="28671"/>
                    <a:stretch/>
                  </pic:blipFill>
                  <pic:spPr bwMode="auto">
                    <a:xfrm>
                      <a:off x="0" y="0"/>
                      <a:ext cx="1400175" cy="763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303330"/>
          <w:w w:val="105"/>
          <w:lang w:val="en-GB" w:eastAsia="en-GB"/>
        </w:rPr>
        <w:drawing>
          <wp:anchor distT="0" distB="0" distL="114300" distR="114300" simplePos="0" relativeHeight="251660288" behindDoc="1" locked="0" layoutInCell="1" allowOverlap="1" wp14:anchorId="759DDB60" wp14:editId="43F5F4B3">
            <wp:simplePos x="0" y="0"/>
            <wp:positionH relativeFrom="margin">
              <wp:align>left</wp:align>
            </wp:positionH>
            <wp:positionV relativeFrom="paragraph">
              <wp:posOffset>1181100</wp:posOffset>
            </wp:positionV>
            <wp:extent cx="6105525" cy="133350"/>
            <wp:effectExtent l="0" t="0" r="9525" b="0"/>
            <wp:wrapTight wrapText="bothSides">
              <wp:wrapPolygon edited="0">
                <wp:start x="0" y="0"/>
                <wp:lineTo x="0" y="18514"/>
                <wp:lineTo x="21566" y="18514"/>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grant-school-logo-2.jpg"/>
                    <pic:cNvPicPr/>
                  </pic:nvPicPr>
                  <pic:blipFill rotWithShape="1">
                    <a:blip r:embed="rId5">
                      <a:extLst>
                        <a:ext uri="{28A0092B-C50C-407E-A947-70E740481C1C}">
                          <a14:useLocalDpi xmlns:a14="http://schemas.microsoft.com/office/drawing/2010/main" val="0"/>
                        </a:ext>
                      </a:extLst>
                    </a:blip>
                    <a:srcRect t="88112"/>
                    <a:stretch/>
                  </pic:blipFill>
                  <pic:spPr bwMode="auto">
                    <a:xfrm>
                      <a:off x="0" y="0"/>
                      <a:ext cx="6105525" cy="133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303330"/>
          <w:w w:val="105"/>
        </w:rPr>
        <w:t xml:space="preserve">   </w:t>
      </w:r>
      <w:r w:rsidR="00696B5A">
        <w:rPr>
          <w:noProof/>
          <w:color w:val="303330"/>
          <w:w w:val="105"/>
          <w:lang w:val="en-GB" w:eastAsia="en-GB"/>
        </w:rPr>
        <w:drawing>
          <wp:inline distT="0" distB="0" distL="0" distR="0" wp14:anchorId="4DB9568F" wp14:editId="5A3A9C7E">
            <wp:extent cx="1895475" cy="1171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immed logo.png"/>
                    <pic:cNvPicPr/>
                  </pic:nvPicPr>
                  <pic:blipFill rotWithShape="1">
                    <a:blip r:embed="rId6">
                      <a:extLst>
                        <a:ext uri="{28A0092B-C50C-407E-A947-70E740481C1C}">
                          <a14:useLocalDpi xmlns:a14="http://schemas.microsoft.com/office/drawing/2010/main" val="0"/>
                        </a:ext>
                      </a:extLst>
                    </a:blip>
                    <a:srcRect b="13381"/>
                    <a:stretch/>
                  </pic:blipFill>
                  <pic:spPr bwMode="auto">
                    <a:xfrm>
                      <a:off x="0" y="0"/>
                      <a:ext cx="1895740" cy="1171739"/>
                    </a:xfrm>
                    <a:prstGeom prst="rect">
                      <a:avLst/>
                    </a:prstGeom>
                    <a:ln>
                      <a:noFill/>
                    </a:ln>
                    <a:extLst>
                      <a:ext uri="{53640926-AAD7-44D8-BBD7-CCE9431645EC}">
                        <a14:shadowObscured xmlns:a14="http://schemas.microsoft.com/office/drawing/2010/main"/>
                      </a:ext>
                    </a:extLst>
                  </pic:spPr>
                </pic:pic>
              </a:graphicData>
            </a:graphic>
          </wp:inline>
        </w:drawing>
      </w:r>
    </w:p>
    <w:p w14:paraId="31C9DE85" w14:textId="77777777" w:rsidR="00696B5A" w:rsidRDefault="00696B5A" w:rsidP="00696B5A">
      <w:pPr>
        <w:pStyle w:val="Heading3"/>
        <w:rPr>
          <w:color w:val="303330"/>
          <w:w w:val="105"/>
        </w:rPr>
      </w:pPr>
    </w:p>
    <w:p w14:paraId="286A72F4" w14:textId="77777777" w:rsidR="00696B5A" w:rsidRDefault="00696B5A" w:rsidP="00696B5A">
      <w:pPr>
        <w:pStyle w:val="Heading3"/>
        <w:rPr>
          <w:color w:val="303330"/>
          <w:w w:val="105"/>
        </w:rPr>
      </w:pPr>
    </w:p>
    <w:p w14:paraId="16C8BDEE" w14:textId="77777777" w:rsidR="00787714" w:rsidRDefault="00787714" w:rsidP="00787714">
      <w:pPr>
        <w:pStyle w:val="BodyText"/>
        <w:rPr>
          <w:rFonts w:asciiTheme="minorHAnsi" w:hAnsiTheme="minorHAnsi" w:cstheme="minorHAnsi"/>
          <w:b/>
          <w:sz w:val="28"/>
          <w:szCs w:val="28"/>
        </w:rPr>
      </w:pPr>
    </w:p>
    <w:p w14:paraId="2E2B0B49" w14:textId="77777777" w:rsidR="001E4137" w:rsidRDefault="001E4137" w:rsidP="00787714">
      <w:pPr>
        <w:pStyle w:val="BodyText"/>
        <w:rPr>
          <w:rFonts w:asciiTheme="minorHAnsi" w:hAnsiTheme="minorHAnsi" w:cstheme="minorHAnsi"/>
          <w:b/>
          <w:sz w:val="28"/>
          <w:szCs w:val="28"/>
        </w:rPr>
      </w:pPr>
    </w:p>
    <w:p w14:paraId="445CAF5C" w14:textId="77777777" w:rsidR="001E4137" w:rsidRDefault="001E4137" w:rsidP="00787714">
      <w:pPr>
        <w:pStyle w:val="BodyText"/>
        <w:rPr>
          <w:rFonts w:asciiTheme="minorHAnsi" w:hAnsiTheme="minorHAnsi" w:cstheme="minorHAnsi"/>
          <w:b/>
          <w:sz w:val="28"/>
          <w:szCs w:val="28"/>
        </w:rPr>
      </w:pPr>
    </w:p>
    <w:p w14:paraId="32C02CF9" w14:textId="4F91BEF9" w:rsidR="00787714" w:rsidRDefault="009E7ED9" w:rsidP="00787714">
      <w:pPr>
        <w:pStyle w:val="BodyText"/>
        <w:jc w:val="center"/>
        <w:rPr>
          <w:rFonts w:asciiTheme="minorHAnsi" w:hAnsiTheme="minorHAnsi" w:cstheme="minorHAnsi"/>
          <w:b/>
          <w:color w:val="02047D"/>
          <w:sz w:val="40"/>
        </w:rPr>
      </w:pPr>
      <w:r>
        <w:rPr>
          <w:rFonts w:asciiTheme="minorHAnsi" w:hAnsiTheme="minorHAnsi" w:cstheme="minorHAnsi"/>
          <w:b/>
          <w:color w:val="02047D"/>
          <w:sz w:val="40"/>
        </w:rPr>
        <w:t xml:space="preserve">Suspensions and Exclusions Policy </w:t>
      </w:r>
    </w:p>
    <w:p w14:paraId="118A0A0D" w14:textId="77777777" w:rsidR="00787714" w:rsidRDefault="00787714" w:rsidP="00787714">
      <w:pPr>
        <w:pStyle w:val="BodyText"/>
        <w:jc w:val="center"/>
        <w:rPr>
          <w:rFonts w:asciiTheme="minorHAnsi" w:hAnsiTheme="minorHAnsi" w:cstheme="minorHAnsi"/>
          <w:b/>
          <w:color w:val="02047D"/>
          <w:sz w:val="40"/>
        </w:rPr>
      </w:pPr>
    </w:p>
    <w:p w14:paraId="77B05409" w14:textId="77777777" w:rsidR="00787714" w:rsidRDefault="00787714" w:rsidP="00787714">
      <w:pPr>
        <w:pStyle w:val="BodyText"/>
        <w:ind w:left="2880"/>
        <w:rPr>
          <w:color w:val="303330"/>
          <w:spacing w:val="-1"/>
          <w:w w:val="105"/>
        </w:rPr>
      </w:pPr>
    </w:p>
    <w:p w14:paraId="4294C9C4" w14:textId="77777777" w:rsidR="00787714" w:rsidRPr="00787714" w:rsidRDefault="00787714" w:rsidP="00787714">
      <w:pPr>
        <w:pStyle w:val="Heading4"/>
        <w:ind w:left="0"/>
        <w:rPr>
          <w:rFonts w:asciiTheme="minorHAnsi" w:hAnsiTheme="minorHAnsi" w:cstheme="minorHAnsi"/>
          <w:sz w:val="24"/>
          <w:szCs w:val="24"/>
        </w:rPr>
      </w:pPr>
      <w:r w:rsidRPr="00787714">
        <w:rPr>
          <w:rFonts w:asciiTheme="minorHAnsi" w:hAnsiTheme="minorHAnsi" w:cstheme="minorHAnsi"/>
          <w:color w:val="303330"/>
          <w:spacing w:val="-1"/>
          <w:w w:val="105"/>
          <w:sz w:val="24"/>
          <w:szCs w:val="24"/>
        </w:rPr>
        <w:t>Policy</w:t>
      </w:r>
      <w:r w:rsidRPr="00787714">
        <w:rPr>
          <w:rFonts w:asciiTheme="minorHAnsi" w:hAnsiTheme="minorHAnsi" w:cstheme="minorHAnsi"/>
          <w:color w:val="303330"/>
          <w:spacing w:val="1"/>
          <w:w w:val="105"/>
          <w:sz w:val="24"/>
          <w:szCs w:val="24"/>
        </w:rPr>
        <w:t xml:space="preserve"> </w:t>
      </w:r>
      <w:r w:rsidRPr="00787714">
        <w:rPr>
          <w:rFonts w:asciiTheme="minorHAnsi" w:hAnsiTheme="minorHAnsi" w:cstheme="minorHAnsi"/>
          <w:color w:val="303330"/>
          <w:spacing w:val="-1"/>
          <w:w w:val="105"/>
          <w:sz w:val="24"/>
          <w:szCs w:val="24"/>
        </w:rPr>
        <w:t>Consultation</w:t>
      </w:r>
      <w:r w:rsidRPr="00787714">
        <w:rPr>
          <w:rFonts w:asciiTheme="minorHAnsi" w:hAnsiTheme="minorHAnsi" w:cstheme="minorHAnsi"/>
          <w:color w:val="303330"/>
          <w:spacing w:val="1"/>
          <w:w w:val="105"/>
          <w:sz w:val="24"/>
          <w:szCs w:val="24"/>
        </w:rPr>
        <w:t xml:space="preserve"> </w:t>
      </w:r>
      <w:r w:rsidRPr="00787714">
        <w:rPr>
          <w:rFonts w:asciiTheme="minorHAnsi" w:hAnsiTheme="minorHAnsi" w:cstheme="minorHAnsi"/>
          <w:color w:val="303330"/>
          <w:w w:val="105"/>
          <w:sz w:val="24"/>
          <w:szCs w:val="24"/>
        </w:rPr>
        <w:t>&amp;</w:t>
      </w:r>
      <w:r w:rsidRPr="00787714">
        <w:rPr>
          <w:rFonts w:asciiTheme="minorHAnsi" w:hAnsiTheme="minorHAnsi" w:cstheme="minorHAnsi"/>
          <w:color w:val="303330"/>
          <w:spacing w:val="-44"/>
          <w:w w:val="105"/>
          <w:sz w:val="24"/>
          <w:szCs w:val="24"/>
        </w:rPr>
        <w:t xml:space="preserve"> </w:t>
      </w:r>
      <w:r w:rsidRPr="00787714">
        <w:rPr>
          <w:rFonts w:asciiTheme="minorHAnsi" w:hAnsiTheme="minorHAnsi" w:cstheme="minorHAnsi"/>
          <w:color w:val="303330"/>
          <w:w w:val="105"/>
          <w:sz w:val="24"/>
          <w:szCs w:val="24"/>
        </w:rPr>
        <w:t>Review</w:t>
      </w:r>
    </w:p>
    <w:p w14:paraId="610D3EA4" w14:textId="1B1F1858" w:rsidR="00787714" w:rsidRDefault="00787714" w:rsidP="00787714">
      <w:pPr>
        <w:pStyle w:val="BodyText"/>
        <w:spacing w:before="188" w:line="252" w:lineRule="auto"/>
        <w:ind w:right="1297"/>
        <w:jc w:val="both"/>
        <w:rPr>
          <w:rFonts w:asciiTheme="minorHAnsi" w:hAnsiTheme="minorHAnsi" w:cstheme="minorHAnsi"/>
          <w:sz w:val="24"/>
          <w:szCs w:val="24"/>
        </w:rPr>
      </w:pPr>
      <w:r w:rsidRPr="00696B5A">
        <w:rPr>
          <w:rFonts w:asciiTheme="minorHAnsi" w:hAnsiTheme="minorHAnsi" w:cstheme="minorHAnsi"/>
          <w:sz w:val="24"/>
          <w:szCs w:val="24"/>
        </w:rPr>
        <w:t xml:space="preserve">This policy will be reviewed in full by the Governing Body </w:t>
      </w:r>
      <w:r w:rsidR="009E7ED9">
        <w:rPr>
          <w:rFonts w:asciiTheme="minorHAnsi" w:hAnsiTheme="minorHAnsi" w:cstheme="minorHAnsi"/>
          <w:sz w:val="24"/>
          <w:szCs w:val="24"/>
        </w:rPr>
        <w:t xml:space="preserve">3 yearly </w:t>
      </w:r>
      <w:r w:rsidRPr="00696B5A">
        <w:rPr>
          <w:rFonts w:asciiTheme="minorHAnsi" w:hAnsiTheme="minorHAnsi" w:cstheme="minorHAnsi"/>
          <w:sz w:val="24"/>
          <w:szCs w:val="24"/>
        </w:rPr>
        <w:t xml:space="preserve">basis. </w:t>
      </w:r>
    </w:p>
    <w:p w14:paraId="781EDF1F" w14:textId="77777777" w:rsidR="009E7ED9" w:rsidRDefault="009E7ED9" w:rsidP="00787714">
      <w:pPr>
        <w:pStyle w:val="BodyText"/>
        <w:spacing w:before="188" w:line="252" w:lineRule="auto"/>
        <w:ind w:right="1297"/>
        <w:jc w:val="both"/>
        <w:rPr>
          <w:rFonts w:asciiTheme="minorHAnsi" w:hAnsiTheme="minorHAnsi" w:cstheme="minorHAnsi"/>
          <w:sz w:val="24"/>
          <w:szCs w:val="24"/>
        </w:rPr>
      </w:pPr>
    </w:p>
    <w:p w14:paraId="07117B28" w14:textId="77777777" w:rsidR="009E7ED9" w:rsidRDefault="009E7ED9" w:rsidP="00787714">
      <w:pPr>
        <w:pStyle w:val="BodyText"/>
        <w:spacing w:before="188" w:line="252" w:lineRule="auto"/>
        <w:ind w:right="1297"/>
        <w:jc w:val="both"/>
        <w:rPr>
          <w:rFonts w:asciiTheme="minorHAnsi" w:hAnsiTheme="minorHAnsi" w:cstheme="minorHAnsi"/>
          <w:sz w:val="24"/>
          <w:szCs w:val="24"/>
        </w:rPr>
      </w:pPr>
    </w:p>
    <w:p w14:paraId="70B27C8F" w14:textId="77777777" w:rsidR="009E7ED9" w:rsidRDefault="009E7ED9" w:rsidP="00787714">
      <w:pPr>
        <w:pStyle w:val="BodyText"/>
        <w:spacing w:before="188" w:line="252" w:lineRule="auto"/>
        <w:ind w:right="1297"/>
        <w:jc w:val="both"/>
        <w:rPr>
          <w:rFonts w:asciiTheme="minorHAnsi" w:hAnsiTheme="minorHAnsi" w:cstheme="minorHAnsi"/>
          <w:sz w:val="24"/>
          <w:szCs w:val="24"/>
        </w:rPr>
      </w:pPr>
    </w:p>
    <w:p w14:paraId="5855DED0" w14:textId="77777777" w:rsidR="009E7ED9" w:rsidRDefault="009E7ED9" w:rsidP="00787714">
      <w:pPr>
        <w:pStyle w:val="BodyText"/>
        <w:spacing w:before="188" w:line="252" w:lineRule="auto"/>
        <w:ind w:right="1297"/>
        <w:jc w:val="both"/>
        <w:rPr>
          <w:rFonts w:asciiTheme="minorHAnsi" w:hAnsiTheme="minorHAnsi" w:cstheme="minorHAnsi"/>
          <w:sz w:val="24"/>
          <w:szCs w:val="24"/>
        </w:rPr>
      </w:pPr>
    </w:p>
    <w:p w14:paraId="67CCE1B2" w14:textId="77777777" w:rsidR="009E7ED9" w:rsidRDefault="009E7ED9" w:rsidP="00787714">
      <w:pPr>
        <w:pStyle w:val="BodyText"/>
        <w:spacing w:before="188" w:line="252" w:lineRule="auto"/>
        <w:ind w:right="1297"/>
        <w:jc w:val="both"/>
        <w:rPr>
          <w:rFonts w:asciiTheme="minorHAnsi" w:hAnsiTheme="minorHAnsi" w:cstheme="minorHAnsi"/>
          <w:sz w:val="24"/>
          <w:szCs w:val="24"/>
        </w:rPr>
      </w:pPr>
    </w:p>
    <w:p w14:paraId="7BA38C21" w14:textId="77777777" w:rsidR="009E7ED9" w:rsidRDefault="009E7ED9" w:rsidP="00787714">
      <w:pPr>
        <w:pStyle w:val="BodyText"/>
        <w:spacing w:before="188" w:line="252" w:lineRule="auto"/>
        <w:ind w:right="1297"/>
        <w:jc w:val="both"/>
        <w:rPr>
          <w:rFonts w:asciiTheme="minorHAnsi" w:hAnsiTheme="minorHAnsi" w:cstheme="minorHAnsi"/>
          <w:sz w:val="24"/>
          <w:szCs w:val="24"/>
        </w:rPr>
      </w:pPr>
    </w:p>
    <w:p w14:paraId="600502A6" w14:textId="77777777" w:rsidR="009E7ED9" w:rsidRDefault="009E7ED9" w:rsidP="00787714">
      <w:pPr>
        <w:pStyle w:val="BodyText"/>
        <w:spacing w:before="188" w:line="252" w:lineRule="auto"/>
        <w:ind w:right="1297"/>
        <w:jc w:val="both"/>
        <w:rPr>
          <w:rFonts w:asciiTheme="minorHAnsi" w:hAnsiTheme="minorHAnsi" w:cstheme="minorHAnsi"/>
          <w:sz w:val="24"/>
          <w:szCs w:val="24"/>
        </w:rPr>
      </w:pPr>
    </w:p>
    <w:p w14:paraId="2A186F95" w14:textId="77777777" w:rsidR="009E7ED9" w:rsidRDefault="009E7ED9" w:rsidP="00787714">
      <w:pPr>
        <w:pStyle w:val="BodyText"/>
        <w:spacing w:before="188" w:line="252" w:lineRule="auto"/>
        <w:ind w:right="1297"/>
        <w:jc w:val="both"/>
        <w:rPr>
          <w:rFonts w:asciiTheme="minorHAnsi" w:hAnsiTheme="minorHAnsi" w:cstheme="minorHAnsi"/>
          <w:sz w:val="24"/>
          <w:szCs w:val="24"/>
        </w:rPr>
      </w:pPr>
    </w:p>
    <w:p w14:paraId="16E665FC" w14:textId="77777777" w:rsidR="009E7ED9" w:rsidRDefault="009E7ED9" w:rsidP="00787714">
      <w:pPr>
        <w:pStyle w:val="BodyText"/>
        <w:spacing w:before="188" w:line="252" w:lineRule="auto"/>
        <w:ind w:right="1297"/>
        <w:jc w:val="both"/>
        <w:rPr>
          <w:rFonts w:asciiTheme="minorHAnsi" w:hAnsiTheme="minorHAnsi" w:cstheme="minorHAnsi"/>
          <w:sz w:val="24"/>
          <w:szCs w:val="24"/>
        </w:rPr>
      </w:pPr>
    </w:p>
    <w:p w14:paraId="5BE20C77" w14:textId="77777777" w:rsidR="009E7ED9" w:rsidRDefault="009E7ED9" w:rsidP="009E7ED9">
      <w:pPr>
        <w:pStyle w:val="TNCBodyText"/>
        <w:rPr>
          <w:rFonts w:ascii="Calibri" w:hAnsi="Calibri" w:cs="Calibri"/>
          <w:b/>
          <w:bCs/>
          <w:sz w:val="24"/>
          <w:szCs w:val="24"/>
        </w:rPr>
      </w:pPr>
    </w:p>
    <w:p w14:paraId="018040F2" w14:textId="77777777" w:rsidR="009E7ED9" w:rsidRDefault="009E7ED9" w:rsidP="009E7ED9">
      <w:pPr>
        <w:pStyle w:val="TNCBodyText"/>
        <w:rPr>
          <w:rFonts w:ascii="Calibri" w:hAnsi="Calibri" w:cs="Calibri"/>
          <w:b/>
          <w:bCs/>
          <w:sz w:val="24"/>
          <w:szCs w:val="24"/>
        </w:rPr>
      </w:pPr>
    </w:p>
    <w:p w14:paraId="5AC188AF" w14:textId="77777777" w:rsidR="009E7ED9" w:rsidRDefault="009E7ED9" w:rsidP="009E7ED9">
      <w:pPr>
        <w:pStyle w:val="TNCBodyText"/>
        <w:rPr>
          <w:rFonts w:ascii="Calibri" w:hAnsi="Calibri" w:cs="Calibri"/>
          <w:b/>
          <w:bCs/>
          <w:sz w:val="24"/>
          <w:szCs w:val="24"/>
        </w:rPr>
      </w:pPr>
    </w:p>
    <w:p w14:paraId="63F8EAFC" w14:textId="77777777" w:rsidR="009E7ED9" w:rsidRDefault="009E7ED9" w:rsidP="009E7ED9">
      <w:pPr>
        <w:pStyle w:val="TNCBodyText"/>
        <w:rPr>
          <w:rFonts w:ascii="Calibri" w:hAnsi="Calibri" w:cs="Calibri"/>
          <w:b/>
          <w:bCs/>
          <w:sz w:val="24"/>
          <w:szCs w:val="24"/>
        </w:rPr>
      </w:pPr>
    </w:p>
    <w:p w14:paraId="5C1D86AF" w14:textId="77777777" w:rsidR="009E7ED9" w:rsidRDefault="009E7ED9" w:rsidP="009E7ED9">
      <w:pPr>
        <w:pStyle w:val="TNCBodyText"/>
        <w:rPr>
          <w:rFonts w:ascii="Calibri" w:hAnsi="Calibri" w:cs="Calibri"/>
          <w:b/>
          <w:bCs/>
          <w:sz w:val="24"/>
          <w:szCs w:val="24"/>
        </w:rPr>
      </w:pPr>
    </w:p>
    <w:p w14:paraId="5EF4C8E7" w14:textId="77777777" w:rsidR="009E7ED9" w:rsidRDefault="009E7ED9" w:rsidP="009E7ED9">
      <w:pPr>
        <w:pStyle w:val="TNCBodyText"/>
        <w:rPr>
          <w:rFonts w:ascii="Calibri" w:hAnsi="Calibri" w:cs="Calibri"/>
          <w:b/>
          <w:bCs/>
          <w:sz w:val="24"/>
          <w:szCs w:val="24"/>
        </w:rPr>
      </w:pPr>
    </w:p>
    <w:p w14:paraId="05979F65" w14:textId="77777777" w:rsidR="009E7ED9" w:rsidRDefault="009E7ED9" w:rsidP="009E7ED9">
      <w:pPr>
        <w:pStyle w:val="TNCBodyText"/>
        <w:rPr>
          <w:rFonts w:ascii="Calibri" w:hAnsi="Calibri" w:cs="Calibri"/>
          <w:b/>
          <w:bCs/>
          <w:sz w:val="24"/>
          <w:szCs w:val="24"/>
        </w:rPr>
      </w:pPr>
    </w:p>
    <w:p w14:paraId="567D5109" w14:textId="6FCC2440" w:rsidR="009E7ED9" w:rsidRPr="007F331E" w:rsidRDefault="009E7ED9" w:rsidP="009E7ED9">
      <w:pPr>
        <w:pStyle w:val="TNCBodyText"/>
        <w:rPr>
          <w:rFonts w:ascii="Calibri" w:hAnsi="Calibri" w:cs="Calibri"/>
          <w:b/>
          <w:bCs/>
          <w:sz w:val="24"/>
          <w:szCs w:val="24"/>
        </w:rPr>
      </w:pPr>
      <w:r w:rsidRPr="007F331E">
        <w:rPr>
          <w:rFonts w:ascii="Calibri" w:hAnsi="Calibri" w:cs="Calibri"/>
          <w:b/>
          <w:bCs/>
          <w:sz w:val="24"/>
          <w:szCs w:val="24"/>
        </w:rPr>
        <w:t>Statement of intent</w:t>
      </w:r>
    </w:p>
    <w:p w14:paraId="209AA954" w14:textId="77777777" w:rsidR="009E7ED9" w:rsidRPr="007F331E" w:rsidRDefault="009E7ED9" w:rsidP="009E7ED9">
      <w:pPr>
        <w:pStyle w:val="TNCBodyText"/>
        <w:rPr>
          <w:rFonts w:ascii="Calibri" w:hAnsi="Calibri" w:cs="Calibri"/>
          <w:bCs/>
          <w:sz w:val="24"/>
          <w:szCs w:val="24"/>
        </w:rPr>
      </w:pPr>
      <w:r w:rsidRPr="007F331E">
        <w:rPr>
          <w:rFonts w:ascii="Calibri" w:hAnsi="Calibri" w:cs="Calibri"/>
          <w:bCs/>
          <w:sz w:val="24"/>
          <w:szCs w:val="24"/>
        </w:rPr>
        <w:t xml:space="preserve">At </w:t>
      </w:r>
      <w:r w:rsidRPr="007F331E">
        <w:rPr>
          <w:rFonts w:ascii="Calibri" w:hAnsi="Calibri" w:cs="Calibri"/>
          <w:sz w:val="24"/>
          <w:szCs w:val="24"/>
        </w:rPr>
        <w:t>John Grant School</w:t>
      </w:r>
      <w:r w:rsidRPr="007F331E">
        <w:rPr>
          <w:rFonts w:ascii="Calibri" w:hAnsi="Calibri" w:cs="Calibri"/>
          <w:b/>
          <w:bCs/>
          <w:sz w:val="24"/>
          <w:szCs w:val="24"/>
        </w:rPr>
        <w:t xml:space="preserve"> </w:t>
      </w:r>
      <w:r w:rsidRPr="007F331E">
        <w:rPr>
          <w:rFonts w:ascii="Calibri" w:hAnsi="Calibri" w:cs="Calibri"/>
          <w:bCs/>
          <w:sz w:val="24"/>
          <w:szCs w:val="24"/>
        </w:rPr>
        <w:t xml:space="preserve">we recognise that suspension and exclusion of pupils may be necessary where there has been a serious breach, or consistent breaches, of the school’s </w:t>
      </w:r>
      <w:r w:rsidRPr="007F331E">
        <w:rPr>
          <w:rFonts w:ascii="Calibri" w:hAnsi="Calibri" w:cs="Calibri"/>
          <w:sz w:val="24"/>
          <w:szCs w:val="24"/>
        </w:rPr>
        <w:t xml:space="preserve">Behaviour Policy. </w:t>
      </w:r>
      <w:r w:rsidRPr="007F331E">
        <w:rPr>
          <w:rFonts w:ascii="Calibri" w:hAnsi="Calibri" w:cs="Calibri"/>
          <w:bCs/>
          <w:sz w:val="24"/>
          <w:szCs w:val="24"/>
        </w:rPr>
        <w:t xml:space="preserve">Suspending or excluding a pupil may also be required in instances </w:t>
      </w:r>
      <w:proofErr w:type="gramStart"/>
      <w:r w:rsidRPr="007F331E">
        <w:rPr>
          <w:rFonts w:ascii="Calibri" w:hAnsi="Calibri" w:cs="Calibri"/>
          <w:bCs/>
          <w:sz w:val="24"/>
          <w:szCs w:val="24"/>
        </w:rPr>
        <w:t>where</w:t>
      </w:r>
      <w:proofErr w:type="gramEnd"/>
      <w:r w:rsidRPr="007F331E">
        <w:rPr>
          <w:rFonts w:ascii="Calibri" w:hAnsi="Calibri" w:cs="Calibri"/>
          <w:bCs/>
          <w:sz w:val="24"/>
          <w:szCs w:val="24"/>
        </w:rPr>
        <w:t xml:space="preserve"> allowing the pupil to remain in school would be damaging to the education and welfare of themselves or others; in all cases, suspending or excluding pupils should only be used as a means of last resort.</w:t>
      </w:r>
    </w:p>
    <w:p w14:paraId="685EB3EF" w14:textId="77777777" w:rsidR="009E7ED9" w:rsidRPr="007F331E" w:rsidRDefault="009E7ED9" w:rsidP="009E7ED9">
      <w:pPr>
        <w:pStyle w:val="TNCBodyText"/>
        <w:rPr>
          <w:rFonts w:ascii="Calibri" w:hAnsi="Calibri" w:cs="Calibri"/>
          <w:bCs/>
          <w:sz w:val="24"/>
          <w:szCs w:val="24"/>
        </w:rPr>
      </w:pPr>
      <w:r w:rsidRPr="007F331E">
        <w:rPr>
          <w:rFonts w:ascii="Calibri" w:hAnsi="Calibri" w:cs="Calibri"/>
          <w:bCs/>
          <w:sz w:val="24"/>
          <w:szCs w:val="24"/>
        </w:rPr>
        <w:t>The school has created this policy to clearly define the legal responsibilities of the headteacher, governing board and LA when responding to pupil suspensions and exclusions, to ensure that they are dealt with both fairly and lawfully, and in line with DfE statutory guidance. This policy also aims to secure a pupil’s right to an education despite having been suspended or excluded, by ensuring that appropriate arrangements are in place.</w:t>
      </w:r>
    </w:p>
    <w:p w14:paraId="1429CF6A" w14:textId="77777777" w:rsidR="009E7ED9" w:rsidRPr="007F331E" w:rsidRDefault="009E7ED9" w:rsidP="009E7ED9">
      <w:pPr>
        <w:pStyle w:val="TNCBodyText"/>
        <w:rPr>
          <w:rFonts w:ascii="Calibri" w:hAnsi="Calibri" w:cs="Calibri"/>
          <w:bCs/>
          <w:sz w:val="24"/>
          <w:szCs w:val="24"/>
        </w:rPr>
      </w:pPr>
      <w:r w:rsidRPr="007F331E">
        <w:rPr>
          <w:rFonts w:ascii="Calibri" w:hAnsi="Calibri" w:cs="Calibri"/>
          <w:bCs/>
          <w:sz w:val="24"/>
          <w:szCs w:val="24"/>
        </w:rPr>
        <w:t xml:space="preserve">A </w:t>
      </w:r>
      <w:r w:rsidRPr="007F331E">
        <w:rPr>
          <w:rFonts w:ascii="Calibri" w:hAnsi="Calibri" w:cs="Calibri"/>
          <w:b/>
          <w:sz w:val="24"/>
          <w:szCs w:val="24"/>
        </w:rPr>
        <w:t>“suspension”</w:t>
      </w:r>
      <w:r w:rsidRPr="007F331E">
        <w:rPr>
          <w:rFonts w:ascii="Calibri" w:hAnsi="Calibri" w:cs="Calibri"/>
          <w:bCs/>
          <w:sz w:val="24"/>
          <w:szCs w:val="24"/>
        </w:rP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w:t>
      </w:r>
    </w:p>
    <w:p w14:paraId="2306C517" w14:textId="77777777" w:rsidR="009E7ED9" w:rsidRPr="007F331E" w:rsidRDefault="009E7ED9" w:rsidP="009E7ED9">
      <w:pPr>
        <w:pStyle w:val="TNCBodyText"/>
        <w:rPr>
          <w:rFonts w:ascii="Calibri" w:hAnsi="Calibri" w:cs="Calibri"/>
          <w:sz w:val="24"/>
          <w:szCs w:val="24"/>
        </w:rPr>
      </w:pPr>
      <w:r w:rsidRPr="007F331E">
        <w:rPr>
          <w:rFonts w:ascii="Calibri" w:hAnsi="Calibri" w:cs="Calibri"/>
          <w:sz w:val="24"/>
          <w:szCs w:val="24"/>
        </w:rPr>
        <w:t xml:space="preserve">An </w:t>
      </w:r>
      <w:r w:rsidRPr="007F331E">
        <w:rPr>
          <w:rFonts w:ascii="Calibri" w:hAnsi="Calibri" w:cs="Calibri"/>
          <w:b/>
          <w:sz w:val="24"/>
          <w:szCs w:val="24"/>
        </w:rPr>
        <w:t>“exclusion”</w:t>
      </w:r>
      <w:r w:rsidRPr="007F331E">
        <w:rPr>
          <w:rFonts w:ascii="Calibri" w:hAnsi="Calibri" w:cs="Calibri"/>
          <w:sz w:val="24"/>
          <w:szCs w:val="24"/>
        </w:rPr>
        <w:t xml:space="preserve"> is defined as the permanent removal of a pupil from the school, in response to a serious breach or persistent breaches of the school’s Behaviour Policy, and </w:t>
      </w:r>
      <w:proofErr w:type="gramStart"/>
      <w:r w:rsidRPr="007F331E">
        <w:rPr>
          <w:rFonts w:ascii="Calibri" w:hAnsi="Calibri" w:cs="Calibri"/>
          <w:sz w:val="24"/>
          <w:szCs w:val="24"/>
        </w:rPr>
        <w:t>where</w:t>
      </w:r>
      <w:proofErr w:type="gramEnd"/>
      <w:r w:rsidRPr="007F331E">
        <w:rPr>
          <w:rFonts w:ascii="Calibri" w:hAnsi="Calibri" w:cs="Calibri"/>
          <w:sz w:val="24"/>
          <w:szCs w:val="24"/>
        </w:rPr>
        <w:t xml:space="preserve"> allowing the pupil to remain in school would seriously harm the education or welfare of the pupils or staff in the school.</w:t>
      </w:r>
      <w:r w:rsidRPr="007F331E">
        <w:rPr>
          <w:rFonts w:ascii="Calibri" w:hAnsi="Calibri" w:cs="Calibri"/>
          <w:sz w:val="24"/>
          <w:szCs w:val="24"/>
        </w:rPr>
        <w:cr/>
      </w:r>
      <w:r w:rsidRPr="007F331E">
        <w:rPr>
          <w:rFonts w:ascii="Calibri" w:hAnsi="Calibri" w:cs="Calibri"/>
          <w:sz w:val="24"/>
          <w:szCs w:val="24"/>
        </w:rPr>
        <w:br w:type="page"/>
      </w:r>
    </w:p>
    <w:p w14:paraId="55C3C3F1" w14:textId="77777777" w:rsidR="009E7ED9" w:rsidRPr="007F331E" w:rsidRDefault="009E7ED9" w:rsidP="009E7ED9">
      <w:pPr>
        <w:pStyle w:val="Heading2"/>
        <w:ind w:left="425" w:hanging="425"/>
        <w:rPr>
          <w:rFonts w:ascii="Calibri" w:hAnsi="Calibri" w:cs="Calibri"/>
          <w:color w:val="auto"/>
          <w:sz w:val="24"/>
          <w:szCs w:val="24"/>
        </w:rPr>
      </w:pPr>
      <w:bookmarkStart w:id="0" w:name="_Legal_framework"/>
      <w:bookmarkStart w:id="1" w:name="LF"/>
      <w:bookmarkEnd w:id="0"/>
      <w:r w:rsidRPr="007F331E">
        <w:rPr>
          <w:rFonts w:ascii="Calibri" w:hAnsi="Calibri" w:cs="Calibri"/>
          <w:color w:val="auto"/>
          <w:sz w:val="24"/>
          <w:szCs w:val="24"/>
        </w:rPr>
        <w:lastRenderedPageBreak/>
        <w:t xml:space="preserve">Legal framework </w:t>
      </w:r>
    </w:p>
    <w:bookmarkEnd w:id="1"/>
    <w:p w14:paraId="5240E46B" w14:textId="77777777" w:rsidR="009E7ED9" w:rsidRPr="007F331E" w:rsidRDefault="009E7ED9" w:rsidP="009E7ED9">
      <w:pPr>
        <w:pStyle w:val="TNCBodyText"/>
        <w:rPr>
          <w:rFonts w:ascii="Calibri" w:hAnsi="Calibri" w:cs="Calibri"/>
          <w:sz w:val="24"/>
          <w:szCs w:val="24"/>
        </w:rPr>
      </w:pPr>
      <w:r w:rsidRPr="007F331E">
        <w:rPr>
          <w:rFonts w:ascii="Calibri" w:hAnsi="Calibri" w:cs="Calibri"/>
          <w:sz w:val="24"/>
          <w:szCs w:val="24"/>
        </w:rPr>
        <w:t xml:space="preserve">This policy has due regard to all relevant legislation including, but not limited to, the following: </w:t>
      </w:r>
    </w:p>
    <w:p w14:paraId="1E87BDFB" w14:textId="77777777" w:rsidR="009E7ED9" w:rsidRPr="007F331E" w:rsidRDefault="009E7ED9" w:rsidP="009E7ED9">
      <w:pPr>
        <w:pStyle w:val="TNCBodyText"/>
        <w:numPr>
          <w:ilvl w:val="0"/>
          <w:numId w:val="2"/>
        </w:numPr>
        <w:rPr>
          <w:rFonts w:ascii="Calibri" w:hAnsi="Calibri" w:cs="Calibri"/>
          <w:sz w:val="24"/>
          <w:szCs w:val="24"/>
        </w:rPr>
      </w:pPr>
      <w:r w:rsidRPr="007F331E">
        <w:rPr>
          <w:rFonts w:ascii="Calibri" w:hAnsi="Calibri" w:cs="Calibri"/>
          <w:sz w:val="24"/>
          <w:szCs w:val="24"/>
        </w:rPr>
        <w:t>Education Act 1996</w:t>
      </w:r>
    </w:p>
    <w:p w14:paraId="5890093E" w14:textId="77777777" w:rsidR="009E7ED9" w:rsidRPr="007F331E" w:rsidRDefault="009E7ED9" w:rsidP="009E7ED9">
      <w:pPr>
        <w:pStyle w:val="TNCBodyText"/>
        <w:numPr>
          <w:ilvl w:val="0"/>
          <w:numId w:val="2"/>
        </w:numPr>
        <w:rPr>
          <w:rFonts w:ascii="Calibri" w:hAnsi="Calibri" w:cs="Calibri"/>
          <w:sz w:val="24"/>
          <w:szCs w:val="24"/>
        </w:rPr>
      </w:pPr>
      <w:r w:rsidRPr="007F331E">
        <w:rPr>
          <w:rFonts w:ascii="Calibri" w:hAnsi="Calibri" w:cs="Calibri"/>
          <w:sz w:val="24"/>
          <w:szCs w:val="24"/>
        </w:rPr>
        <w:t xml:space="preserve">Education Act 2002 </w:t>
      </w:r>
    </w:p>
    <w:p w14:paraId="28BF7F2B" w14:textId="77777777" w:rsidR="009E7ED9" w:rsidRPr="007F331E" w:rsidRDefault="009E7ED9" w:rsidP="009E7ED9">
      <w:pPr>
        <w:pStyle w:val="TNCBodyText"/>
        <w:numPr>
          <w:ilvl w:val="0"/>
          <w:numId w:val="2"/>
        </w:numPr>
        <w:rPr>
          <w:rFonts w:ascii="Calibri" w:hAnsi="Calibri" w:cs="Calibri"/>
          <w:sz w:val="24"/>
          <w:szCs w:val="24"/>
        </w:rPr>
      </w:pPr>
      <w:r w:rsidRPr="007F331E">
        <w:rPr>
          <w:rFonts w:ascii="Calibri" w:hAnsi="Calibri" w:cs="Calibri"/>
          <w:sz w:val="24"/>
          <w:szCs w:val="24"/>
        </w:rPr>
        <w:t>Education and Inspections Act 2006</w:t>
      </w:r>
    </w:p>
    <w:p w14:paraId="557E60D2" w14:textId="77777777" w:rsidR="009E7ED9" w:rsidRPr="007F331E" w:rsidRDefault="009E7ED9" w:rsidP="009E7ED9">
      <w:pPr>
        <w:pStyle w:val="TNCBodyText"/>
        <w:numPr>
          <w:ilvl w:val="0"/>
          <w:numId w:val="2"/>
        </w:numPr>
        <w:rPr>
          <w:rFonts w:ascii="Calibri" w:hAnsi="Calibri" w:cs="Calibri"/>
          <w:sz w:val="24"/>
          <w:szCs w:val="24"/>
        </w:rPr>
      </w:pPr>
      <w:r w:rsidRPr="007F331E">
        <w:rPr>
          <w:rFonts w:ascii="Calibri" w:hAnsi="Calibri" w:cs="Calibri"/>
          <w:sz w:val="24"/>
          <w:szCs w:val="24"/>
        </w:rPr>
        <w:t xml:space="preserve">The Education (Provision of Full-Time Education for Excluded Pupils) (England) Regulations 2007 </w:t>
      </w:r>
    </w:p>
    <w:p w14:paraId="6C554E13" w14:textId="77777777" w:rsidR="009E7ED9" w:rsidRPr="007F331E" w:rsidRDefault="009E7ED9" w:rsidP="009E7ED9">
      <w:pPr>
        <w:pStyle w:val="TNCBodyText"/>
        <w:numPr>
          <w:ilvl w:val="0"/>
          <w:numId w:val="2"/>
        </w:numPr>
        <w:rPr>
          <w:rFonts w:ascii="Calibri" w:hAnsi="Calibri" w:cs="Calibri"/>
          <w:sz w:val="24"/>
          <w:szCs w:val="24"/>
        </w:rPr>
      </w:pPr>
      <w:r w:rsidRPr="007F331E">
        <w:rPr>
          <w:rFonts w:ascii="Calibri" w:hAnsi="Calibri" w:cs="Calibri"/>
          <w:sz w:val="24"/>
          <w:szCs w:val="24"/>
        </w:rPr>
        <w:t>Equality Act 2010</w:t>
      </w:r>
    </w:p>
    <w:p w14:paraId="1FA11D6D" w14:textId="77777777" w:rsidR="009E7ED9" w:rsidRPr="007F331E" w:rsidRDefault="009E7ED9" w:rsidP="009E7ED9">
      <w:pPr>
        <w:pStyle w:val="TNCBodyText"/>
        <w:numPr>
          <w:ilvl w:val="0"/>
          <w:numId w:val="2"/>
        </w:numPr>
        <w:rPr>
          <w:rFonts w:ascii="Calibri" w:hAnsi="Calibri" w:cs="Calibri"/>
          <w:sz w:val="24"/>
          <w:szCs w:val="24"/>
        </w:rPr>
      </w:pPr>
      <w:r w:rsidRPr="007F331E">
        <w:rPr>
          <w:rFonts w:ascii="Calibri" w:hAnsi="Calibri" w:cs="Calibri"/>
          <w:sz w:val="24"/>
          <w:szCs w:val="24"/>
        </w:rPr>
        <w:t>The School Discipline (Pupil Exclusions and Reviews) (England) (Amendment and Transitional Provision) Regulations 2023</w:t>
      </w:r>
    </w:p>
    <w:p w14:paraId="02F28F15" w14:textId="77777777" w:rsidR="009E7ED9" w:rsidRPr="007F331E" w:rsidRDefault="009E7ED9" w:rsidP="009E7ED9">
      <w:pPr>
        <w:pStyle w:val="TNCBodyText"/>
        <w:numPr>
          <w:ilvl w:val="0"/>
          <w:numId w:val="2"/>
        </w:numPr>
        <w:rPr>
          <w:rFonts w:ascii="Calibri" w:hAnsi="Calibri" w:cs="Calibri"/>
          <w:sz w:val="24"/>
          <w:szCs w:val="24"/>
        </w:rPr>
      </w:pPr>
      <w:r w:rsidRPr="007F331E">
        <w:rPr>
          <w:rFonts w:ascii="Calibri" w:hAnsi="Calibri" w:cs="Calibri"/>
          <w:sz w:val="24"/>
          <w:szCs w:val="24"/>
        </w:rPr>
        <w:t>The European Convention on Human Rights (ECHR)</w:t>
      </w:r>
    </w:p>
    <w:p w14:paraId="2E67B9C0" w14:textId="77777777" w:rsidR="009E7ED9" w:rsidRPr="007F331E" w:rsidRDefault="009E7ED9" w:rsidP="009E7ED9">
      <w:pPr>
        <w:pStyle w:val="TNCBodyText"/>
        <w:rPr>
          <w:rFonts w:ascii="Calibri" w:hAnsi="Calibri" w:cs="Calibri"/>
          <w:sz w:val="24"/>
          <w:szCs w:val="24"/>
        </w:rPr>
      </w:pPr>
      <w:r w:rsidRPr="007F331E">
        <w:rPr>
          <w:rFonts w:ascii="Calibri" w:hAnsi="Calibri" w:cs="Calibri"/>
          <w:sz w:val="24"/>
          <w:szCs w:val="24"/>
        </w:rPr>
        <w:t>This policy also has due regard to statutory and non-statutory guidance, including, but not limited to, the following:</w:t>
      </w:r>
    </w:p>
    <w:p w14:paraId="5C4DB92B" w14:textId="77777777" w:rsidR="009E7ED9" w:rsidRPr="007F331E" w:rsidRDefault="009E7ED9" w:rsidP="009E7ED9">
      <w:pPr>
        <w:pStyle w:val="TNCBodyText"/>
        <w:numPr>
          <w:ilvl w:val="0"/>
          <w:numId w:val="3"/>
        </w:numPr>
        <w:rPr>
          <w:rFonts w:ascii="Calibri" w:hAnsi="Calibri" w:cs="Calibri"/>
          <w:sz w:val="24"/>
          <w:szCs w:val="24"/>
        </w:rPr>
      </w:pPr>
      <w:r w:rsidRPr="007F331E">
        <w:rPr>
          <w:rFonts w:ascii="Calibri" w:hAnsi="Calibri" w:cs="Calibri"/>
          <w:sz w:val="24"/>
          <w:szCs w:val="24"/>
        </w:rPr>
        <w:t xml:space="preserve">DfE ‘Suspension and Permanent Exclusion from maintained schools, academies and pupil referral units in England, including pupil movement’ </w:t>
      </w:r>
    </w:p>
    <w:p w14:paraId="2CC57CDD" w14:textId="77777777" w:rsidR="009E7ED9" w:rsidRPr="007F331E" w:rsidRDefault="009E7ED9" w:rsidP="009E7ED9">
      <w:pPr>
        <w:pStyle w:val="TNCBodyText"/>
        <w:numPr>
          <w:ilvl w:val="0"/>
          <w:numId w:val="3"/>
        </w:numPr>
        <w:rPr>
          <w:rFonts w:ascii="Calibri" w:hAnsi="Calibri" w:cs="Calibri"/>
          <w:sz w:val="24"/>
          <w:szCs w:val="24"/>
        </w:rPr>
      </w:pPr>
      <w:r w:rsidRPr="007F331E">
        <w:rPr>
          <w:rFonts w:ascii="Calibri" w:hAnsi="Calibri" w:cs="Calibri"/>
          <w:sz w:val="24"/>
          <w:szCs w:val="24"/>
        </w:rPr>
        <w:t>DfE ‘Behaviour in Schools’</w:t>
      </w:r>
    </w:p>
    <w:p w14:paraId="2F5406BF" w14:textId="77777777" w:rsidR="009E7ED9" w:rsidRPr="007F331E" w:rsidRDefault="009E7ED9" w:rsidP="009E7ED9">
      <w:pPr>
        <w:pStyle w:val="TNCBodyText"/>
        <w:numPr>
          <w:ilvl w:val="0"/>
          <w:numId w:val="3"/>
        </w:numPr>
        <w:rPr>
          <w:rFonts w:ascii="Calibri" w:hAnsi="Calibri" w:cs="Calibri"/>
          <w:sz w:val="24"/>
          <w:szCs w:val="24"/>
        </w:rPr>
      </w:pPr>
      <w:r w:rsidRPr="007F331E">
        <w:rPr>
          <w:rFonts w:ascii="Calibri" w:hAnsi="Calibri" w:cs="Calibri"/>
          <w:sz w:val="24"/>
          <w:szCs w:val="24"/>
        </w:rPr>
        <w:t>DfE ‘Special educational needs and disability code of practice: 0 to 25 years’</w:t>
      </w:r>
    </w:p>
    <w:p w14:paraId="4593ACC5" w14:textId="77777777" w:rsidR="009E7ED9" w:rsidRPr="007F331E" w:rsidRDefault="009E7ED9" w:rsidP="009E7ED9">
      <w:pPr>
        <w:pStyle w:val="TNCBodyText"/>
        <w:numPr>
          <w:ilvl w:val="0"/>
          <w:numId w:val="3"/>
        </w:numPr>
        <w:rPr>
          <w:rFonts w:ascii="Calibri" w:hAnsi="Calibri" w:cs="Calibri"/>
          <w:sz w:val="24"/>
          <w:szCs w:val="24"/>
        </w:rPr>
      </w:pPr>
      <w:r w:rsidRPr="007F331E">
        <w:rPr>
          <w:rFonts w:ascii="Calibri" w:hAnsi="Calibri" w:cs="Calibri"/>
          <w:sz w:val="24"/>
          <w:szCs w:val="24"/>
        </w:rPr>
        <w:t>DfE ‘Mental health and behaviour in schools’</w:t>
      </w:r>
    </w:p>
    <w:p w14:paraId="4D57E42C" w14:textId="77777777" w:rsidR="009E7ED9" w:rsidRPr="007F331E" w:rsidRDefault="009E7ED9" w:rsidP="009E7ED9">
      <w:pPr>
        <w:pStyle w:val="TNCBodyText"/>
        <w:rPr>
          <w:rFonts w:ascii="Calibri" w:hAnsi="Calibri" w:cs="Calibri"/>
          <w:sz w:val="24"/>
          <w:szCs w:val="24"/>
        </w:rPr>
      </w:pPr>
      <w:r w:rsidRPr="007F331E">
        <w:rPr>
          <w:rFonts w:ascii="Calibri" w:hAnsi="Calibri" w:cs="Calibri"/>
          <w:sz w:val="24"/>
          <w:szCs w:val="24"/>
        </w:rPr>
        <w:t>This policy operates in conjunction with the following school policies:</w:t>
      </w:r>
    </w:p>
    <w:p w14:paraId="3FD94753" w14:textId="77777777" w:rsidR="009E7ED9" w:rsidRPr="007F331E" w:rsidRDefault="009E7ED9" w:rsidP="009E7ED9">
      <w:pPr>
        <w:pStyle w:val="TNCBodyText"/>
        <w:numPr>
          <w:ilvl w:val="0"/>
          <w:numId w:val="4"/>
        </w:numPr>
        <w:rPr>
          <w:rFonts w:ascii="Calibri" w:hAnsi="Calibri" w:cs="Calibri"/>
          <w:sz w:val="24"/>
          <w:szCs w:val="24"/>
        </w:rPr>
      </w:pPr>
      <w:r w:rsidRPr="007F331E">
        <w:rPr>
          <w:rFonts w:ascii="Calibri" w:hAnsi="Calibri" w:cs="Calibri"/>
          <w:sz w:val="24"/>
          <w:szCs w:val="24"/>
        </w:rPr>
        <w:t>Behaviour Policy</w:t>
      </w:r>
    </w:p>
    <w:p w14:paraId="0D91FEBE" w14:textId="77777777" w:rsidR="009E7ED9" w:rsidRPr="007F331E" w:rsidRDefault="009E7ED9" w:rsidP="009E7ED9">
      <w:pPr>
        <w:pStyle w:val="TNCBodyText"/>
        <w:numPr>
          <w:ilvl w:val="0"/>
          <w:numId w:val="4"/>
        </w:numPr>
        <w:rPr>
          <w:rFonts w:ascii="Calibri" w:hAnsi="Calibri" w:cs="Calibri"/>
          <w:sz w:val="24"/>
          <w:szCs w:val="24"/>
        </w:rPr>
      </w:pPr>
      <w:r w:rsidRPr="007F331E">
        <w:rPr>
          <w:rFonts w:ascii="Calibri" w:hAnsi="Calibri" w:cs="Calibri"/>
          <w:sz w:val="24"/>
          <w:szCs w:val="24"/>
        </w:rPr>
        <w:t>Anti-bullying Policy</w:t>
      </w:r>
    </w:p>
    <w:p w14:paraId="34E66C5B" w14:textId="77777777" w:rsidR="009E7ED9" w:rsidRPr="007F331E" w:rsidRDefault="009E7ED9" w:rsidP="009E7ED9">
      <w:pPr>
        <w:pStyle w:val="TNCBodyText"/>
        <w:numPr>
          <w:ilvl w:val="0"/>
          <w:numId w:val="4"/>
        </w:numPr>
        <w:rPr>
          <w:rFonts w:ascii="Calibri" w:hAnsi="Calibri" w:cs="Calibri"/>
          <w:sz w:val="24"/>
          <w:szCs w:val="24"/>
        </w:rPr>
      </w:pPr>
      <w:r w:rsidRPr="007F331E">
        <w:rPr>
          <w:rFonts w:ascii="Calibri" w:hAnsi="Calibri" w:cs="Calibri"/>
          <w:sz w:val="24"/>
          <w:szCs w:val="24"/>
        </w:rPr>
        <w:t>Special Educational Needs and Disabilities (SEND) Policy</w:t>
      </w:r>
    </w:p>
    <w:p w14:paraId="06D7B4C8" w14:textId="77777777" w:rsidR="009E7ED9" w:rsidRPr="007F331E" w:rsidRDefault="009E7ED9" w:rsidP="009E7ED9">
      <w:pPr>
        <w:pStyle w:val="TNCBodyText"/>
        <w:numPr>
          <w:ilvl w:val="0"/>
          <w:numId w:val="4"/>
        </w:numPr>
        <w:rPr>
          <w:rFonts w:ascii="Calibri" w:hAnsi="Calibri" w:cs="Calibri"/>
          <w:sz w:val="24"/>
          <w:szCs w:val="24"/>
        </w:rPr>
      </w:pPr>
      <w:r w:rsidRPr="007F331E">
        <w:rPr>
          <w:rFonts w:ascii="Calibri" w:hAnsi="Calibri" w:cs="Calibri"/>
          <w:sz w:val="24"/>
          <w:szCs w:val="24"/>
        </w:rPr>
        <w:t>Social, Emotional and Mental Health (SEMH) Policy</w:t>
      </w:r>
    </w:p>
    <w:p w14:paraId="1C3F0858" w14:textId="77777777" w:rsidR="009E7ED9" w:rsidRPr="007F331E" w:rsidRDefault="009E7ED9" w:rsidP="009E7ED9">
      <w:pPr>
        <w:pStyle w:val="TNCBodyText"/>
        <w:numPr>
          <w:ilvl w:val="0"/>
          <w:numId w:val="4"/>
        </w:numPr>
        <w:rPr>
          <w:rFonts w:ascii="Calibri" w:hAnsi="Calibri" w:cs="Calibri"/>
          <w:sz w:val="24"/>
          <w:szCs w:val="24"/>
        </w:rPr>
      </w:pPr>
      <w:r w:rsidRPr="007F331E">
        <w:rPr>
          <w:rFonts w:ascii="Calibri" w:hAnsi="Calibri" w:cs="Calibri"/>
          <w:sz w:val="24"/>
          <w:szCs w:val="24"/>
        </w:rPr>
        <w:t>Child Protection and Safeguarding Policy</w:t>
      </w:r>
    </w:p>
    <w:p w14:paraId="392FC779" w14:textId="77777777" w:rsidR="009E7ED9" w:rsidRPr="007F331E" w:rsidRDefault="009E7ED9" w:rsidP="009E7ED9">
      <w:pPr>
        <w:pStyle w:val="Heading2"/>
        <w:ind w:left="425"/>
        <w:rPr>
          <w:rFonts w:ascii="Calibri" w:hAnsi="Calibri" w:cs="Calibri"/>
          <w:color w:val="auto"/>
          <w:sz w:val="24"/>
          <w:szCs w:val="24"/>
        </w:rPr>
      </w:pPr>
      <w:bookmarkStart w:id="2" w:name="_Roles_and_responsibilities"/>
      <w:bookmarkStart w:id="3" w:name="_Monitoring_and_review"/>
      <w:bookmarkStart w:id="4" w:name="_[Updated]_Roles_and"/>
      <w:bookmarkEnd w:id="2"/>
      <w:bookmarkEnd w:id="3"/>
      <w:bookmarkEnd w:id="4"/>
      <w:r w:rsidRPr="007F331E">
        <w:rPr>
          <w:rFonts w:ascii="Calibri" w:hAnsi="Calibri" w:cs="Calibri"/>
          <w:color w:val="auto"/>
          <w:sz w:val="24"/>
          <w:szCs w:val="24"/>
        </w:rPr>
        <w:t xml:space="preserve">Roles and responsibilities </w:t>
      </w:r>
    </w:p>
    <w:p w14:paraId="79044CF0" w14:textId="77777777" w:rsidR="009E7ED9" w:rsidRPr="007F331E" w:rsidRDefault="009E7ED9" w:rsidP="009E7ED9">
      <w:pPr>
        <w:pStyle w:val="TNCBodyText"/>
        <w:rPr>
          <w:rFonts w:ascii="Calibri" w:hAnsi="Calibri" w:cs="Calibri"/>
          <w:sz w:val="24"/>
          <w:szCs w:val="24"/>
        </w:rPr>
      </w:pPr>
      <w:r w:rsidRPr="007F331E">
        <w:rPr>
          <w:rFonts w:ascii="Calibri" w:hAnsi="Calibri" w:cs="Calibri"/>
          <w:sz w:val="24"/>
          <w:szCs w:val="24"/>
        </w:rPr>
        <w:t>The LA is responsible for:</w:t>
      </w:r>
    </w:p>
    <w:p w14:paraId="3508872D" w14:textId="77777777" w:rsidR="009E7ED9" w:rsidRPr="007F331E" w:rsidRDefault="009E7ED9" w:rsidP="009E7ED9">
      <w:pPr>
        <w:pStyle w:val="TNCBodyText"/>
        <w:numPr>
          <w:ilvl w:val="0"/>
          <w:numId w:val="5"/>
        </w:numPr>
        <w:rPr>
          <w:rFonts w:ascii="Calibri" w:hAnsi="Calibri" w:cs="Calibri"/>
          <w:sz w:val="24"/>
          <w:szCs w:val="24"/>
        </w:rPr>
      </w:pPr>
      <w:r w:rsidRPr="007F331E">
        <w:rPr>
          <w:rFonts w:ascii="Calibri" w:hAnsi="Calibri" w:cs="Calibri"/>
          <w:sz w:val="24"/>
          <w:szCs w:val="24"/>
        </w:rPr>
        <w:lastRenderedPageBreak/>
        <w:t>Having due regard to the relevant statutory guidance when carrying out its duties in relation to the education of LAC.</w:t>
      </w:r>
    </w:p>
    <w:p w14:paraId="2336AA15" w14:textId="77777777" w:rsidR="009E7ED9" w:rsidRPr="007F331E" w:rsidRDefault="009E7ED9" w:rsidP="009E7ED9">
      <w:pPr>
        <w:pStyle w:val="TNCBodyText"/>
        <w:numPr>
          <w:ilvl w:val="0"/>
          <w:numId w:val="5"/>
        </w:numPr>
        <w:rPr>
          <w:rFonts w:ascii="Calibri" w:hAnsi="Calibri" w:cs="Calibri"/>
          <w:sz w:val="24"/>
          <w:szCs w:val="24"/>
        </w:rPr>
      </w:pPr>
      <w:r w:rsidRPr="007F331E">
        <w:rPr>
          <w:rFonts w:ascii="Calibri" w:hAnsi="Calibri" w:cs="Calibri"/>
          <w:sz w:val="24"/>
          <w:szCs w:val="24"/>
        </w:rPr>
        <w:t>Arranging suitable full-time education for any pupil of compulsory school age excluded permanently, in coordination with the school.</w:t>
      </w:r>
    </w:p>
    <w:p w14:paraId="0327AE37" w14:textId="77777777" w:rsidR="009E7ED9" w:rsidRPr="007F331E" w:rsidRDefault="009E7ED9" w:rsidP="009E7ED9">
      <w:pPr>
        <w:pStyle w:val="TNCBodyText"/>
        <w:numPr>
          <w:ilvl w:val="0"/>
          <w:numId w:val="5"/>
        </w:numPr>
        <w:rPr>
          <w:rFonts w:ascii="Calibri" w:hAnsi="Calibri" w:cs="Calibri"/>
          <w:sz w:val="24"/>
          <w:szCs w:val="24"/>
        </w:rPr>
      </w:pPr>
      <w:r w:rsidRPr="007F331E">
        <w:rPr>
          <w:rFonts w:ascii="Calibri" w:hAnsi="Calibri" w:cs="Calibri"/>
          <w:sz w:val="24"/>
          <w:szCs w:val="24"/>
        </w:rPr>
        <w:t>Reviewing and reassessing pupils’ needs in consultation with their parents where they have an EHC plan and are excluded permanently, with a view to identifying a new placement.</w:t>
      </w:r>
    </w:p>
    <w:p w14:paraId="24532B81" w14:textId="77777777" w:rsidR="009E7ED9" w:rsidRPr="007F331E" w:rsidRDefault="009E7ED9" w:rsidP="009E7ED9">
      <w:pPr>
        <w:pStyle w:val="TNCBodyText"/>
        <w:numPr>
          <w:ilvl w:val="0"/>
          <w:numId w:val="5"/>
        </w:numPr>
        <w:rPr>
          <w:rFonts w:ascii="Calibri" w:hAnsi="Calibri" w:cs="Calibri"/>
          <w:sz w:val="24"/>
          <w:szCs w:val="24"/>
        </w:rPr>
      </w:pPr>
      <w:bookmarkStart w:id="5" w:name="_Hlk99625516"/>
      <w:r w:rsidRPr="007F331E">
        <w:rPr>
          <w:rFonts w:ascii="Calibri" w:hAnsi="Calibri" w:cs="Calibri"/>
          <w:sz w:val="24"/>
          <w:szCs w:val="24"/>
        </w:rPr>
        <w:t xml:space="preserve">Arranging for an independent review panel hearing to review the decision of the governing board not to reinstate a permanently excluded pupil where required. </w:t>
      </w:r>
    </w:p>
    <w:p w14:paraId="25B8BE32" w14:textId="77777777" w:rsidR="009E7ED9" w:rsidRPr="007F331E" w:rsidRDefault="009E7ED9" w:rsidP="009E7ED9">
      <w:pPr>
        <w:pStyle w:val="TNCBodyText"/>
        <w:ind w:left="720"/>
        <w:rPr>
          <w:rFonts w:ascii="Calibri" w:hAnsi="Calibri" w:cs="Calibri"/>
          <w:sz w:val="24"/>
          <w:szCs w:val="24"/>
        </w:rPr>
      </w:pPr>
      <w:r w:rsidRPr="007F331E">
        <w:rPr>
          <w:rFonts w:ascii="Calibri" w:hAnsi="Calibri" w:cs="Calibri"/>
          <w:b/>
          <w:bCs/>
          <w:sz w:val="24"/>
          <w:szCs w:val="24"/>
        </w:rPr>
        <w:t xml:space="preserve"> </w:t>
      </w:r>
      <w:r w:rsidRPr="007F331E">
        <w:rPr>
          <w:rFonts w:ascii="Calibri" w:hAnsi="Calibri" w:cs="Calibri"/>
          <w:sz w:val="24"/>
          <w:szCs w:val="24"/>
        </w:rPr>
        <w:t xml:space="preserve">Arranging for the independent review panel hearing to be held via remote access </w:t>
      </w:r>
      <w:proofErr w:type="gramStart"/>
      <w:r w:rsidRPr="007F331E">
        <w:rPr>
          <w:rFonts w:ascii="Calibri" w:hAnsi="Calibri" w:cs="Calibri"/>
          <w:sz w:val="24"/>
          <w:szCs w:val="24"/>
        </w:rPr>
        <w:t>where</w:t>
      </w:r>
      <w:proofErr w:type="gramEnd"/>
      <w:r w:rsidRPr="007F331E">
        <w:rPr>
          <w:rFonts w:ascii="Calibri" w:hAnsi="Calibri" w:cs="Calibri"/>
          <w:sz w:val="24"/>
          <w:szCs w:val="24"/>
        </w:rPr>
        <w:t xml:space="preserve"> requested by parents or excluded pupils aged 18 and over.</w:t>
      </w:r>
    </w:p>
    <w:bookmarkEnd w:id="5"/>
    <w:p w14:paraId="3B6555D6" w14:textId="77777777" w:rsidR="009E7ED9" w:rsidRPr="007F331E" w:rsidRDefault="009E7ED9" w:rsidP="009E7ED9">
      <w:pPr>
        <w:pStyle w:val="TNCBodyText"/>
        <w:numPr>
          <w:ilvl w:val="0"/>
          <w:numId w:val="5"/>
        </w:numPr>
        <w:rPr>
          <w:rFonts w:ascii="Calibri" w:hAnsi="Calibri" w:cs="Calibri"/>
          <w:sz w:val="24"/>
          <w:szCs w:val="24"/>
        </w:rPr>
      </w:pPr>
      <w:r w:rsidRPr="007F331E">
        <w:rPr>
          <w:rFonts w:ascii="Calibri" w:hAnsi="Calibri" w:cs="Calibri"/>
          <w:sz w:val="24"/>
          <w:szCs w:val="24"/>
        </w:rPr>
        <w:t xml:space="preserve">Arranging the hearing without delay at a time, date and venue convenient for all parties. </w:t>
      </w:r>
    </w:p>
    <w:p w14:paraId="399ACC22" w14:textId="77777777" w:rsidR="009E7ED9" w:rsidRPr="007F331E" w:rsidRDefault="009E7ED9" w:rsidP="009E7ED9">
      <w:pPr>
        <w:pStyle w:val="TNCBodyText"/>
        <w:numPr>
          <w:ilvl w:val="0"/>
          <w:numId w:val="5"/>
        </w:numPr>
        <w:rPr>
          <w:rFonts w:ascii="Calibri" w:hAnsi="Calibri" w:cs="Calibri"/>
          <w:sz w:val="24"/>
          <w:szCs w:val="24"/>
        </w:rPr>
      </w:pPr>
      <w:r w:rsidRPr="007F331E">
        <w:rPr>
          <w:rFonts w:ascii="Calibri" w:hAnsi="Calibri" w:cs="Calibri"/>
          <w:sz w:val="24"/>
          <w:szCs w:val="24"/>
        </w:rPr>
        <w:t>Ensuring the independent review panel consists of three or five members as appropriate, which represent the required categories.</w:t>
      </w:r>
    </w:p>
    <w:p w14:paraId="02960295" w14:textId="77777777" w:rsidR="009E7ED9" w:rsidRPr="007F331E" w:rsidRDefault="009E7ED9" w:rsidP="009E7ED9">
      <w:pPr>
        <w:pStyle w:val="TNCBodyText"/>
        <w:numPr>
          <w:ilvl w:val="0"/>
          <w:numId w:val="5"/>
        </w:numPr>
        <w:rPr>
          <w:rFonts w:ascii="Calibri" w:hAnsi="Calibri" w:cs="Calibri"/>
          <w:sz w:val="24"/>
          <w:szCs w:val="24"/>
        </w:rPr>
      </w:pPr>
      <w:r w:rsidRPr="007F331E">
        <w:rPr>
          <w:rFonts w:ascii="Calibri" w:hAnsi="Calibri" w:cs="Calibri"/>
          <w:sz w:val="24"/>
          <w:szCs w:val="24"/>
        </w:rPr>
        <w:t>Ensuring all panel members and the clerk have received training within the two years prior to the date of the review.</w:t>
      </w:r>
    </w:p>
    <w:p w14:paraId="4FEDB384" w14:textId="77777777" w:rsidR="009E7ED9" w:rsidRPr="007F331E" w:rsidRDefault="009E7ED9" w:rsidP="009E7ED9">
      <w:pPr>
        <w:pStyle w:val="TNCBodyText"/>
        <w:numPr>
          <w:ilvl w:val="0"/>
          <w:numId w:val="5"/>
        </w:numPr>
        <w:rPr>
          <w:rFonts w:ascii="Calibri" w:hAnsi="Calibri" w:cs="Calibri"/>
          <w:sz w:val="24"/>
          <w:szCs w:val="24"/>
        </w:rPr>
      </w:pPr>
      <w:r w:rsidRPr="007F331E">
        <w:rPr>
          <w:rFonts w:ascii="Calibri" w:hAnsi="Calibri" w:cs="Calibri"/>
          <w:sz w:val="24"/>
          <w:szCs w:val="24"/>
        </w:rPr>
        <w:t>If requested by parents, appointing a SEND expert to attend the panel and covering the associated costs of this appointment.</w:t>
      </w:r>
    </w:p>
    <w:p w14:paraId="6D0CC14B" w14:textId="77777777" w:rsidR="009E7ED9" w:rsidRPr="007F331E" w:rsidRDefault="009E7ED9" w:rsidP="009E7ED9">
      <w:pPr>
        <w:pStyle w:val="TNCBodyText"/>
        <w:rPr>
          <w:rFonts w:ascii="Calibri" w:hAnsi="Calibri" w:cs="Calibri"/>
          <w:sz w:val="24"/>
          <w:szCs w:val="24"/>
        </w:rPr>
      </w:pPr>
      <w:r w:rsidRPr="007F331E">
        <w:rPr>
          <w:rFonts w:ascii="Calibri" w:hAnsi="Calibri" w:cs="Calibri"/>
          <w:sz w:val="24"/>
          <w:szCs w:val="24"/>
        </w:rPr>
        <w:t>The governing board is responsible for:</w:t>
      </w:r>
    </w:p>
    <w:p w14:paraId="1D605222"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Providing information to the LA about any suspensions and exclusions within the last 12 months.</w:t>
      </w:r>
    </w:p>
    <w:p w14:paraId="133BADCF"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 xml:space="preserve">Arranging suitable full-time education for any pupil of compulsory school age who is suspended, where required. </w:t>
      </w:r>
    </w:p>
    <w:p w14:paraId="73878E4D"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Considering parents’ representations about suspensions and exclusions within 15 school days of receiving notice if the appropriate requirements are met.</w:t>
      </w:r>
    </w:p>
    <w:p w14:paraId="326B1157"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Arranging the representation meeting at a time and date convenient to all parties, but in compliance with the statutory time limits.</w:t>
      </w:r>
    </w:p>
    <w:p w14:paraId="508509B3" w14:textId="77777777" w:rsidR="009E7ED9" w:rsidRPr="007F331E" w:rsidRDefault="009E7ED9" w:rsidP="009E7ED9">
      <w:pPr>
        <w:pStyle w:val="TNCBodyText"/>
        <w:numPr>
          <w:ilvl w:val="0"/>
          <w:numId w:val="12"/>
        </w:numPr>
        <w:rPr>
          <w:rFonts w:ascii="Calibri" w:hAnsi="Calibri" w:cs="Calibri"/>
          <w:sz w:val="24"/>
          <w:szCs w:val="24"/>
        </w:rPr>
      </w:pPr>
      <w:r w:rsidRPr="007F331E">
        <w:rPr>
          <w:rFonts w:ascii="Calibri" w:hAnsi="Calibri" w:cs="Calibri"/>
          <w:sz w:val="24"/>
          <w:szCs w:val="24"/>
        </w:rPr>
        <w:t xml:space="preserve">Arranging for the representation meeting to take place via remote access </w:t>
      </w:r>
      <w:proofErr w:type="gramStart"/>
      <w:r w:rsidRPr="007F331E">
        <w:rPr>
          <w:rFonts w:ascii="Calibri" w:hAnsi="Calibri" w:cs="Calibri"/>
          <w:sz w:val="24"/>
          <w:szCs w:val="24"/>
        </w:rPr>
        <w:t>where</w:t>
      </w:r>
      <w:proofErr w:type="gramEnd"/>
      <w:r w:rsidRPr="007F331E">
        <w:rPr>
          <w:rFonts w:ascii="Calibri" w:hAnsi="Calibri" w:cs="Calibri"/>
          <w:sz w:val="24"/>
          <w:szCs w:val="24"/>
        </w:rPr>
        <w:t xml:space="preserve"> requested by parents or excluded pupils aged 18 and over.</w:t>
      </w:r>
    </w:p>
    <w:p w14:paraId="1AD202BA"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Adhering to its responsibilities to consider the reinstatement of pupils.</w:t>
      </w:r>
    </w:p>
    <w:p w14:paraId="05BF663A"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lastRenderedPageBreak/>
        <w:t>Considering the interests and circumstances of the suspended or excluded pupil, including the circumstances in which they were suspended or excluded, and have due regard to the interests of others at the school.</w:t>
      </w:r>
    </w:p>
    <w:p w14:paraId="1AC16B95"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Using the civil standard of proof (based on the ‘balance of probabilities’, it is more than likely that the fact is true) when establishing the facts relating to a suspension or exclusion.</w:t>
      </w:r>
    </w:p>
    <w:p w14:paraId="0948E290"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Ensuring clear minutes are taken of the representation meeting.</w:t>
      </w:r>
    </w:p>
    <w:p w14:paraId="4C2860F7"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Noting the outcome of the representation meeting on the pupil’s education record, along with copies of relevant papers for future reference.</w:t>
      </w:r>
    </w:p>
    <w:p w14:paraId="441CB57A"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Notifying the pupil’s parents, the headteacher and the LA of its decision and the reasons for it, without delay.</w:t>
      </w:r>
    </w:p>
    <w:p w14:paraId="1C6AE9AE"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Appointing a clerk to provide advice to the relevant panel and parties to the review on procedure, law and statutory guidance on suspensions and exclusions.</w:t>
      </w:r>
    </w:p>
    <w:p w14:paraId="4C938251"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Where appropriate, informing parents of where to apply for an independent review panel.</w:t>
      </w:r>
    </w:p>
    <w:p w14:paraId="51FB298D"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Informing parents of relevant sources of information.</w:t>
      </w:r>
    </w:p>
    <w:p w14:paraId="2B75F50B"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Ensuring a pupil’s name is removed from the school admissions register, where appropriate.</w:t>
      </w:r>
    </w:p>
    <w:p w14:paraId="67467345"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 xml:space="preserve">Reconvening within 10 school days to reconsider reinstatement of a pupil </w:t>
      </w:r>
      <w:proofErr w:type="gramStart"/>
      <w:r w:rsidRPr="007F331E">
        <w:rPr>
          <w:rFonts w:ascii="Calibri" w:hAnsi="Calibri" w:cs="Calibri"/>
          <w:sz w:val="24"/>
          <w:szCs w:val="24"/>
        </w:rPr>
        <w:t>where</w:t>
      </w:r>
      <w:proofErr w:type="gramEnd"/>
      <w:r w:rsidRPr="007F331E">
        <w:rPr>
          <w:rFonts w:ascii="Calibri" w:hAnsi="Calibri" w:cs="Calibri"/>
          <w:sz w:val="24"/>
          <w:szCs w:val="24"/>
        </w:rPr>
        <w:t xml:space="preserve"> directed to do so by the suspensions and exclusions review panel.</w:t>
      </w:r>
    </w:p>
    <w:p w14:paraId="14C11AD3" w14:textId="77777777" w:rsidR="009E7ED9" w:rsidRPr="007F331E" w:rsidRDefault="009E7ED9" w:rsidP="009E7ED9">
      <w:pPr>
        <w:pStyle w:val="TNCBodyText"/>
        <w:numPr>
          <w:ilvl w:val="0"/>
          <w:numId w:val="6"/>
        </w:numPr>
        <w:rPr>
          <w:rFonts w:ascii="Calibri" w:hAnsi="Calibri" w:cs="Calibri"/>
          <w:sz w:val="24"/>
          <w:szCs w:val="24"/>
        </w:rPr>
      </w:pPr>
      <w:r w:rsidRPr="007F331E">
        <w:rPr>
          <w:rFonts w:ascii="Calibri" w:hAnsi="Calibri" w:cs="Calibri"/>
          <w:sz w:val="24"/>
          <w:szCs w:val="24"/>
        </w:rPr>
        <w:t xml:space="preserve">Using data to evaluate the school’s practices regarding intervention, suspension and exclusion. </w:t>
      </w:r>
    </w:p>
    <w:p w14:paraId="4F2ED4B0" w14:textId="77777777" w:rsidR="009E7ED9" w:rsidRPr="007F331E" w:rsidRDefault="009E7ED9" w:rsidP="009E7ED9">
      <w:pPr>
        <w:pStyle w:val="TNCBodyText"/>
        <w:rPr>
          <w:rFonts w:ascii="Calibri" w:hAnsi="Calibri" w:cs="Calibri"/>
          <w:sz w:val="24"/>
          <w:szCs w:val="24"/>
        </w:rPr>
      </w:pPr>
      <w:r w:rsidRPr="007F331E">
        <w:rPr>
          <w:rFonts w:ascii="Calibri" w:hAnsi="Calibri" w:cs="Calibri"/>
          <w:sz w:val="24"/>
          <w:szCs w:val="24"/>
        </w:rPr>
        <w:t>The clerk to the suspensions and exclusions review panel is responsible for:</w:t>
      </w:r>
    </w:p>
    <w:p w14:paraId="52A23B14" w14:textId="77777777" w:rsidR="009E7ED9" w:rsidRPr="007F331E" w:rsidRDefault="009E7ED9" w:rsidP="009E7ED9">
      <w:pPr>
        <w:pStyle w:val="TNCBodyText"/>
        <w:numPr>
          <w:ilvl w:val="0"/>
          <w:numId w:val="7"/>
        </w:numPr>
        <w:rPr>
          <w:rFonts w:ascii="Calibri" w:hAnsi="Calibri" w:cs="Calibri"/>
          <w:sz w:val="24"/>
          <w:szCs w:val="24"/>
        </w:rPr>
      </w:pPr>
      <w:r w:rsidRPr="007F331E">
        <w:rPr>
          <w:rFonts w:ascii="Calibri" w:hAnsi="Calibri" w:cs="Calibri"/>
          <w:sz w:val="24"/>
          <w:szCs w:val="24"/>
        </w:rPr>
        <w:t>Informing the appropriate individuals that they are entitled to:</w:t>
      </w:r>
    </w:p>
    <w:p w14:paraId="34C1519F" w14:textId="77777777" w:rsidR="009E7ED9" w:rsidRPr="007F331E" w:rsidRDefault="009E7ED9" w:rsidP="009E7ED9">
      <w:pPr>
        <w:pStyle w:val="TNCBodyText"/>
        <w:numPr>
          <w:ilvl w:val="1"/>
          <w:numId w:val="8"/>
        </w:numPr>
        <w:rPr>
          <w:rFonts w:ascii="Calibri" w:hAnsi="Calibri" w:cs="Calibri"/>
          <w:sz w:val="24"/>
          <w:szCs w:val="24"/>
        </w:rPr>
      </w:pPr>
      <w:r w:rsidRPr="007F331E">
        <w:rPr>
          <w:rFonts w:ascii="Calibri" w:hAnsi="Calibri" w:cs="Calibri"/>
          <w:sz w:val="24"/>
          <w:szCs w:val="24"/>
        </w:rPr>
        <w:t>Make written representations to the panel.</w:t>
      </w:r>
    </w:p>
    <w:p w14:paraId="7765150E" w14:textId="77777777" w:rsidR="009E7ED9" w:rsidRPr="007F331E" w:rsidRDefault="009E7ED9" w:rsidP="009E7ED9">
      <w:pPr>
        <w:pStyle w:val="TNCBodyText"/>
        <w:numPr>
          <w:ilvl w:val="1"/>
          <w:numId w:val="8"/>
        </w:numPr>
        <w:rPr>
          <w:rFonts w:ascii="Calibri" w:hAnsi="Calibri" w:cs="Calibri"/>
          <w:sz w:val="24"/>
          <w:szCs w:val="24"/>
        </w:rPr>
      </w:pPr>
      <w:r w:rsidRPr="007F331E">
        <w:rPr>
          <w:rFonts w:ascii="Calibri" w:hAnsi="Calibri" w:cs="Calibri"/>
          <w:sz w:val="24"/>
          <w:szCs w:val="24"/>
        </w:rPr>
        <w:t>Attend the hearing and make oral representations to the panel.</w:t>
      </w:r>
    </w:p>
    <w:p w14:paraId="7BE5A12F" w14:textId="77777777" w:rsidR="009E7ED9" w:rsidRPr="007F331E" w:rsidRDefault="009E7ED9" w:rsidP="009E7ED9">
      <w:pPr>
        <w:pStyle w:val="TNCBodyText"/>
        <w:numPr>
          <w:ilvl w:val="1"/>
          <w:numId w:val="8"/>
        </w:numPr>
        <w:rPr>
          <w:rFonts w:ascii="Calibri" w:hAnsi="Calibri" w:cs="Calibri"/>
          <w:sz w:val="24"/>
          <w:szCs w:val="24"/>
        </w:rPr>
      </w:pPr>
      <w:r w:rsidRPr="007F331E">
        <w:rPr>
          <w:rFonts w:ascii="Calibri" w:hAnsi="Calibri" w:cs="Calibri"/>
          <w:sz w:val="24"/>
          <w:szCs w:val="24"/>
        </w:rPr>
        <w:t>Be represented.</w:t>
      </w:r>
    </w:p>
    <w:p w14:paraId="336585E1" w14:textId="77777777" w:rsidR="009E7ED9" w:rsidRPr="007F331E" w:rsidRDefault="009E7ED9" w:rsidP="009E7ED9">
      <w:pPr>
        <w:pStyle w:val="TNCBodyText"/>
        <w:numPr>
          <w:ilvl w:val="0"/>
          <w:numId w:val="9"/>
        </w:numPr>
        <w:rPr>
          <w:rFonts w:ascii="Calibri" w:hAnsi="Calibri" w:cs="Calibri"/>
          <w:sz w:val="24"/>
          <w:szCs w:val="24"/>
        </w:rPr>
      </w:pPr>
      <w:r w:rsidRPr="007F331E">
        <w:rPr>
          <w:rFonts w:ascii="Calibri" w:hAnsi="Calibri" w:cs="Calibri"/>
          <w:sz w:val="24"/>
          <w:szCs w:val="24"/>
        </w:rPr>
        <w:t>Circulating copies of relevant papers before the review to all parties.</w:t>
      </w:r>
    </w:p>
    <w:p w14:paraId="58CDE1AD" w14:textId="77777777" w:rsidR="009E7ED9" w:rsidRPr="007F331E" w:rsidRDefault="009E7ED9" w:rsidP="009E7ED9">
      <w:pPr>
        <w:pStyle w:val="TNCBodyText"/>
        <w:numPr>
          <w:ilvl w:val="0"/>
          <w:numId w:val="9"/>
        </w:numPr>
        <w:rPr>
          <w:rFonts w:ascii="Calibri" w:hAnsi="Calibri" w:cs="Calibri"/>
          <w:sz w:val="24"/>
          <w:szCs w:val="24"/>
        </w:rPr>
      </w:pPr>
      <w:r w:rsidRPr="007F331E">
        <w:rPr>
          <w:rFonts w:ascii="Calibri" w:hAnsi="Calibri" w:cs="Calibri"/>
          <w:sz w:val="24"/>
          <w:szCs w:val="24"/>
        </w:rPr>
        <w:t>Giving all parties details of those attending and their role, once the position is clear.</w:t>
      </w:r>
    </w:p>
    <w:p w14:paraId="6D579AFD" w14:textId="77777777" w:rsidR="009E7ED9" w:rsidRPr="007F331E" w:rsidRDefault="009E7ED9" w:rsidP="009E7ED9">
      <w:pPr>
        <w:pStyle w:val="TNCBodyText"/>
        <w:numPr>
          <w:ilvl w:val="0"/>
          <w:numId w:val="9"/>
        </w:numPr>
        <w:rPr>
          <w:rFonts w:ascii="Calibri" w:hAnsi="Calibri" w:cs="Calibri"/>
          <w:sz w:val="24"/>
          <w:szCs w:val="24"/>
        </w:rPr>
      </w:pPr>
      <w:r w:rsidRPr="007F331E">
        <w:rPr>
          <w:rFonts w:ascii="Calibri" w:hAnsi="Calibri" w:cs="Calibri"/>
          <w:sz w:val="24"/>
          <w:szCs w:val="24"/>
        </w:rPr>
        <w:lastRenderedPageBreak/>
        <w:t>Attending the review and ensuring that minutes are produced in accordance with instructions from the panel within the timeframe of the policy.</w:t>
      </w:r>
    </w:p>
    <w:p w14:paraId="54E1C063" w14:textId="77777777" w:rsidR="009E7ED9" w:rsidRPr="007F331E" w:rsidRDefault="009E7ED9" w:rsidP="009E7ED9">
      <w:pPr>
        <w:pStyle w:val="TNCBodyText"/>
        <w:rPr>
          <w:rFonts w:ascii="Calibri" w:hAnsi="Calibri" w:cs="Calibri"/>
          <w:sz w:val="24"/>
          <w:szCs w:val="24"/>
        </w:rPr>
      </w:pPr>
      <w:r w:rsidRPr="007F331E">
        <w:rPr>
          <w:rFonts w:ascii="Calibri" w:hAnsi="Calibri" w:cs="Calibri"/>
          <w:sz w:val="24"/>
          <w:szCs w:val="24"/>
        </w:rPr>
        <w:t>The headteacher is responsible for:</w:t>
      </w:r>
    </w:p>
    <w:p w14:paraId="739E8621"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Implementing good levels of safety and regulation to ensure all pupils can benefit from the opportunities provided by education and to minimise potential suspensions and exclusions.</w:t>
      </w:r>
    </w:p>
    <w:p w14:paraId="238C9CF9"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Applying the civil standard of proof when establishing the facts in relation to a suspension or exclusion.</w:t>
      </w:r>
    </w:p>
    <w:p w14:paraId="646EAF08"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Complying with their statutory duties in relation to pupils with SEND when administering the suspension or exclusion process, as outlined in the Special Educational Needs and Disabilities (SEND) Policy.</w:t>
      </w:r>
    </w:p>
    <w:p w14:paraId="053DB70D"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Considering any contributing factors that are identified after an incident of poor behaviour has occurred, e.g. if a pupil has suffered bereavement, experienced bullying or has a mental health issue.</w:t>
      </w:r>
    </w:p>
    <w:p w14:paraId="2BA42BD7"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 xml:space="preserve">Considering the use of a multi-agency assessment for a pupil who demonstrates </w:t>
      </w:r>
      <w:proofErr w:type="gramStart"/>
      <w:r w:rsidRPr="007F331E">
        <w:rPr>
          <w:rFonts w:ascii="Calibri" w:hAnsi="Calibri" w:cs="Calibri"/>
          <w:sz w:val="24"/>
          <w:szCs w:val="24"/>
        </w:rPr>
        <w:t>persistent ,</w:t>
      </w:r>
      <w:proofErr w:type="gramEnd"/>
      <w:r w:rsidRPr="007F331E">
        <w:rPr>
          <w:rFonts w:ascii="Calibri" w:hAnsi="Calibri" w:cs="Calibri"/>
          <w:sz w:val="24"/>
          <w:szCs w:val="24"/>
        </w:rPr>
        <w:t xml:space="preserve"> dangerous dysregulated behaviour.</w:t>
      </w:r>
    </w:p>
    <w:p w14:paraId="5432A0D6"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Reviewing the effectiveness of suspensions and exclusions as sanctions, e.g. if a pupil has received multiple suspensions or is approaching the legal limit for suspensions in an academic year.</w:t>
      </w:r>
    </w:p>
    <w:p w14:paraId="35510164"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Considering what extra support may be needed to identify and address the needs of individual pupils, particularly those with SEND, those eligible for FSM, LAC and those from certain ethnic groups.</w:t>
      </w:r>
    </w:p>
    <w:p w14:paraId="7FAF3663"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 xml:space="preserve">Engaging effectively with parents in supporting the behaviour of pupils with additional needs. </w:t>
      </w:r>
    </w:p>
    <w:p w14:paraId="7FC664BA"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Determining whether a pupil will be suspended or excluded on disciplinary grounds.</w:t>
      </w:r>
    </w:p>
    <w:p w14:paraId="79134201"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Adhering to their responsibilities when cancelling an exclusion before the governing board has met to consider whether the pupil should be reinstated. Withdrawing any suspensions or exclusions that have not been reviewed by the governing board, where appropriate.</w:t>
      </w:r>
    </w:p>
    <w:p w14:paraId="72D82C1A"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Ensuring any decision to suspend or exclude is lawful, rational, reasonable, fair and proportionate.</w:t>
      </w:r>
    </w:p>
    <w:p w14:paraId="6A20D881"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Complying with the requirements of the Equality Act 2010 when deciding whether to suspend or exclude a pupil.</w:t>
      </w:r>
    </w:p>
    <w:p w14:paraId="091EBED5"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lastRenderedPageBreak/>
        <w:t>Where practical, ensuring that the pupil is given the opportunity to present their case before a decision is reached.</w:t>
      </w:r>
    </w:p>
    <w:p w14:paraId="7B8BAF6B"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Ensuring they have considered their legal duty of care when sending a pupil home following a suspension or exclusion.</w:t>
      </w:r>
    </w:p>
    <w:p w14:paraId="38D584FF"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Making the decision to suspend or exclude based on the evidence available at the time, regardless of any police investigation and/or criminal proceedings.</w:t>
      </w:r>
    </w:p>
    <w:p w14:paraId="725BFE7B"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Ensuring that the school does not engage in unlawful ‘off-rolling’.</w:t>
      </w:r>
    </w:p>
    <w:p w14:paraId="4E3E9856"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Notifying a pupil’s parents without delay where the decision is taken to suspend or exclude the pupil, including the days on which the parents must ensure the pupil is not present in a public place at any time during school hours, as well as any other necessary information statutorily required.</w:t>
      </w:r>
    </w:p>
    <w:p w14:paraId="52670B8F"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Ensuring that all information provided to parents is clear and easily understood.</w:t>
      </w:r>
    </w:p>
    <w:p w14:paraId="56335181"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Notifying the governor responsible and LA of their decision to exclude a pupil where appropriate, as well as the pupil’s home authority if required.</w:t>
      </w:r>
    </w:p>
    <w:p w14:paraId="09CA9291"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Notifying the governing board once per term of any exclusions in the headteacher’s report to governors.</w:t>
      </w:r>
    </w:p>
    <w:p w14:paraId="3B6569D7" w14:textId="77777777" w:rsidR="009E7ED9" w:rsidRPr="007F331E" w:rsidRDefault="009E7ED9" w:rsidP="009E7ED9">
      <w:pPr>
        <w:pStyle w:val="TNCBodyText"/>
        <w:numPr>
          <w:ilvl w:val="0"/>
          <w:numId w:val="10"/>
        </w:numPr>
        <w:rPr>
          <w:rFonts w:ascii="Calibri" w:hAnsi="Calibri" w:cs="Calibri"/>
          <w:sz w:val="24"/>
          <w:szCs w:val="24"/>
        </w:rPr>
      </w:pPr>
      <w:r w:rsidRPr="007F331E">
        <w:rPr>
          <w:rFonts w:ascii="Calibri" w:hAnsi="Calibri" w:cs="Calibri"/>
          <w:sz w:val="24"/>
          <w:szCs w:val="24"/>
        </w:rPr>
        <w:t>Organising suitable work for excluded pupils where alternative provision cannot be arranged.</w:t>
      </w:r>
    </w:p>
    <w:p w14:paraId="3C9A3A8B" w14:textId="77777777" w:rsidR="009E7ED9" w:rsidRPr="007F331E" w:rsidRDefault="009E7ED9" w:rsidP="009E7ED9">
      <w:pPr>
        <w:pStyle w:val="Heading2"/>
        <w:ind w:left="425" w:hanging="425"/>
        <w:rPr>
          <w:rFonts w:ascii="Calibri" w:hAnsi="Calibri" w:cs="Calibri"/>
          <w:color w:val="auto"/>
          <w:sz w:val="24"/>
          <w:szCs w:val="24"/>
        </w:rPr>
      </w:pPr>
      <w:bookmarkStart w:id="6" w:name="_Grounds_for_exclusion"/>
      <w:bookmarkStart w:id="7" w:name="_Grounds_for_suspension"/>
      <w:bookmarkEnd w:id="6"/>
      <w:bookmarkEnd w:id="7"/>
      <w:r w:rsidRPr="007F331E">
        <w:rPr>
          <w:rFonts w:ascii="Calibri" w:hAnsi="Calibri" w:cs="Calibri"/>
          <w:color w:val="auto"/>
          <w:sz w:val="24"/>
          <w:szCs w:val="24"/>
        </w:rPr>
        <w:t xml:space="preserve">Grounds for suspension or exclusion </w:t>
      </w:r>
    </w:p>
    <w:p w14:paraId="03C4AD62" w14:textId="77777777" w:rsidR="009E7ED9" w:rsidRPr="007F331E" w:rsidRDefault="009E7ED9" w:rsidP="009E7ED9">
      <w:pPr>
        <w:pStyle w:val="TNCBodyText"/>
        <w:rPr>
          <w:rFonts w:ascii="Calibri" w:hAnsi="Calibri" w:cs="Calibri"/>
          <w:sz w:val="24"/>
          <w:szCs w:val="24"/>
        </w:rPr>
      </w:pPr>
      <w:r w:rsidRPr="007F331E">
        <w:rPr>
          <w:rFonts w:ascii="Calibri" w:hAnsi="Calibri" w:cs="Calibri"/>
          <w:sz w:val="24"/>
          <w:szCs w:val="24"/>
        </w:rPr>
        <w:t xml:space="preserve">The school will only suspend or exclude a pupil where it is absolutely necessary and as a last resort.  </w:t>
      </w:r>
    </w:p>
    <w:p w14:paraId="2B3C35A3" w14:textId="77777777" w:rsidR="009E7ED9" w:rsidRPr="007F331E" w:rsidRDefault="009E7ED9" w:rsidP="009E7ED9">
      <w:pPr>
        <w:pStyle w:val="TNCBodyText"/>
        <w:rPr>
          <w:rFonts w:ascii="Calibri" w:hAnsi="Calibri" w:cs="Calibri"/>
          <w:b/>
          <w:bCs/>
          <w:sz w:val="24"/>
          <w:szCs w:val="24"/>
        </w:rPr>
      </w:pPr>
      <w:r w:rsidRPr="007F331E">
        <w:rPr>
          <w:rFonts w:ascii="Calibri" w:hAnsi="Calibri" w:cs="Calibri"/>
          <w:sz w:val="24"/>
          <w:szCs w:val="24"/>
        </w:rPr>
        <w:t>The following examples of behaviour may warrant the decision to suspend or exclude a pupil:</w:t>
      </w:r>
    </w:p>
    <w:p w14:paraId="3FE2680F" w14:textId="77777777" w:rsidR="009E7ED9" w:rsidRPr="007F331E" w:rsidRDefault="009E7ED9" w:rsidP="009E7ED9">
      <w:pPr>
        <w:pStyle w:val="TNCBodyText"/>
        <w:numPr>
          <w:ilvl w:val="0"/>
          <w:numId w:val="11"/>
        </w:numPr>
        <w:rPr>
          <w:rFonts w:ascii="Calibri" w:hAnsi="Calibri" w:cs="Calibri"/>
          <w:sz w:val="24"/>
          <w:szCs w:val="24"/>
        </w:rPr>
      </w:pPr>
      <w:r w:rsidRPr="007F331E">
        <w:rPr>
          <w:rFonts w:ascii="Calibri" w:hAnsi="Calibri" w:cs="Calibri"/>
          <w:sz w:val="24"/>
          <w:szCs w:val="24"/>
        </w:rPr>
        <w:t>Physical assault against a pupil</w:t>
      </w:r>
    </w:p>
    <w:p w14:paraId="6BBEE9FA" w14:textId="77777777" w:rsidR="009E7ED9" w:rsidRPr="007F331E" w:rsidRDefault="009E7ED9" w:rsidP="009E7ED9">
      <w:pPr>
        <w:pStyle w:val="TNCBodyText"/>
        <w:numPr>
          <w:ilvl w:val="0"/>
          <w:numId w:val="11"/>
        </w:numPr>
        <w:rPr>
          <w:rFonts w:ascii="Calibri" w:hAnsi="Calibri" w:cs="Calibri"/>
          <w:sz w:val="24"/>
          <w:szCs w:val="24"/>
        </w:rPr>
      </w:pPr>
      <w:r w:rsidRPr="007F331E">
        <w:rPr>
          <w:rFonts w:ascii="Calibri" w:hAnsi="Calibri" w:cs="Calibri"/>
          <w:sz w:val="24"/>
          <w:szCs w:val="24"/>
        </w:rPr>
        <w:t>Physical assault against an adult</w:t>
      </w:r>
    </w:p>
    <w:p w14:paraId="1623168E" w14:textId="77777777" w:rsidR="009E7ED9" w:rsidRPr="007F331E" w:rsidRDefault="009E7ED9" w:rsidP="009E7ED9">
      <w:pPr>
        <w:pStyle w:val="TNCBodyText"/>
        <w:numPr>
          <w:ilvl w:val="0"/>
          <w:numId w:val="11"/>
        </w:numPr>
        <w:rPr>
          <w:rFonts w:ascii="Calibri" w:hAnsi="Calibri" w:cs="Calibri"/>
          <w:sz w:val="24"/>
          <w:szCs w:val="24"/>
        </w:rPr>
      </w:pPr>
      <w:r w:rsidRPr="007F331E">
        <w:rPr>
          <w:rFonts w:ascii="Calibri" w:hAnsi="Calibri" w:cs="Calibri"/>
          <w:sz w:val="24"/>
          <w:szCs w:val="24"/>
        </w:rPr>
        <w:t>Verbal abuse or threatening behaviour against a pupil</w:t>
      </w:r>
    </w:p>
    <w:p w14:paraId="5B250D71" w14:textId="77777777" w:rsidR="009E7ED9" w:rsidRPr="007F331E" w:rsidRDefault="009E7ED9" w:rsidP="009E7ED9">
      <w:pPr>
        <w:pStyle w:val="TNCBodyText"/>
        <w:numPr>
          <w:ilvl w:val="0"/>
          <w:numId w:val="11"/>
        </w:numPr>
        <w:rPr>
          <w:rFonts w:ascii="Calibri" w:hAnsi="Calibri" w:cs="Calibri"/>
          <w:sz w:val="24"/>
          <w:szCs w:val="24"/>
        </w:rPr>
      </w:pPr>
      <w:r w:rsidRPr="007F331E">
        <w:rPr>
          <w:rFonts w:ascii="Calibri" w:hAnsi="Calibri" w:cs="Calibri"/>
          <w:sz w:val="24"/>
          <w:szCs w:val="24"/>
        </w:rPr>
        <w:t>Verbal abuse or threatening behaviour against an adult</w:t>
      </w:r>
    </w:p>
    <w:p w14:paraId="3781894F" w14:textId="77777777" w:rsidR="009E7ED9" w:rsidRPr="007F331E" w:rsidRDefault="009E7ED9" w:rsidP="009E7ED9">
      <w:pPr>
        <w:pStyle w:val="TNCBodyText"/>
        <w:numPr>
          <w:ilvl w:val="0"/>
          <w:numId w:val="11"/>
        </w:numPr>
        <w:rPr>
          <w:rFonts w:ascii="Calibri" w:hAnsi="Calibri" w:cs="Calibri"/>
          <w:sz w:val="24"/>
          <w:szCs w:val="24"/>
        </w:rPr>
      </w:pPr>
      <w:r w:rsidRPr="007F331E">
        <w:rPr>
          <w:rFonts w:ascii="Calibri" w:hAnsi="Calibri" w:cs="Calibri"/>
          <w:sz w:val="24"/>
          <w:szCs w:val="24"/>
        </w:rPr>
        <w:t>Use, or threat of use, of an offensive weapon or prohibited item</w:t>
      </w:r>
    </w:p>
    <w:p w14:paraId="7F7D6CB1" w14:textId="77777777" w:rsidR="009E7ED9" w:rsidRPr="007F331E" w:rsidRDefault="009E7ED9" w:rsidP="009E7ED9">
      <w:pPr>
        <w:pStyle w:val="TNCBodyText"/>
        <w:numPr>
          <w:ilvl w:val="0"/>
          <w:numId w:val="11"/>
        </w:numPr>
        <w:rPr>
          <w:rFonts w:ascii="Calibri" w:hAnsi="Calibri" w:cs="Calibri"/>
          <w:sz w:val="24"/>
          <w:szCs w:val="24"/>
        </w:rPr>
      </w:pPr>
      <w:r w:rsidRPr="007F331E">
        <w:rPr>
          <w:rFonts w:ascii="Calibri" w:hAnsi="Calibri" w:cs="Calibri"/>
          <w:sz w:val="24"/>
          <w:szCs w:val="24"/>
        </w:rPr>
        <w:t>Bullying</w:t>
      </w:r>
    </w:p>
    <w:p w14:paraId="09BFD012" w14:textId="77777777" w:rsidR="009E7ED9" w:rsidRPr="007F331E" w:rsidRDefault="009E7ED9" w:rsidP="009E7ED9">
      <w:pPr>
        <w:pStyle w:val="TNCBodyText"/>
        <w:numPr>
          <w:ilvl w:val="0"/>
          <w:numId w:val="11"/>
        </w:numPr>
        <w:rPr>
          <w:rFonts w:ascii="Calibri" w:hAnsi="Calibri" w:cs="Calibri"/>
          <w:sz w:val="24"/>
          <w:szCs w:val="24"/>
        </w:rPr>
      </w:pPr>
      <w:r w:rsidRPr="007F331E">
        <w:rPr>
          <w:rFonts w:ascii="Calibri" w:hAnsi="Calibri" w:cs="Calibri"/>
          <w:sz w:val="24"/>
          <w:szCs w:val="24"/>
        </w:rPr>
        <w:t xml:space="preserve">Discriminatory abuse, e.g. racist, homophobic, </w:t>
      </w:r>
      <w:proofErr w:type="spellStart"/>
      <w:r w:rsidRPr="007F331E">
        <w:rPr>
          <w:rFonts w:ascii="Calibri" w:hAnsi="Calibri" w:cs="Calibri"/>
          <w:sz w:val="24"/>
          <w:szCs w:val="24"/>
        </w:rPr>
        <w:t>biphobic</w:t>
      </w:r>
      <w:proofErr w:type="spellEnd"/>
      <w:r w:rsidRPr="007F331E">
        <w:rPr>
          <w:rFonts w:ascii="Calibri" w:hAnsi="Calibri" w:cs="Calibri"/>
          <w:sz w:val="24"/>
          <w:szCs w:val="24"/>
        </w:rPr>
        <w:t>, transphobic or ableist abuse</w:t>
      </w:r>
    </w:p>
    <w:p w14:paraId="1E9DE921" w14:textId="77777777" w:rsidR="009E7ED9" w:rsidRPr="007F331E" w:rsidRDefault="009E7ED9" w:rsidP="009E7ED9">
      <w:pPr>
        <w:jc w:val="both"/>
        <w:rPr>
          <w:rFonts w:ascii="Calibri" w:hAnsi="Calibri" w:cs="Calibri"/>
          <w:sz w:val="24"/>
          <w:szCs w:val="24"/>
        </w:rPr>
      </w:pPr>
      <w:r w:rsidRPr="007F331E">
        <w:rPr>
          <w:rFonts w:ascii="Calibri" w:hAnsi="Calibri" w:cs="Calibri"/>
          <w:sz w:val="24"/>
          <w:szCs w:val="24"/>
        </w:rPr>
        <w:lastRenderedPageBreak/>
        <w:t>Exclusion is a last resort and should only be used in the case of:</w:t>
      </w:r>
    </w:p>
    <w:p w14:paraId="2B055F5F" w14:textId="77777777" w:rsidR="009E7ED9" w:rsidRPr="007F331E" w:rsidRDefault="009E7ED9" w:rsidP="009E7ED9">
      <w:pPr>
        <w:pStyle w:val="ListParagraph"/>
        <w:numPr>
          <w:ilvl w:val="0"/>
          <w:numId w:val="11"/>
        </w:numPr>
        <w:spacing w:line="278" w:lineRule="auto"/>
        <w:jc w:val="both"/>
        <w:rPr>
          <w:rFonts w:ascii="Calibri" w:hAnsi="Calibri" w:cs="Calibri"/>
          <w:sz w:val="24"/>
          <w:szCs w:val="24"/>
        </w:rPr>
      </w:pPr>
      <w:r w:rsidRPr="007F331E">
        <w:rPr>
          <w:rFonts w:ascii="Calibri" w:hAnsi="Calibri" w:cs="Calibri"/>
          <w:sz w:val="24"/>
          <w:szCs w:val="24"/>
        </w:rPr>
        <w:t>A serious breach or persistent breaches of the school’s Behaviour policy.</w:t>
      </w:r>
      <w:r w:rsidRPr="007F331E">
        <w:rPr>
          <w:rFonts w:ascii="Calibri" w:hAnsi="Calibri" w:cs="Calibri"/>
          <w:b/>
          <w:bCs/>
          <w:sz w:val="24"/>
          <w:szCs w:val="24"/>
        </w:rPr>
        <w:t xml:space="preserve"> </w:t>
      </w:r>
    </w:p>
    <w:p w14:paraId="082884D3" w14:textId="77777777" w:rsidR="009E7ED9" w:rsidRPr="007F331E" w:rsidRDefault="009E7ED9" w:rsidP="009E7ED9">
      <w:pPr>
        <w:pStyle w:val="ListParagraph"/>
        <w:numPr>
          <w:ilvl w:val="0"/>
          <w:numId w:val="11"/>
        </w:numPr>
        <w:spacing w:line="278" w:lineRule="auto"/>
        <w:jc w:val="both"/>
        <w:rPr>
          <w:rFonts w:ascii="Calibri" w:hAnsi="Calibri" w:cs="Calibri"/>
          <w:sz w:val="24"/>
          <w:szCs w:val="24"/>
        </w:rPr>
      </w:pPr>
      <w:r w:rsidRPr="007F331E">
        <w:rPr>
          <w:rFonts w:ascii="Calibri" w:hAnsi="Calibri" w:cs="Calibri"/>
          <w:sz w:val="24"/>
          <w:szCs w:val="24"/>
        </w:rPr>
        <w:t xml:space="preserve">Where allowing the pupil to remain in the school would seriously harm the education or welfare of the pupil or others in the school. </w:t>
      </w:r>
    </w:p>
    <w:p w14:paraId="157C46CE" w14:textId="77777777" w:rsidR="009E7ED9" w:rsidRPr="007F331E" w:rsidRDefault="009E7ED9" w:rsidP="009E7ED9">
      <w:pPr>
        <w:pStyle w:val="Heading2"/>
        <w:rPr>
          <w:rFonts w:ascii="Calibri" w:hAnsi="Calibri" w:cs="Calibri"/>
          <w:color w:val="auto"/>
          <w:sz w:val="24"/>
          <w:szCs w:val="24"/>
        </w:rPr>
      </w:pPr>
      <w:bookmarkStart w:id="8" w:name="_The_headteacher’s_power"/>
      <w:bookmarkStart w:id="9" w:name="_[Updated]_The_headteacher’s"/>
      <w:bookmarkEnd w:id="8"/>
      <w:bookmarkEnd w:id="9"/>
      <w:r w:rsidRPr="007F331E">
        <w:rPr>
          <w:rFonts w:ascii="Calibri" w:hAnsi="Calibri" w:cs="Calibri"/>
          <w:color w:val="auto"/>
          <w:sz w:val="24"/>
          <w:szCs w:val="24"/>
        </w:rPr>
        <w:t xml:space="preserve">The headteacher’s power to suspend and exclude </w:t>
      </w:r>
    </w:p>
    <w:p w14:paraId="4F463412" w14:textId="5FEF85B7" w:rsidR="009E7ED9" w:rsidRDefault="009E7ED9" w:rsidP="006945B6">
      <w:pPr>
        <w:pStyle w:val="TNCBodyText"/>
        <w:rPr>
          <w:rFonts w:ascii="Calibri" w:hAnsi="Calibri" w:cs="Calibri"/>
          <w:sz w:val="24"/>
          <w:szCs w:val="24"/>
        </w:rPr>
      </w:pPr>
      <w:r w:rsidRPr="007F331E">
        <w:rPr>
          <w:rFonts w:ascii="Calibri" w:hAnsi="Calibri" w:cs="Calibri"/>
          <w:sz w:val="24"/>
          <w:szCs w:val="24"/>
        </w:rPr>
        <w:t>Only the headteacher has the power to suspend or exclude a pupil from the school, and is able to decide whether either a suspension or exclusion is appropriate. All suspensions and exclusions will only be issued on disciplinary grounds.</w:t>
      </w:r>
      <w:r w:rsidR="006945B6">
        <w:rPr>
          <w:rFonts w:ascii="Calibri" w:hAnsi="Calibri" w:cs="Calibri"/>
          <w:sz w:val="24"/>
          <w:szCs w:val="24"/>
        </w:rPr>
        <w:t xml:space="preserve"> </w:t>
      </w:r>
      <w:r w:rsidRPr="007F331E">
        <w:rPr>
          <w:rFonts w:ascii="Calibri" w:hAnsi="Calibri" w:cs="Calibri"/>
          <w:sz w:val="24"/>
          <w:szCs w:val="24"/>
        </w:rPr>
        <w:t>The school follows the Norfolk County Council guidance on procedure in relation to permanent exclusions:</w:t>
      </w:r>
      <w:r w:rsidR="006945B6">
        <w:rPr>
          <w:rFonts w:ascii="Calibri" w:hAnsi="Calibri" w:cs="Calibri"/>
          <w:sz w:val="24"/>
          <w:szCs w:val="24"/>
        </w:rPr>
        <w:t xml:space="preserve"> </w:t>
      </w:r>
      <w:hyperlink r:id="rId7" w:history="1">
        <w:r w:rsidR="006945B6" w:rsidRPr="00CE5F6F">
          <w:rPr>
            <w:rStyle w:val="Hyperlink"/>
            <w:rFonts w:ascii="Calibri" w:hAnsi="Calibri" w:cs="Calibri"/>
            <w:sz w:val="24"/>
            <w:szCs w:val="24"/>
          </w:rPr>
          <w:t>https://www.schools.norfolk.gov.uk/exclusions</w:t>
        </w:r>
      </w:hyperlink>
      <w:r w:rsidRPr="007F331E">
        <w:rPr>
          <w:rFonts w:ascii="Calibri" w:hAnsi="Calibri" w:cs="Calibri"/>
          <w:sz w:val="24"/>
          <w:szCs w:val="24"/>
        </w:rPr>
        <w:t xml:space="preserve"> </w:t>
      </w:r>
      <w:r w:rsidR="006945B6">
        <w:rPr>
          <w:rFonts w:ascii="Calibri" w:hAnsi="Calibri" w:cs="Calibri"/>
          <w:sz w:val="24"/>
          <w:szCs w:val="24"/>
        </w:rPr>
        <w:t>.</w:t>
      </w:r>
    </w:p>
    <w:p w14:paraId="54FF05A8" w14:textId="77777777" w:rsidR="006945B6" w:rsidRPr="007F331E" w:rsidRDefault="006945B6" w:rsidP="006945B6">
      <w:pPr>
        <w:pStyle w:val="Policysections"/>
        <w:numPr>
          <w:ilvl w:val="0"/>
          <w:numId w:val="0"/>
        </w:numPr>
        <w:rPr>
          <w:rFonts w:ascii="Calibri" w:hAnsi="Calibri" w:cs="Calibri"/>
          <w:color w:val="auto"/>
          <w:sz w:val="24"/>
          <w:szCs w:val="24"/>
        </w:rPr>
      </w:pPr>
      <w:r w:rsidRPr="007F331E">
        <w:rPr>
          <w:rFonts w:ascii="Calibri" w:hAnsi="Calibri" w:cs="Calibri"/>
          <w:color w:val="auto"/>
          <w:sz w:val="24"/>
          <w:szCs w:val="24"/>
        </w:rPr>
        <w:t xml:space="preserve">A flow chart outlining the guidance processes can be found overleaf. </w:t>
      </w:r>
    </w:p>
    <w:p w14:paraId="7CD00FE7" w14:textId="77777777" w:rsidR="006945B6" w:rsidRPr="007F331E" w:rsidRDefault="006945B6" w:rsidP="006945B6">
      <w:pPr>
        <w:pStyle w:val="TNCBodyText"/>
        <w:rPr>
          <w:rFonts w:ascii="Calibri" w:hAnsi="Calibri" w:cs="Calibri"/>
          <w:sz w:val="24"/>
          <w:szCs w:val="24"/>
        </w:rPr>
      </w:pPr>
    </w:p>
    <w:p w14:paraId="1BEF77B7" w14:textId="77777777" w:rsidR="009E7ED9" w:rsidRDefault="009E7ED9" w:rsidP="009E7ED9">
      <w:pPr>
        <w:pStyle w:val="Policysections"/>
        <w:numPr>
          <w:ilvl w:val="0"/>
          <w:numId w:val="0"/>
        </w:numPr>
        <w:jc w:val="center"/>
      </w:pPr>
      <w:r w:rsidRPr="001D2EAE">
        <w:rPr>
          <w:noProof/>
        </w:rPr>
        <w:drawing>
          <wp:inline distT="0" distB="0" distL="0" distR="0" wp14:anchorId="2D555B12" wp14:editId="3E93826D">
            <wp:extent cx="5772076" cy="911161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24"/>
                    <a:stretch/>
                  </pic:blipFill>
                  <pic:spPr bwMode="auto">
                    <a:xfrm>
                      <a:off x="0" y="0"/>
                      <a:ext cx="5778181" cy="9121252"/>
                    </a:xfrm>
                    <a:prstGeom prst="rect">
                      <a:avLst/>
                    </a:prstGeom>
                    <a:ln>
                      <a:noFill/>
                    </a:ln>
                    <a:extLst>
                      <a:ext uri="{53640926-AAD7-44D8-BBD7-CCE9431645EC}">
                        <a14:shadowObscured xmlns:a14="http://schemas.microsoft.com/office/drawing/2010/main"/>
                      </a:ext>
                    </a:extLst>
                  </pic:spPr>
                </pic:pic>
              </a:graphicData>
            </a:graphic>
          </wp:inline>
        </w:drawing>
      </w:r>
    </w:p>
    <w:p w14:paraId="4CD072DC" w14:textId="7E14917B" w:rsidR="009E7ED9" w:rsidRDefault="006945B6" w:rsidP="009E7ED9">
      <w:pPr>
        <w:pStyle w:val="Policysections"/>
        <w:numPr>
          <w:ilvl w:val="0"/>
          <w:numId w:val="0"/>
        </w:numPr>
      </w:pPr>
      <w:r w:rsidRPr="006945B6">
        <w:lastRenderedPageBreak/>
        <w:drawing>
          <wp:inline distT="0" distB="0" distL="0" distR="0" wp14:anchorId="761E1FB4" wp14:editId="4408C066">
            <wp:extent cx="6143625" cy="883656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45963" cy="8839922"/>
                    </a:xfrm>
                    <a:prstGeom prst="rect">
                      <a:avLst/>
                    </a:prstGeom>
                  </pic:spPr>
                </pic:pic>
              </a:graphicData>
            </a:graphic>
          </wp:inline>
        </w:drawing>
      </w:r>
    </w:p>
    <w:p w14:paraId="73D3316B" w14:textId="77777777" w:rsidR="009E7ED9" w:rsidRDefault="009E7ED9" w:rsidP="009E7ED9">
      <w:pPr>
        <w:pStyle w:val="Policysections"/>
        <w:numPr>
          <w:ilvl w:val="0"/>
          <w:numId w:val="0"/>
        </w:numPr>
      </w:pPr>
    </w:p>
    <w:p w14:paraId="081BCB5D" w14:textId="77777777" w:rsidR="009E7ED9" w:rsidRDefault="009E7ED9" w:rsidP="009E7ED9">
      <w:pPr>
        <w:pStyle w:val="Policysections"/>
        <w:numPr>
          <w:ilvl w:val="0"/>
          <w:numId w:val="0"/>
        </w:numPr>
      </w:pPr>
    </w:p>
    <w:p w14:paraId="6B3DC06C" w14:textId="77777777" w:rsidR="009E7ED9" w:rsidRPr="00696B5A" w:rsidRDefault="009E7ED9" w:rsidP="00787714">
      <w:pPr>
        <w:pStyle w:val="BodyText"/>
        <w:spacing w:before="188" w:line="252" w:lineRule="auto"/>
        <w:ind w:right="1297"/>
        <w:jc w:val="both"/>
        <w:rPr>
          <w:rFonts w:asciiTheme="minorHAnsi" w:hAnsiTheme="minorHAnsi" w:cstheme="minorHAnsi"/>
          <w:sz w:val="24"/>
          <w:szCs w:val="24"/>
        </w:rPr>
      </w:pPr>
    </w:p>
    <w:sectPr w:rsidR="009E7ED9" w:rsidRPr="00696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5ACF6FF5"/>
    <w:multiLevelType w:val="hybridMultilevel"/>
    <w:tmpl w:val="A23E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289912">
    <w:abstractNumId w:val="8"/>
  </w:num>
  <w:num w:numId="2" w16cid:durableId="208340496">
    <w:abstractNumId w:val="1"/>
  </w:num>
  <w:num w:numId="3" w16cid:durableId="1608393216">
    <w:abstractNumId w:val="2"/>
  </w:num>
  <w:num w:numId="4" w16cid:durableId="690373018">
    <w:abstractNumId w:val="4"/>
  </w:num>
  <w:num w:numId="5" w16cid:durableId="1022901241">
    <w:abstractNumId w:val="10"/>
  </w:num>
  <w:num w:numId="6" w16cid:durableId="558446387">
    <w:abstractNumId w:val="0"/>
  </w:num>
  <w:num w:numId="7" w16cid:durableId="1915895565">
    <w:abstractNumId w:val="11"/>
  </w:num>
  <w:num w:numId="8" w16cid:durableId="1525901356">
    <w:abstractNumId w:val="5"/>
  </w:num>
  <w:num w:numId="9" w16cid:durableId="1159997199">
    <w:abstractNumId w:val="6"/>
  </w:num>
  <w:num w:numId="10" w16cid:durableId="35551415">
    <w:abstractNumId w:val="3"/>
  </w:num>
  <w:num w:numId="11" w16cid:durableId="200553826">
    <w:abstractNumId w:val="7"/>
  </w:num>
  <w:num w:numId="12" w16cid:durableId="1588659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D9"/>
    <w:rsid w:val="000D7C6F"/>
    <w:rsid w:val="001E4137"/>
    <w:rsid w:val="00301E4E"/>
    <w:rsid w:val="006945B6"/>
    <w:rsid w:val="00696B5A"/>
    <w:rsid w:val="0070709C"/>
    <w:rsid w:val="007218DD"/>
    <w:rsid w:val="00787714"/>
    <w:rsid w:val="00797408"/>
    <w:rsid w:val="009E7ED9"/>
    <w:rsid w:val="00A30B8D"/>
    <w:rsid w:val="00D30A27"/>
    <w:rsid w:val="00F74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FC75"/>
  <w15:chartTrackingRefBased/>
  <w15:docId w15:val="{08DF04F2-040F-4CB8-9E92-F3047145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7E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696B5A"/>
    <w:pPr>
      <w:widowControl w:val="0"/>
      <w:autoSpaceDE w:val="0"/>
      <w:autoSpaceDN w:val="0"/>
      <w:spacing w:after="0" w:line="240" w:lineRule="auto"/>
      <w:ind w:left="2288" w:right="2589"/>
      <w:jc w:val="center"/>
      <w:outlineLvl w:val="2"/>
    </w:pPr>
    <w:rPr>
      <w:rFonts w:ascii="Arial" w:eastAsia="Arial" w:hAnsi="Arial" w:cs="Arial"/>
      <w:b/>
      <w:bCs/>
      <w:sz w:val="24"/>
      <w:szCs w:val="24"/>
      <w:lang w:val="en-US"/>
    </w:rPr>
  </w:style>
  <w:style w:type="paragraph" w:styleId="Heading4">
    <w:name w:val="heading 4"/>
    <w:basedOn w:val="Normal"/>
    <w:link w:val="Heading4Char"/>
    <w:uiPriority w:val="9"/>
    <w:semiHidden/>
    <w:unhideWhenUsed/>
    <w:qFormat/>
    <w:rsid w:val="00696B5A"/>
    <w:pPr>
      <w:widowControl w:val="0"/>
      <w:autoSpaceDE w:val="0"/>
      <w:autoSpaceDN w:val="0"/>
      <w:spacing w:before="277" w:after="0" w:line="240" w:lineRule="auto"/>
      <w:ind w:left="3427"/>
      <w:outlineLvl w:val="3"/>
    </w:pPr>
    <w:rPr>
      <w:rFonts w:ascii="Century Gothic" w:eastAsia="Century Gothic" w:hAnsi="Century Gothic" w:cs="Century Gothic"/>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6B5A"/>
    <w:rPr>
      <w:rFonts w:ascii="Arial" w:eastAsia="Arial" w:hAnsi="Arial" w:cs="Arial"/>
      <w:b/>
      <w:bCs/>
      <w:sz w:val="24"/>
      <w:szCs w:val="24"/>
      <w:lang w:val="en-US"/>
    </w:rPr>
  </w:style>
  <w:style w:type="character" w:customStyle="1" w:styleId="Heading4Char">
    <w:name w:val="Heading 4 Char"/>
    <w:basedOn w:val="DefaultParagraphFont"/>
    <w:link w:val="Heading4"/>
    <w:uiPriority w:val="9"/>
    <w:semiHidden/>
    <w:rsid w:val="00696B5A"/>
    <w:rPr>
      <w:rFonts w:ascii="Century Gothic" w:eastAsia="Century Gothic" w:hAnsi="Century Gothic" w:cs="Century Gothic"/>
      <w:b/>
      <w:bCs/>
      <w:lang w:val="en-US"/>
    </w:rPr>
  </w:style>
  <w:style w:type="paragraph" w:styleId="Title">
    <w:name w:val="Title"/>
    <w:basedOn w:val="Normal"/>
    <w:link w:val="TitleChar"/>
    <w:uiPriority w:val="10"/>
    <w:qFormat/>
    <w:rsid w:val="00696B5A"/>
    <w:pPr>
      <w:widowControl w:val="0"/>
      <w:autoSpaceDE w:val="0"/>
      <w:autoSpaceDN w:val="0"/>
      <w:spacing w:after="0" w:line="240" w:lineRule="auto"/>
      <w:ind w:left="1751" w:right="2589"/>
      <w:jc w:val="center"/>
    </w:pPr>
    <w:rPr>
      <w:rFonts w:ascii="Arial" w:eastAsia="Arial" w:hAnsi="Arial" w:cs="Arial"/>
      <w:b/>
      <w:bCs/>
      <w:sz w:val="36"/>
      <w:szCs w:val="36"/>
      <w:lang w:val="en-US"/>
    </w:rPr>
  </w:style>
  <w:style w:type="character" w:customStyle="1" w:styleId="TitleChar">
    <w:name w:val="Title Char"/>
    <w:basedOn w:val="DefaultParagraphFont"/>
    <w:link w:val="Title"/>
    <w:uiPriority w:val="10"/>
    <w:rsid w:val="00696B5A"/>
    <w:rPr>
      <w:rFonts w:ascii="Arial" w:eastAsia="Arial" w:hAnsi="Arial" w:cs="Arial"/>
      <w:b/>
      <w:bCs/>
      <w:sz w:val="36"/>
      <w:szCs w:val="36"/>
      <w:lang w:val="en-US"/>
    </w:rPr>
  </w:style>
  <w:style w:type="paragraph" w:styleId="BodyText">
    <w:name w:val="Body Text"/>
    <w:basedOn w:val="Normal"/>
    <w:link w:val="BodyTextChar"/>
    <w:uiPriority w:val="1"/>
    <w:unhideWhenUsed/>
    <w:qFormat/>
    <w:rsid w:val="00696B5A"/>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696B5A"/>
    <w:rPr>
      <w:rFonts w:ascii="Arial" w:eastAsia="Arial" w:hAnsi="Arial" w:cs="Arial"/>
      <w:lang w:val="en-US"/>
    </w:rPr>
  </w:style>
  <w:style w:type="table" w:styleId="TableGrid">
    <w:name w:val="Table Grid"/>
    <w:basedOn w:val="TableNormal"/>
    <w:uiPriority w:val="39"/>
    <w:rsid w:val="001E4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E7ED9"/>
    <w:rPr>
      <w:rFonts w:asciiTheme="majorHAnsi" w:eastAsiaTheme="majorEastAsia" w:hAnsiTheme="majorHAnsi" w:cstheme="majorBidi"/>
      <w:color w:val="2F5496" w:themeColor="accent1" w:themeShade="BF"/>
      <w:sz w:val="26"/>
      <w:szCs w:val="26"/>
    </w:rPr>
  </w:style>
  <w:style w:type="paragraph" w:customStyle="1" w:styleId="TNCBodyText">
    <w:name w:val="TNC Body Text"/>
    <w:basedOn w:val="Normal"/>
    <w:link w:val="TNCBodyTextChar"/>
    <w:qFormat/>
    <w:rsid w:val="009E7ED9"/>
    <w:pPr>
      <w:spacing w:before="200" w:after="200" w:line="276" w:lineRule="auto"/>
      <w:jc w:val="both"/>
    </w:pPr>
  </w:style>
  <w:style w:type="character" w:customStyle="1" w:styleId="TNCBodyTextChar">
    <w:name w:val="TNC Body Text Char"/>
    <w:basedOn w:val="DefaultParagraphFont"/>
    <w:link w:val="TNCBodyText"/>
    <w:rsid w:val="009E7ED9"/>
  </w:style>
  <w:style w:type="character" w:styleId="Hyperlink">
    <w:name w:val="Hyperlink"/>
    <w:basedOn w:val="DefaultParagraphFont"/>
    <w:uiPriority w:val="99"/>
    <w:unhideWhenUsed/>
    <w:rsid w:val="009E7ED9"/>
    <w:rPr>
      <w:color w:val="0563C1" w:themeColor="hyperlink"/>
      <w:u w:val="single"/>
    </w:rPr>
  </w:style>
  <w:style w:type="paragraph" w:styleId="ListParagraph">
    <w:name w:val="List Paragraph"/>
    <w:basedOn w:val="Normal"/>
    <w:uiPriority w:val="34"/>
    <w:qFormat/>
    <w:rsid w:val="009E7ED9"/>
    <w:pPr>
      <w:ind w:left="720"/>
      <w:contextualSpacing/>
    </w:pPr>
  </w:style>
  <w:style w:type="paragraph" w:customStyle="1" w:styleId="Policysections">
    <w:name w:val="Policy sections"/>
    <w:basedOn w:val="Heading1"/>
    <w:link w:val="PolicysectionsChar"/>
    <w:rsid w:val="009E7ED9"/>
    <w:pPr>
      <w:numPr>
        <w:numId w:val="1"/>
      </w:numPr>
      <w:spacing w:before="200" w:after="200"/>
      <w:ind w:left="425" w:hanging="425"/>
    </w:pPr>
  </w:style>
  <w:style w:type="character" w:customStyle="1" w:styleId="PolicysectionsChar">
    <w:name w:val="Policy sections Char"/>
    <w:basedOn w:val="Heading1Char"/>
    <w:link w:val="Policysections"/>
    <w:rsid w:val="009E7ED9"/>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9E7ED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94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schools.norfolk.gov.uk/exclu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T:\Policies\JGS%20New%20Policy%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JGS New Policy template final</Template>
  <TotalTime>5</TotalTime>
  <Pages>11</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Belinda</dc:creator>
  <cp:keywords/>
  <dc:description/>
  <cp:lastModifiedBy>Head Belinda</cp:lastModifiedBy>
  <cp:revision>2</cp:revision>
  <cp:lastPrinted>2025-12-12T07:18:00Z</cp:lastPrinted>
  <dcterms:created xsi:type="dcterms:W3CDTF">2025-12-12T07:14:00Z</dcterms:created>
  <dcterms:modified xsi:type="dcterms:W3CDTF">2025-12-12T07:23:00Z</dcterms:modified>
</cp:coreProperties>
</file>