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C8" w:rsidRDefault="00E71988">
      <w:pPr>
        <w:pStyle w:val="BodyText"/>
        <w:rPr>
          <w:rFonts w:ascii="Times New Roman"/>
          <w:sz w:val="20"/>
        </w:rPr>
      </w:pPr>
      <w:bookmarkStart w:id="0" w:name="_GoBack"/>
      <w:bookmarkEnd w:id="0"/>
      <w:r>
        <w:rPr>
          <w:b/>
          <w:noProof/>
          <w:sz w:val="36"/>
          <w:lang w:bidi="ar-SA"/>
        </w:rPr>
        <w:drawing>
          <wp:anchor distT="0" distB="0" distL="114300" distR="114300" simplePos="0" relativeHeight="251661312" behindDoc="0" locked="0" layoutInCell="1" allowOverlap="1">
            <wp:simplePos x="0" y="0"/>
            <wp:positionH relativeFrom="column">
              <wp:posOffset>9383542</wp:posOffset>
            </wp:positionH>
            <wp:positionV relativeFrom="paragraph">
              <wp:posOffset>-11430</wp:posOffset>
            </wp:positionV>
            <wp:extent cx="679938" cy="6799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679938" cy="679938"/>
                    </a:xfrm>
                    <a:prstGeom prst="rect">
                      <a:avLst/>
                    </a:prstGeom>
                  </pic:spPr>
                </pic:pic>
              </a:graphicData>
            </a:graphic>
            <wp14:sizeRelH relativeFrom="page">
              <wp14:pctWidth>0</wp14:pctWidth>
            </wp14:sizeRelH>
            <wp14:sizeRelV relativeFrom="page">
              <wp14:pctHeight>0</wp14:pctHeight>
            </wp14:sizeRelV>
          </wp:anchor>
        </w:drawing>
      </w:r>
    </w:p>
    <w:p w:rsidR="009D62C8" w:rsidRDefault="00E71988" w:rsidP="00E71988">
      <w:pPr>
        <w:spacing w:before="210"/>
        <w:ind w:left="5103" w:right="5454"/>
        <w:jc w:val="center"/>
        <w:rPr>
          <w:b/>
          <w:sz w:val="36"/>
        </w:rPr>
      </w:pPr>
      <w:r>
        <w:rPr>
          <w:b/>
          <w:sz w:val="36"/>
        </w:rPr>
        <w:t>Kenilworth</w:t>
      </w:r>
      <w:r w:rsidR="007C329B">
        <w:rPr>
          <w:b/>
          <w:sz w:val="36"/>
        </w:rPr>
        <w:t xml:space="preserve"> Primary School</w:t>
      </w:r>
    </w:p>
    <w:p w:rsidR="009D62C8" w:rsidRDefault="007C329B">
      <w:pPr>
        <w:spacing w:before="5"/>
        <w:ind w:left="5540" w:right="5835"/>
        <w:jc w:val="center"/>
        <w:rPr>
          <w:b/>
          <w:sz w:val="28"/>
        </w:rPr>
      </w:pPr>
      <w:r>
        <w:rPr>
          <w:b/>
          <w:sz w:val="28"/>
        </w:rPr>
        <w:t>Catch-Up Premium Plan</w:t>
      </w:r>
    </w:p>
    <w:p w:rsidR="004151D0" w:rsidRDefault="004151D0">
      <w:pPr>
        <w:spacing w:before="5"/>
        <w:ind w:left="5540" w:right="5835"/>
        <w:jc w:val="center"/>
        <w:rPr>
          <w:b/>
          <w:sz w:val="28"/>
        </w:rPr>
      </w:pPr>
      <w:r>
        <w:rPr>
          <w:b/>
          <w:sz w:val="28"/>
        </w:rPr>
        <w:t>2020/21</w:t>
      </w:r>
    </w:p>
    <w:p w:rsidR="000C21C7" w:rsidRPr="000C21C7" w:rsidRDefault="000C21C7">
      <w:pPr>
        <w:spacing w:before="5"/>
        <w:ind w:left="5540" w:right="5835"/>
        <w:jc w:val="center"/>
        <w:rPr>
          <w:b/>
          <w:color w:val="00B0F0"/>
          <w:sz w:val="28"/>
        </w:rPr>
      </w:pPr>
      <w:r w:rsidRPr="000C21C7">
        <w:rPr>
          <w:b/>
          <w:color w:val="00B0F0"/>
          <w:sz w:val="28"/>
        </w:rPr>
        <w:t>2021/22</w:t>
      </w:r>
    </w:p>
    <w:p w:rsidR="009D62C8" w:rsidRDefault="009D62C8">
      <w:pPr>
        <w:pStyle w:val="BodyText"/>
        <w:rPr>
          <w:b/>
          <w:sz w:val="20"/>
        </w:rPr>
      </w:pPr>
    </w:p>
    <w:p w:rsidR="009D62C8" w:rsidRDefault="009D62C8">
      <w:pPr>
        <w:pStyle w:val="BodyText"/>
        <w:rPr>
          <w:b/>
          <w:sz w:val="20"/>
        </w:rPr>
      </w:pPr>
    </w:p>
    <w:p w:rsidR="009D62C8" w:rsidRDefault="009D62C8">
      <w:pPr>
        <w:pStyle w:val="BodyText"/>
        <w:rPr>
          <w:b/>
          <w:sz w:val="20"/>
        </w:rPr>
      </w:pPr>
    </w:p>
    <w:p w:rsidR="009D62C8" w:rsidRDefault="009D62C8">
      <w:pPr>
        <w:pStyle w:val="BodyText"/>
        <w:spacing w:before="1"/>
        <w:rPr>
          <w:b/>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2"/>
        <w:gridCol w:w="4820"/>
        <w:gridCol w:w="1560"/>
      </w:tblGrid>
      <w:tr w:rsidR="009D62C8" w:rsidTr="00E71988">
        <w:trPr>
          <w:trHeight w:val="390"/>
        </w:trPr>
        <w:tc>
          <w:tcPr>
            <w:tcW w:w="15421" w:type="dxa"/>
            <w:gridSpan w:val="6"/>
            <w:shd w:val="clear" w:color="auto" w:fill="943634" w:themeFill="accent2" w:themeFillShade="BF"/>
          </w:tcPr>
          <w:p w:rsidR="009D62C8" w:rsidRDefault="007C329B">
            <w:pPr>
              <w:pStyle w:val="TableParagraph"/>
              <w:spacing w:before="53"/>
              <w:ind w:left="107"/>
              <w:rPr>
                <w:b/>
                <w:sz w:val="24"/>
              </w:rPr>
            </w:pPr>
            <w:r>
              <w:rPr>
                <w:b/>
                <w:color w:val="FFFFFF"/>
                <w:sz w:val="24"/>
              </w:rPr>
              <w:t>Summary information</w:t>
            </w:r>
          </w:p>
        </w:tc>
      </w:tr>
      <w:tr w:rsidR="009D62C8">
        <w:trPr>
          <w:trHeight w:val="388"/>
        </w:trPr>
        <w:tc>
          <w:tcPr>
            <w:tcW w:w="2660" w:type="dxa"/>
          </w:tcPr>
          <w:p w:rsidR="009D62C8" w:rsidRDefault="007C329B">
            <w:pPr>
              <w:pStyle w:val="TableParagraph"/>
              <w:spacing w:before="53"/>
              <w:ind w:left="107"/>
              <w:rPr>
                <w:b/>
                <w:sz w:val="24"/>
              </w:rPr>
            </w:pPr>
            <w:r>
              <w:rPr>
                <w:b/>
                <w:sz w:val="24"/>
              </w:rPr>
              <w:t>School</w:t>
            </w:r>
          </w:p>
        </w:tc>
        <w:tc>
          <w:tcPr>
            <w:tcW w:w="12761" w:type="dxa"/>
            <w:gridSpan w:val="5"/>
          </w:tcPr>
          <w:p w:rsidR="009D62C8" w:rsidRDefault="00E71988">
            <w:pPr>
              <w:pStyle w:val="TableParagraph"/>
              <w:spacing w:before="53"/>
              <w:ind w:left="107"/>
              <w:rPr>
                <w:sz w:val="24"/>
              </w:rPr>
            </w:pPr>
            <w:r>
              <w:rPr>
                <w:sz w:val="24"/>
              </w:rPr>
              <w:t>Kenilworth</w:t>
            </w:r>
            <w:r w:rsidR="007C329B">
              <w:rPr>
                <w:sz w:val="24"/>
              </w:rPr>
              <w:t xml:space="preserve"> Primary School</w:t>
            </w:r>
          </w:p>
        </w:tc>
      </w:tr>
      <w:tr w:rsidR="009D62C8">
        <w:trPr>
          <w:trHeight w:val="441"/>
        </w:trPr>
        <w:tc>
          <w:tcPr>
            <w:tcW w:w="2660" w:type="dxa"/>
          </w:tcPr>
          <w:p w:rsidR="009D62C8" w:rsidRDefault="007C329B">
            <w:pPr>
              <w:pStyle w:val="TableParagraph"/>
              <w:spacing w:before="53"/>
              <w:ind w:left="107"/>
              <w:rPr>
                <w:b/>
                <w:sz w:val="24"/>
              </w:rPr>
            </w:pPr>
            <w:r>
              <w:rPr>
                <w:b/>
                <w:sz w:val="24"/>
              </w:rPr>
              <w:t>Academic Year</w:t>
            </w:r>
          </w:p>
        </w:tc>
        <w:tc>
          <w:tcPr>
            <w:tcW w:w="1277" w:type="dxa"/>
          </w:tcPr>
          <w:p w:rsidR="009D62C8" w:rsidRDefault="007C329B">
            <w:pPr>
              <w:pStyle w:val="TableParagraph"/>
              <w:spacing w:before="53"/>
              <w:ind w:left="107"/>
              <w:rPr>
                <w:sz w:val="24"/>
              </w:rPr>
            </w:pPr>
            <w:r>
              <w:rPr>
                <w:sz w:val="24"/>
              </w:rPr>
              <w:t>2020-21</w:t>
            </w:r>
          </w:p>
          <w:p w:rsidR="004151D0" w:rsidRPr="006375A1" w:rsidRDefault="004151D0">
            <w:pPr>
              <w:pStyle w:val="TableParagraph"/>
              <w:spacing w:before="53"/>
              <w:ind w:left="107"/>
              <w:rPr>
                <w:color w:val="00B0F0"/>
                <w:sz w:val="24"/>
              </w:rPr>
            </w:pPr>
            <w:r w:rsidRPr="006375A1">
              <w:rPr>
                <w:color w:val="00B0F0"/>
                <w:sz w:val="24"/>
              </w:rPr>
              <w:t>2021/22</w:t>
            </w:r>
          </w:p>
        </w:tc>
        <w:tc>
          <w:tcPr>
            <w:tcW w:w="3632" w:type="dxa"/>
          </w:tcPr>
          <w:p w:rsidR="009D62C8" w:rsidRDefault="007C329B">
            <w:pPr>
              <w:pStyle w:val="TableParagraph"/>
              <w:spacing w:before="53"/>
              <w:ind w:left="107"/>
              <w:rPr>
                <w:b/>
                <w:sz w:val="24"/>
              </w:rPr>
            </w:pPr>
            <w:r>
              <w:rPr>
                <w:b/>
                <w:sz w:val="24"/>
              </w:rPr>
              <w:t>Total Catch-Up Premium</w:t>
            </w:r>
          </w:p>
          <w:p w:rsidR="006375A1" w:rsidRDefault="006375A1">
            <w:pPr>
              <w:pStyle w:val="TableParagraph"/>
              <w:spacing w:before="53"/>
              <w:ind w:left="107"/>
              <w:rPr>
                <w:b/>
                <w:sz w:val="24"/>
              </w:rPr>
            </w:pPr>
            <w:r>
              <w:rPr>
                <w:b/>
                <w:sz w:val="24"/>
              </w:rPr>
              <w:t>Total Catch-Up Premium</w:t>
            </w:r>
          </w:p>
        </w:tc>
        <w:tc>
          <w:tcPr>
            <w:tcW w:w="1472" w:type="dxa"/>
          </w:tcPr>
          <w:p w:rsidR="006375A1" w:rsidRDefault="00BB2808" w:rsidP="006375A1">
            <w:pPr>
              <w:pStyle w:val="TableParagraph"/>
              <w:spacing w:before="53"/>
              <w:ind w:left="106"/>
              <w:rPr>
                <w:sz w:val="24"/>
              </w:rPr>
            </w:pPr>
            <w:r>
              <w:rPr>
                <w:sz w:val="24"/>
              </w:rPr>
              <w:t>£16320</w:t>
            </w:r>
          </w:p>
          <w:p w:rsidR="006375A1" w:rsidRPr="006375A1" w:rsidRDefault="006375A1" w:rsidP="006375A1">
            <w:pPr>
              <w:pStyle w:val="TableParagraph"/>
              <w:spacing w:before="53"/>
              <w:ind w:left="106"/>
              <w:rPr>
                <w:color w:val="00B0F0"/>
                <w:sz w:val="24"/>
              </w:rPr>
            </w:pPr>
            <w:r w:rsidRPr="006375A1">
              <w:rPr>
                <w:color w:val="00B0F0"/>
                <w:sz w:val="24"/>
              </w:rPr>
              <w:t>£6360</w:t>
            </w:r>
          </w:p>
        </w:tc>
        <w:tc>
          <w:tcPr>
            <w:tcW w:w="4820" w:type="dxa"/>
          </w:tcPr>
          <w:p w:rsidR="009D62C8" w:rsidRDefault="007C329B">
            <w:pPr>
              <w:pStyle w:val="TableParagraph"/>
              <w:spacing w:before="53"/>
              <w:ind w:left="106"/>
              <w:rPr>
                <w:b/>
                <w:sz w:val="24"/>
              </w:rPr>
            </w:pPr>
            <w:r>
              <w:rPr>
                <w:b/>
                <w:sz w:val="24"/>
              </w:rPr>
              <w:t>Total Number of Pupils</w:t>
            </w:r>
          </w:p>
          <w:p w:rsidR="006375A1" w:rsidRDefault="006375A1">
            <w:pPr>
              <w:pStyle w:val="TableParagraph"/>
              <w:spacing w:before="53"/>
              <w:ind w:left="106"/>
              <w:rPr>
                <w:b/>
                <w:sz w:val="24"/>
              </w:rPr>
            </w:pPr>
            <w:r>
              <w:rPr>
                <w:b/>
                <w:sz w:val="24"/>
              </w:rPr>
              <w:t>Total Number of Pupils</w:t>
            </w:r>
          </w:p>
        </w:tc>
        <w:tc>
          <w:tcPr>
            <w:tcW w:w="1560" w:type="dxa"/>
          </w:tcPr>
          <w:p w:rsidR="009D62C8" w:rsidRDefault="006F6311">
            <w:pPr>
              <w:pStyle w:val="TableParagraph"/>
              <w:spacing w:before="53"/>
              <w:ind w:left="106"/>
              <w:rPr>
                <w:sz w:val="24"/>
              </w:rPr>
            </w:pPr>
            <w:r>
              <w:rPr>
                <w:sz w:val="24"/>
              </w:rPr>
              <w:t>207</w:t>
            </w:r>
          </w:p>
          <w:p w:rsidR="006375A1" w:rsidRDefault="006375A1">
            <w:pPr>
              <w:pStyle w:val="TableParagraph"/>
              <w:spacing w:before="53"/>
              <w:ind w:left="106"/>
              <w:rPr>
                <w:sz w:val="24"/>
              </w:rPr>
            </w:pPr>
            <w:r w:rsidRPr="00C61E3D">
              <w:rPr>
                <w:color w:val="00B0F0"/>
                <w:sz w:val="24"/>
              </w:rPr>
              <w:t>206</w:t>
            </w:r>
          </w:p>
        </w:tc>
      </w:tr>
    </w:tbl>
    <w:p w:rsidR="009D62C8" w:rsidRDefault="009D62C8">
      <w:pPr>
        <w:pStyle w:val="BodyText"/>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7"/>
        <w:gridCol w:w="7707"/>
      </w:tblGrid>
      <w:tr w:rsidR="009D62C8" w:rsidTr="00E71988">
        <w:trPr>
          <w:trHeight w:val="510"/>
        </w:trPr>
        <w:tc>
          <w:tcPr>
            <w:tcW w:w="15414" w:type="dxa"/>
            <w:gridSpan w:val="2"/>
            <w:shd w:val="clear" w:color="auto" w:fill="943634" w:themeFill="accent2" w:themeFillShade="BF"/>
          </w:tcPr>
          <w:p w:rsidR="009D62C8" w:rsidRDefault="007C329B">
            <w:pPr>
              <w:pStyle w:val="TableParagraph"/>
              <w:spacing w:before="53"/>
              <w:ind w:left="107"/>
              <w:rPr>
                <w:b/>
                <w:sz w:val="24"/>
              </w:rPr>
            </w:pPr>
            <w:r>
              <w:rPr>
                <w:b/>
                <w:color w:val="FFFFFF"/>
                <w:sz w:val="24"/>
              </w:rPr>
              <w:t>Guidance</w:t>
            </w:r>
          </w:p>
        </w:tc>
      </w:tr>
      <w:tr w:rsidR="009D62C8">
        <w:trPr>
          <w:trHeight w:val="3148"/>
        </w:trPr>
        <w:tc>
          <w:tcPr>
            <w:tcW w:w="15414" w:type="dxa"/>
            <w:gridSpan w:val="2"/>
          </w:tcPr>
          <w:p w:rsidR="009D62C8" w:rsidRDefault="009D62C8">
            <w:pPr>
              <w:pStyle w:val="TableParagraph"/>
              <w:spacing w:before="7"/>
              <w:rPr>
                <w:b/>
                <w:sz w:val="28"/>
              </w:rPr>
            </w:pPr>
          </w:p>
          <w:p w:rsidR="009D62C8" w:rsidRDefault="007C329B">
            <w:pPr>
              <w:pStyle w:val="TableParagraph"/>
              <w:ind w:left="107" w:right="429"/>
              <w:rPr>
                <w:sz w:val="24"/>
              </w:rPr>
            </w:pPr>
            <w:r>
              <w:rPr>
                <w:color w:val="0A0C0C"/>
                <w:sz w:val="24"/>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9D62C8" w:rsidRDefault="009D62C8">
            <w:pPr>
              <w:pStyle w:val="TableParagraph"/>
              <w:rPr>
                <w:b/>
                <w:sz w:val="24"/>
              </w:rPr>
            </w:pPr>
          </w:p>
          <w:p w:rsidR="009D62C8" w:rsidRDefault="009D62C8" w:rsidP="005A6024">
            <w:pPr>
              <w:pStyle w:val="TableParagraph"/>
              <w:ind w:right="1002"/>
              <w:rPr>
                <w:sz w:val="24"/>
              </w:rPr>
            </w:pPr>
          </w:p>
          <w:p w:rsidR="009D62C8" w:rsidRDefault="009D62C8">
            <w:pPr>
              <w:pStyle w:val="TableParagraph"/>
              <w:rPr>
                <w:b/>
                <w:sz w:val="24"/>
              </w:rPr>
            </w:pPr>
          </w:p>
          <w:p w:rsidR="009D62C8" w:rsidRDefault="007C329B">
            <w:pPr>
              <w:pStyle w:val="TableParagraph"/>
              <w:ind w:left="107" w:right="267"/>
              <w:rPr>
                <w:color w:val="0A0C0C"/>
                <w:sz w:val="24"/>
              </w:rPr>
            </w:pPr>
            <w:r>
              <w:rPr>
                <w:color w:val="0A0C0C"/>
                <w:sz w:val="24"/>
              </w:rPr>
              <w:t>As the catch-up premium has been designed to mitigate the effects of the unique disruption caused by c</w:t>
            </w:r>
            <w:r w:rsidR="006F6311">
              <w:rPr>
                <w:color w:val="0A0C0C"/>
                <w:sz w:val="24"/>
              </w:rPr>
              <w:t>oronavirus (COVID-19), the award was initially</w:t>
            </w:r>
            <w:r>
              <w:rPr>
                <w:color w:val="0A0C0C"/>
                <w:sz w:val="24"/>
              </w:rPr>
              <w:t xml:space="preserve"> only be available for the 2020 to 2021 academic year. It will not be added to schools’ baselines in calculating future years’ funding allocations.</w:t>
            </w:r>
          </w:p>
          <w:p w:rsidR="006F6311" w:rsidRDefault="006F6311">
            <w:pPr>
              <w:pStyle w:val="TableParagraph"/>
              <w:ind w:left="107" w:right="267"/>
              <w:rPr>
                <w:color w:val="0A0C0C"/>
                <w:sz w:val="24"/>
              </w:rPr>
            </w:pPr>
          </w:p>
          <w:p w:rsidR="006F6311" w:rsidRDefault="006F6311">
            <w:pPr>
              <w:pStyle w:val="TableParagraph"/>
              <w:ind w:left="107" w:right="267"/>
              <w:rPr>
                <w:color w:val="0A0C0C"/>
                <w:sz w:val="24"/>
              </w:rPr>
            </w:pPr>
            <w:r>
              <w:rPr>
                <w:color w:val="0A0C0C"/>
                <w:sz w:val="24"/>
              </w:rPr>
              <w:t>Another award was made in Autumn 21 of £6360</w:t>
            </w:r>
          </w:p>
          <w:p w:rsidR="006F6311" w:rsidRDefault="006F6311">
            <w:pPr>
              <w:pStyle w:val="TableParagraph"/>
              <w:ind w:left="107" w:right="267"/>
              <w:rPr>
                <w:sz w:val="24"/>
              </w:rPr>
            </w:pPr>
          </w:p>
        </w:tc>
      </w:tr>
      <w:tr w:rsidR="009D62C8" w:rsidTr="00E71988">
        <w:trPr>
          <w:trHeight w:val="446"/>
        </w:trPr>
        <w:tc>
          <w:tcPr>
            <w:tcW w:w="7707" w:type="dxa"/>
            <w:shd w:val="clear" w:color="auto" w:fill="943634" w:themeFill="accent2" w:themeFillShade="BF"/>
          </w:tcPr>
          <w:p w:rsidR="009D62C8" w:rsidRDefault="007C329B">
            <w:pPr>
              <w:pStyle w:val="TableParagraph"/>
              <w:spacing w:before="53"/>
              <w:ind w:left="107"/>
              <w:rPr>
                <w:b/>
                <w:sz w:val="24"/>
              </w:rPr>
            </w:pPr>
            <w:r>
              <w:rPr>
                <w:b/>
                <w:color w:val="FFFFFF"/>
                <w:sz w:val="24"/>
              </w:rPr>
              <w:t>Use of Funds</w:t>
            </w:r>
          </w:p>
        </w:tc>
        <w:tc>
          <w:tcPr>
            <w:tcW w:w="7707" w:type="dxa"/>
            <w:shd w:val="clear" w:color="auto" w:fill="943634" w:themeFill="accent2" w:themeFillShade="BF"/>
          </w:tcPr>
          <w:p w:rsidR="009D62C8" w:rsidRDefault="007C329B">
            <w:pPr>
              <w:pStyle w:val="TableParagraph"/>
              <w:spacing w:before="53"/>
              <w:ind w:left="108"/>
              <w:rPr>
                <w:b/>
                <w:sz w:val="24"/>
              </w:rPr>
            </w:pPr>
            <w:r>
              <w:rPr>
                <w:b/>
                <w:color w:val="FFFFFF"/>
                <w:sz w:val="24"/>
              </w:rPr>
              <w:t>EEF Recommendations</w:t>
            </w:r>
          </w:p>
        </w:tc>
      </w:tr>
      <w:tr w:rsidR="009D62C8">
        <w:trPr>
          <w:trHeight w:val="3703"/>
        </w:trPr>
        <w:tc>
          <w:tcPr>
            <w:tcW w:w="7707" w:type="dxa"/>
          </w:tcPr>
          <w:p w:rsidR="009D62C8" w:rsidRDefault="009D62C8">
            <w:pPr>
              <w:pStyle w:val="TableParagraph"/>
              <w:spacing w:before="7"/>
              <w:rPr>
                <w:b/>
                <w:sz w:val="28"/>
              </w:rPr>
            </w:pPr>
          </w:p>
          <w:p w:rsidR="009D62C8" w:rsidRDefault="007C329B">
            <w:pPr>
              <w:pStyle w:val="TableParagraph"/>
              <w:ind w:left="107" w:right="326"/>
              <w:rPr>
                <w:sz w:val="24"/>
              </w:rPr>
            </w:pPr>
            <w:r>
              <w:rPr>
                <w:color w:val="0A0C0C"/>
                <w:sz w:val="24"/>
              </w:rPr>
              <w:t xml:space="preserve">Schools should use this funding for specific activities to support their pupils to catch up for lost teaching over the previous months, in line with the guidance on </w:t>
            </w:r>
            <w:hyperlink r:id="rId6" w:anchor="section-3-curriculum-behaviour-and-pastoral-support">
              <w:r>
                <w:rPr>
                  <w:color w:val="4B2C92"/>
                  <w:sz w:val="24"/>
                  <w:u w:val="single" w:color="4B2C92"/>
                </w:rPr>
                <w:t>curriculum expectations for the next academic</w:t>
              </w:r>
            </w:hyperlink>
            <w:r>
              <w:rPr>
                <w:color w:val="4B2C92"/>
                <w:sz w:val="24"/>
              </w:rPr>
              <w:t xml:space="preserve"> </w:t>
            </w:r>
            <w:hyperlink r:id="rId7" w:anchor="section-3-curriculum-behaviour-and-pastoral-support">
              <w:r>
                <w:rPr>
                  <w:color w:val="4B2C92"/>
                  <w:sz w:val="24"/>
                  <w:u w:val="single" w:color="4B2C92"/>
                </w:rPr>
                <w:t>year</w:t>
              </w:r>
            </w:hyperlink>
            <w:r>
              <w:rPr>
                <w:color w:val="0A0C0C"/>
                <w:sz w:val="24"/>
              </w:rPr>
              <w:t>.</w:t>
            </w:r>
          </w:p>
          <w:p w:rsidR="009D62C8" w:rsidRDefault="009D62C8">
            <w:pPr>
              <w:pStyle w:val="TableParagraph"/>
              <w:spacing w:before="1"/>
              <w:rPr>
                <w:b/>
                <w:sz w:val="26"/>
              </w:rPr>
            </w:pPr>
          </w:p>
          <w:p w:rsidR="009D62C8" w:rsidRDefault="007C329B">
            <w:pPr>
              <w:pStyle w:val="TableParagraph"/>
              <w:spacing w:before="1"/>
              <w:ind w:left="107"/>
              <w:rPr>
                <w:sz w:val="24"/>
              </w:rPr>
            </w:pPr>
            <w:r>
              <w:rPr>
                <w:color w:val="0A0C0C"/>
                <w:sz w:val="24"/>
              </w:rPr>
              <w:t>Schools have the flexibility to spend their funding in the best way for their cohort and circumstances.</w:t>
            </w:r>
          </w:p>
          <w:p w:rsidR="009D62C8" w:rsidRDefault="009D62C8">
            <w:pPr>
              <w:pStyle w:val="TableParagraph"/>
              <w:rPr>
                <w:b/>
                <w:sz w:val="26"/>
              </w:rPr>
            </w:pPr>
          </w:p>
          <w:p w:rsidR="009D62C8" w:rsidRDefault="007C329B">
            <w:pPr>
              <w:pStyle w:val="TableParagraph"/>
              <w:spacing w:before="1"/>
              <w:ind w:left="107"/>
              <w:rPr>
                <w:sz w:val="24"/>
              </w:rPr>
            </w:pPr>
            <w:r>
              <w:rPr>
                <w:color w:val="0A0C0C"/>
                <w:sz w:val="24"/>
              </w:rPr>
              <w:t xml:space="preserve">To support schools to make the best use of this funding, the Education Endowment Foundation (EEF) has published a </w:t>
            </w:r>
            <w:hyperlink r:id="rId8" w:anchor="nav-covid-19-support-guide-for-schools1">
              <w:r>
                <w:rPr>
                  <w:color w:val="4B2C92"/>
                  <w:sz w:val="24"/>
                  <w:u w:val="single" w:color="4B2C92"/>
                </w:rPr>
                <w:t>coronavirus (COVID-</w:t>
              </w:r>
            </w:hyperlink>
            <w:r>
              <w:rPr>
                <w:color w:val="4B2C92"/>
                <w:sz w:val="24"/>
              </w:rPr>
              <w:t xml:space="preserve"> </w:t>
            </w:r>
            <w:hyperlink r:id="rId9" w:anchor="nav-covid-19-support-guide-for-schools1">
              <w:r>
                <w:rPr>
                  <w:color w:val="4B2C92"/>
                  <w:sz w:val="24"/>
                  <w:u w:val="single" w:color="4B2C92"/>
                </w:rPr>
                <w:t>19) support guide for schools</w:t>
              </w:r>
              <w:r>
                <w:rPr>
                  <w:color w:val="4B2C92"/>
                  <w:sz w:val="24"/>
                </w:rPr>
                <w:t xml:space="preserve"> </w:t>
              </w:r>
            </w:hyperlink>
            <w:r>
              <w:rPr>
                <w:color w:val="0A0C0C"/>
                <w:sz w:val="24"/>
              </w:rPr>
              <w:t>with evidence-based approaches to</w:t>
            </w:r>
          </w:p>
        </w:tc>
        <w:tc>
          <w:tcPr>
            <w:tcW w:w="7707" w:type="dxa"/>
          </w:tcPr>
          <w:p w:rsidR="009D62C8" w:rsidRDefault="007C329B">
            <w:pPr>
              <w:pStyle w:val="TableParagraph"/>
              <w:spacing w:before="55" w:line="550" w:lineRule="atLeast"/>
              <w:ind w:left="108" w:right="3553"/>
              <w:rPr>
                <w:sz w:val="24"/>
              </w:rPr>
            </w:pPr>
            <w:r>
              <w:rPr>
                <w:sz w:val="24"/>
              </w:rPr>
              <w:t>The EEF advises the following: Teaching and whole school strategies</w:t>
            </w:r>
          </w:p>
          <w:p w:rsidR="009D62C8" w:rsidRDefault="007C329B">
            <w:pPr>
              <w:pStyle w:val="TableParagraph"/>
              <w:numPr>
                <w:ilvl w:val="0"/>
                <w:numId w:val="3"/>
              </w:numPr>
              <w:tabs>
                <w:tab w:val="left" w:pos="829"/>
              </w:tabs>
              <w:spacing w:line="266" w:lineRule="exact"/>
              <w:rPr>
                <w:sz w:val="24"/>
              </w:rPr>
            </w:pPr>
            <w:r>
              <w:rPr>
                <w:sz w:val="24"/>
              </w:rPr>
              <w:t>Supporting great</w:t>
            </w:r>
            <w:r>
              <w:rPr>
                <w:spacing w:val="-3"/>
                <w:sz w:val="24"/>
              </w:rPr>
              <w:t xml:space="preserve"> </w:t>
            </w:r>
            <w:r>
              <w:rPr>
                <w:sz w:val="24"/>
              </w:rPr>
              <w:t>teaching</w:t>
            </w:r>
          </w:p>
          <w:p w:rsidR="009D62C8" w:rsidRDefault="007C329B">
            <w:pPr>
              <w:pStyle w:val="TableParagraph"/>
              <w:numPr>
                <w:ilvl w:val="0"/>
                <w:numId w:val="3"/>
              </w:numPr>
              <w:tabs>
                <w:tab w:val="left" w:pos="829"/>
              </w:tabs>
              <w:spacing w:line="276" w:lineRule="exact"/>
              <w:rPr>
                <w:sz w:val="24"/>
              </w:rPr>
            </w:pPr>
            <w:r>
              <w:rPr>
                <w:sz w:val="24"/>
              </w:rPr>
              <w:t>Pupil assessment and</w:t>
            </w:r>
            <w:r>
              <w:rPr>
                <w:spacing w:val="-6"/>
                <w:sz w:val="24"/>
              </w:rPr>
              <w:t xml:space="preserve"> </w:t>
            </w:r>
            <w:r>
              <w:rPr>
                <w:sz w:val="24"/>
              </w:rPr>
              <w:t>feedback</w:t>
            </w:r>
          </w:p>
          <w:p w:rsidR="009D62C8" w:rsidRDefault="007C329B">
            <w:pPr>
              <w:pStyle w:val="TableParagraph"/>
              <w:numPr>
                <w:ilvl w:val="0"/>
                <w:numId w:val="3"/>
              </w:numPr>
              <w:tabs>
                <w:tab w:val="left" w:pos="829"/>
              </w:tabs>
              <w:spacing w:line="298" w:lineRule="exact"/>
              <w:rPr>
                <w:sz w:val="24"/>
              </w:rPr>
            </w:pPr>
            <w:r>
              <w:rPr>
                <w:sz w:val="24"/>
              </w:rPr>
              <w:t>Transition</w:t>
            </w:r>
            <w:r>
              <w:rPr>
                <w:spacing w:val="-1"/>
                <w:sz w:val="24"/>
              </w:rPr>
              <w:t xml:space="preserve"> </w:t>
            </w:r>
            <w:r>
              <w:rPr>
                <w:sz w:val="24"/>
              </w:rPr>
              <w:t>support</w:t>
            </w:r>
          </w:p>
          <w:p w:rsidR="009D62C8" w:rsidRDefault="007C329B">
            <w:pPr>
              <w:pStyle w:val="TableParagraph"/>
              <w:spacing w:before="266" w:line="259" w:lineRule="exact"/>
              <w:ind w:left="108"/>
              <w:rPr>
                <w:sz w:val="24"/>
              </w:rPr>
            </w:pPr>
            <w:r>
              <w:rPr>
                <w:sz w:val="24"/>
              </w:rPr>
              <w:t>Targeted approaches</w:t>
            </w:r>
          </w:p>
          <w:p w:rsidR="009D62C8" w:rsidRDefault="007C329B">
            <w:pPr>
              <w:pStyle w:val="TableParagraph"/>
              <w:numPr>
                <w:ilvl w:val="0"/>
                <w:numId w:val="3"/>
              </w:numPr>
              <w:tabs>
                <w:tab w:val="left" w:pos="829"/>
              </w:tabs>
              <w:spacing w:line="281" w:lineRule="exact"/>
              <w:rPr>
                <w:sz w:val="24"/>
              </w:rPr>
            </w:pPr>
            <w:r>
              <w:rPr>
                <w:sz w:val="24"/>
              </w:rPr>
              <w:t>One to one and small group</w:t>
            </w:r>
            <w:r>
              <w:rPr>
                <w:spacing w:val="-8"/>
                <w:sz w:val="24"/>
              </w:rPr>
              <w:t xml:space="preserve"> </w:t>
            </w:r>
            <w:r>
              <w:rPr>
                <w:sz w:val="24"/>
              </w:rPr>
              <w:t>tuition</w:t>
            </w:r>
          </w:p>
          <w:p w:rsidR="009D62C8" w:rsidRDefault="007C329B">
            <w:pPr>
              <w:pStyle w:val="TableParagraph"/>
              <w:numPr>
                <w:ilvl w:val="0"/>
                <w:numId w:val="3"/>
              </w:numPr>
              <w:tabs>
                <w:tab w:val="left" w:pos="829"/>
              </w:tabs>
              <w:spacing w:line="276" w:lineRule="exact"/>
              <w:rPr>
                <w:sz w:val="24"/>
              </w:rPr>
            </w:pPr>
            <w:r>
              <w:rPr>
                <w:sz w:val="24"/>
              </w:rPr>
              <w:t>Intervention</w:t>
            </w:r>
            <w:r>
              <w:rPr>
                <w:spacing w:val="-3"/>
                <w:sz w:val="24"/>
              </w:rPr>
              <w:t xml:space="preserve"> </w:t>
            </w:r>
            <w:r>
              <w:rPr>
                <w:sz w:val="24"/>
              </w:rPr>
              <w:t>programmes</w:t>
            </w:r>
          </w:p>
          <w:p w:rsidR="009D62C8" w:rsidRDefault="007C329B">
            <w:pPr>
              <w:pStyle w:val="TableParagraph"/>
              <w:numPr>
                <w:ilvl w:val="0"/>
                <w:numId w:val="3"/>
              </w:numPr>
              <w:tabs>
                <w:tab w:val="left" w:pos="829"/>
              </w:tabs>
              <w:spacing w:line="298" w:lineRule="exact"/>
              <w:rPr>
                <w:sz w:val="24"/>
              </w:rPr>
            </w:pPr>
            <w:r>
              <w:rPr>
                <w:sz w:val="24"/>
              </w:rPr>
              <w:t>Extended school</w:t>
            </w:r>
            <w:r>
              <w:rPr>
                <w:spacing w:val="-3"/>
                <w:sz w:val="24"/>
              </w:rPr>
              <w:t xml:space="preserve"> </w:t>
            </w:r>
            <w:r>
              <w:rPr>
                <w:sz w:val="24"/>
              </w:rPr>
              <w:t>time</w:t>
            </w:r>
          </w:p>
        </w:tc>
      </w:tr>
    </w:tbl>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7"/>
        <w:gridCol w:w="7891"/>
      </w:tblGrid>
      <w:tr w:rsidR="006C5C23" w:rsidTr="006C5C23">
        <w:trPr>
          <w:trHeight w:val="1216"/>
        </w:trPr>
        <w:tc>
          <w:tcPr>
            <w:tcW w:w="7707" w:type="dxa"/>
          </w:tcPr>
          <w:p w:rsidR="006C5C23" w:rsidRDefault="006C5C23" w:rsidP="006C5C23">
            <w:pPr>
              <w:pStyle w:val="TableParagraph"/>
              <w:spacing w:before="50"/>
              <w:ind w:left="107" w:right="472"/>
              <w:rPr>
                <w:sz w:val="24"/>
              </w:rPr>
            </w:pPr>
            <w:r>
              <w:rPr>
                <w:color w:val="0A0C0C"/>
                <w:sz w:val="24"/>
              </w:rPr>
              <w:t>catch up for all students. Schools should use this document to help them direct their additional funding in the most effective way.</w:t>
            </w:r>
          </w:p>
        </w:tc>
        <w:tc>
          <w:tcPr>
            <w:tcW w:w="7891" w:type="dxa"/>
          </w:tcPr>
          <w:p w:rsidR="006C5C23" w:rsidRDefault="006C5C23" w:rsidP="006C5C23">
            <w:pPr>
              <w:pStyle w:val="TableParagraph"/>
              <w:spacing w:before="50" w:line="270" w:lineRule="exact"/>
              <w:ind w:left="108"/>
              <w:rPr>
                <w:sz w:val="24"/>
              </w:rPr>
            </w:pPr>
            <w:r>
              <w:rPr>
                <w:sz w:val="24"/>
              </w:rPr>
              <w:t>Wider strategies</w:t>
            </w:r>
          </w:p>
          <w:p w:rsidR="006C5C23" w:rsidRDefault="006C5C23" w:rsidP="006C5C23">
            <w:pPr>
              <w:pStyle w:val="TableParagraph"/>
              <w:numPr>
                <w:ilvl w:val="0"/>
                <w:numId w:val="2"/>
              </w:numPr>
              <w:tabs>
                <w:tab w:val="left" w:pos="829"/>
              </w:tabs>
              <w:spacing w:line="278" w:lineRule="exact"/>
              <w:rPr>
                <w:rFonts w:ascii="Segoe UI Symbol" w:hAnsi="Segoe UI Symbol"/>
              </w:rPr>
            </w:pPr>
            <w:r>
              <w:rPr>
                <w:sz w:val="24"/>
              </w:rPr>
              <w:t>Supporting parent and</w:t>
            </w:r>
            <w:r>
              <w:rPr>
                <w:spacing w:val="-7"/>
                <w:sz w:val="24"/>
              </w:rPr>
              <w:t xml:space="preserve"> </w:t>
            </w:r>
            <w:r>
              <w:rPr>
                <w:sz w:val="24"/>
              </w:rPr>
              <w:t>carers</w:t>
            </w:r>
          </w:p>
          <w:p w:rsidR="006C5C23" w:rsidRDefault="006C5C23" w:rsidP="006C5C23">
            <w:pPr>
              <w:pStyle w:val="TableParagraph"/>
              <w:numPr>
                <w:ilvl w:val="0"/>
                <w:numId w:val="2"/>
              </w:numPr>
              <w:tabs>
                <w:tab w:val="left" w:pos="829"/>
              </w:tabs>
              <w:spacing w:line="276" w:lineRule="exact"/>
              <w:rPr>
                <w:rFonts w:ascii="Segoe UI Symbol" w:hAnsi="Segoe UI Symbol"/>
              </w:rPr>
            </w:pPr>
            <w:r>
              <w:rPr>
                <w:sz w:val="24"/>
              </w:rPr>
              <w:t>Access to</w:t>
            </w:r>
            <w:r>
              <w:rPr>
                <w:spacing w:val="-3"/>
                <w:sz w:val="24"/>
              </w:rPr>
              <w:t xml:space="preserve"> </w:t>
            </w:r>
            <w:r>
              <w:rPr>
                <w:sz w:val="24"/>
              </w:rPr>
              <w:t>technology</w:t>
            </w:r>
          </w:p>
          <w:p w:rsidR="006C5C23" w:rsidRDefault="006C5C23" w:rsidP="006C5C23">
            <w:pPr>
              <w:pStyle w:val="TableParagraph"/>
              <w:numPr>
                <w:ilvl w:val="0"/>
                <w:numId w:val="2"/>
              </w:numPr>
              <w:tabs>
                <w:tab w:val="left" w:pos="829"/>
              </w:tabs>
              <w:spacing w:line="284" w:lineRule="exact"/>
              <w:rPr>
                <w:rFonts w:ascii="Segoe UI Symbol" w:hAnsi="Segoe UI Symbol"/>
                <w:color w:val="0A0C0C"/>
              </w:rPr>
            </w:pPr>
            <w:r>
              <w:rPr>
                <w:sz w:val="24"/>
              </w:rPr>
              <w:t>Summer</w:t>
            </w:r>
            <w:r>
              <w:rPr>
                <w:spacing w:val="-1"/>
                <w:sz w:val="24"/>
              </w:rPr>
              <w:t xml:space="preserve"> </w:t>
            </w:r>
            <w:r>
              <w:rPr>
                <w:sz w:val="24"/>
              </w:rPr>
              <w:t>support</w:t>
            </w:r>
          </w:p>
        </w:tc>
      </w:tr>
    </w:tbl>
    <w:p w:rsidR="009D62C8" w:rsidRDefault="009D62C8">
      <w:pPr>
        <w:spacing w:line="298" w:lineRule="exact"/>
        <w:rPr>
          <w:sz w:val="24"/>
        </w:rPr>
        <w:sectPr w:rsidR="009D62C8">
          <w:type w:val="continuous"/>
          <w:pgSz w:w="16840" w:h="11910" w:orient="landscape"/>
          <w:pgMar w:top="240" w:right="440" w:bottom="0" w:left="740" w:header="720" w:footer="720" w:gutter="0"/>
          <w:cols w:space="720"/>
        </w:sectPr>
      </w:pPr>
    </w:p>
    <w:p w:rsidR="009D62C8" w:rsidRDefault="009D62C8">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2"/>
        <w:gridCol w:w="4820"/>
        <w:gridCol w:w="5244"/>
      </w:tblGrid>
      <w:tr w:rsidR="00131329" w:rsidTr="00B05FC3">
        <w:trPr>
          <w:trHeight w:val="390"/>
        </w:trPr>
        <w:tc>
          <w:tcPr>
            <w:tcW w:w="4562" w:type="dxa"/>
            <w:shd w:val="clear" w:color="auto" w:fill="943634" w:themeFill="accent2" w:themeFillShade="BF"/>
          </w:tcPr>
          <w:p w:rsidR="00131329" w:rsidRDefault="00131329">
            <w:pPr>
              <w:pStyle w:val="TableParagraph"/>
              <w:spacing w:before="53"/>
              <w:ind w:left="107"/>
              <w:rPr>
                <w:b/>
                <w:sz w:val="24"/>
              </w:rPr>
            </w:pPr>
            <w:r>
              <w:rPr>
                <w:b/>
                <w:color w:val="FFFFFF"/>
                <w:sz w:val="24"/>
              </w:rPr>
              <w:t>Barrier</w:t>
            </w:r>
          </w:p>
        </w:tc>
        <w:tc>
          <w:tcPr>
            <w:tcW w:w="4820" w:type="dxa"/>
            <w:shd w:val="clear" w:color="auto" w:fill="943634" w:themeFill="accent2" w:themeFillShade="BF"/>
          </w:tcPr>
          <w:p w:rsidR="00131329" w:rsidRDefault="00131329">
            <w:pPr>
              <w:pStyle w:val="TableParagraph"/>
              <w:spacing w:before="53"/>
              <w:ind w:left="107"/>
              <w:rPr>
                <w:b/>
                <w:color w:val="FFFFFF"/>
                <w:sz w:val="24"/>
              </w:rPr>
            </w:pPr>
            <w:r>
              <w:rPr>
                <w:b/>
                <w:color w:val="FFFFFF"/>
                <w:sz w:val="24"/>
              </w:rPr>
              <w:t>Action</w:t>
            </w:r>
          </w:p>
        </w:tc>
        <w:tc>
          <w:tcPr>
            <w:tcW w:w="5244" w:type="dxa"/>
            <w:shd w:val="clear" w:color="auto" w:fill="943634" w:themeFill="accent2" w:themeFillShade="BF"/>
          </w:tcPr>
          <w:p w:rsidR="00131329" w:rsidRDefault="00131329">
            <w:pPr>
              <w:pStyle w:val="TableParagraph"/>
              <w:spacing w:before="53"/>
              <w:ind w:left="107"/>
              <w:rPr>
                <w:b/>
                <w:color w:val="FFFFFF"/>
                <w:sz w:val="24"/>
              </w:rPr>
            </w:pPr>
            <w:r>
              <w:rPr>
                <w:b/>
                <w:color w:val="FFFFFF"/>
                <w:sz w:val="24"/>
              </w:rPr>
              <w:t xml:space="preserve">Impact </w:t>
            </w:r>
          </w:p>
        </w:tc>
      </w:tr>
      <w:tr w:rsidR="00131329" w:rsidTr="00B05FC3">
        <w:trPr>
          <w:trHeight w:val="2047"/>
        </w:trPr>
        <w:tc>
          <w:tcPr>
            <w:tcW w:w="4562" w:type="dxa"/>
          </w:tcPr>
          <w:p w:rsidR="00131329" w:rsidRDefault="00131329">
            <w:pPr>
              <w:pStyle w:val="TableParagraph"/>
              <w:spacing w:before="7"/>
              <w:rPr>
                <w:b/>
                <w:sz w:val="28"/>
              </w:rPr>
            </w:pPr>
          </w:p>
          <w:p w:rsidR="00131329" w:rsidRDefault="006C5C23" w:rsidP="00BA6C83">
            <w:pPr>
              <w:pStyle w:val="TableParagraph"/>
              <w:ind w:left="105" w:right="190"/>
              <w:jc w:val="both"/>
              <w:rPr>
                <w:sz w:val="24"/>
              </w:rPr>
            </w:pPr>
            <w:r>
              <w:t>Pupils who have fallen behind duri</w:t>
            </w:r>
            <w:r w:rsidR="004A6EED">
              <w:t xml:space="preserve">ng lockdown due to the challenges at home to offer the support necessary. Challenge around disengagement in remote learning. </w:t>
            </w:r>
          </w:p>
        </w:tc>
        <w:tc>
          <w:tcPr>
            <w:tcW w:w="4820" w:type="dxa"/>
          </w:tcPr>
          <w:p w:rsidR="00131329" w:rsidRDefault="006C5C23">
            <w:pPr>
              <w:pStyle w:val="TableParagraph"/>
              <w:ind w:left="105"/>
              <w:jc w:val="both"/>
            </w:pPr>
            <w:r>
              <w:t>Use of catch-up funding to pay for tuition for pupils, through the Nationa</w:t>
            </w:r>
            <w:r w:rsidR="00C26E71">
              <w:t xml:space="preserve">l Tutoring Programme, </w:t>
            </w:r>
            <w:r>
              <w:t>List of pupils who will be targeted across Reception to year 6 for this support Intervention to take place as part o</w:t>
            </w:r>
            <w:r w:rsidR="004A6EED">
              <w:t xml:space="preserve">f first quality teaching. This is </w:t>
            </w:r>
            <w:r>
              <w:t>planned for within the lessons Experienced teacher to support small group an</w:t>
            </w:r>
            <w:r w:rsidR="00F31C9B">
              <w:t>d 1:1 catch-up in years 3-6.</w:t>
            </w:r>
          </w:p>
          <w:p w:rsidR="00F31C9B" w:rsidRPr="004A6EED" w:rsidRDefault="00F31C9B" w:rsidP="00F31C9B">
            <w:pPr>
              <w:pStyle w:val="TableParagraph"/>
              <w:jc w:val="both"/>
            </w:pPr>
            <w:r w:rsidRPr="004A6EED">
              <w:t>Purchase ‘Back on Track’ resources from Herts for Learning to support teachers with planning and assessing English and Maths in light of missed learning.  Training from Herts for Learning advisors to support staff with delivering this program</w:t>
            </w:r>
          </w:p>
          <w:p w:rsidR="00B05FC3" w:rsidRDefault="00B05FC3" w:rsidP="00B05FC3">
            <w:pPr>
              <w:pStyle w:val="TableParagraph"/>
              <w:jc w:val="both"/>
            </w:pPr>
          </w:p>
          <w:p w:rsidR="00F31C9B" w:rsidRDefault="00F31C9B" w:rsidP="00F31C9B">
            <w:pPr>
              <w:pStyle w:val="TableParagraph"/>
              <w:jc w:val="both"/>
              <w:rPr>
                <w:sz w:val="24"/>
              </w:rPr>
            </w:pPr>
          </w:p>
        </w:tc>
        <w:tc>
          <w:tcPr>
            <w:tcW w:w="5244" w:type="dxa"/>
          </w:tcPr>
          <w:p w:rsidR="00131329" w:rsidRDefault="006C5C23">
            <w:pPr>
              <w:pStyle w:val="TableParagraph"/>
              <w:ind w:left="105"/>
              <w:jc w:val="both"/>
            </w:pPr>
            <w:r>
              <w:t>Pupils who receive provision make accelerated progress</w:t>
            </w:r>
          </w:p>
          <w:p w:rsidR="006F6311" w:rsidRDefault="006F6311">
            <w:pPr>
              <w:pStyle w:val="TableParagraph"/>
              <w:ind w:left="105"/>
              <w:jc w:val="both"/>
            </w:pPr>
          </w:p>
          <w:p w:rsidR="006F6311" w:rsidRDefault="006F6311">
            <w:pPr>
              <w:pStyle w:val="TableParagraph"/>
              <w:ind w:left="105"/>
              <w:jc w:val="both"/>
              <w:rPr>
                <w:sz w:val="24"/>
              </w:rPr>
            </w:pPr>
            <w:r>
              <w:t xml:space="preserve">Impact of this can be seen within the classroom. In Reception this year the outcome of the baseline rose by over 12% to 72% in </w:t>
            </w:r>
            <w:r w:rsidR="004A6EED">
              <w:t>July</w:t>
            </w:r>
            <w:r>
              <w:t xml:space="preserve"> 21. This was agreed through an external moderation process. </w:t>
            </w:r>
          </w:p>
        </w:tc>
      </w:tr>
      <w:tr w:rsidR="00131329" w:rsidTr="00B05FC3">
        <w:trPr>
          <w:trHeight w:val="2116"/>
        </w:trPr>
        <w:tc>
          <w:tcPr>
            <w:tcW w:w="4562" w:type="dxa"/>
          </w:tcPr>
          <w:p w:rsidR="00131329" w:rsidRDefault="00131329">
            <w:pPr>
              <w:pStyle w:val="TableParagraph"/>
              <w:spacing w:before="4"/>
              <w:rPr>
                <w:b/>
                <w:sz w:val="28"/>
              </w:rPr>
            </w:pPr>
          </w:p>
          <w:p w:rsidR="00131329" w:rsidRDefault="006C5C23">
            <w:pPr>
              <w:pStyle w:val="TableParagraph"/>
              <w:ind w:left="107"/>
              <w:rPr>
                <w:b/>
                <w:sz w:val="24"/>
              </w:rPr>
            </w:pPr>
            <w:r>
              <w:t>Pupils have gaps in learning due to lockdown.</w:t>
            </w:r>
          </w:p>
          <w:p w:rsidR="00131329" w:rsidRDefault="00131329">
            <w:pPr>
              <w:pStyle w:val="TableParagraph"/>
              <w:spacing w:before="4"/>
              <w:rPr>
                <w:b/>
                <w:sz w:val="28"/>
              </w:rPr>
            </w:pPr>
          </w:p>
          <w:p w:rsidR="00131329" w:rsidRDefault="00131329" w:rsidP="00BA6C83">
            <w:pPr>
              <w:pStyle w:val="TableParagraph"/>
              <w:ind w:left="105" w:right="81"/>
              <w:rPr>
                <w:sz w:val="24"/>
              </w:rPr>
            </w:pPr>
          </w:p>
        </w:tc>
        <w:tc>
          <w:tcPr>
            <w:tcW w:w="4820" w:type="dxa"/>
          </w:tcPr>
          <w:p w:rsidR="00131329" w:rsidRDefault="006C5C23">
            <w:pPr>
              <w:pStyle w:val="TableParagraph"/>
              <w:spacing w:before="4"/>
            </w:pPr>
            <w:r>
              <w:t>Pay the top up fee to access the subsidised national tutoring programme for disadvantaged pupils and others who are identified as needing “catch up” in their learning. Fund additional support staff to develop the outcomes of children who have been identified as needing “catch up” in their learnin</w:t>
            </w:r>
            <w:r w:rsidR="00C26E71">
              <w:t>g.</w:t>
            </w:r>
            <w:r w:rsidR="004A6EED">
              <w:t xml:space="preserve"> Booster groups for Year 5 and 6 children before and after school. </w:t>
            </w:r>
          </w:p>
          <w:p w:rsidR="00F31C9B" w:rsidRDefault="00F31C9B">
            <w:pPr>
              <w:pStyle w:val="TableParagraph"/>
              <w:spacing w:before="4"/>
              <w:rPr>
                <w:b/>
                <w:sz w:val="28"/>
              </w:rPr>
            </w:pPr>
            <w:r>
              <w:t xml:space="preserve">Investment in the Write stuff to support improved outcomes across the school. </w:t>
            </w:r>
          </w:p>
        </w:tc>
        <w:tc>
          <w:tcPr>
            <w:tcW w:w="5244" w:type="dxa"/>
          </w:tcPr>
          <w:p w:rsidR="00131329" w:rsidRDefault="006C5C23">
            <w:pPr>
              <w:pStyle w:val="TableParagraph"/>
              <w:spacing w:before="4"/>
              <w:rPr>
                <w:b/>
                <w:sz w:val="28"/>
              </w:rPr>
            </w:pPr>
            <w:r>
              <w:t>Pupils make accelerated progress in their learning at each assessment point. Balance in lessons of catch-up and teaching current year group objectives.</w:t>
            </w:r>
          </w:p>
        </w:tc>
      </w:tr>
      <w:tr w:rsidR="00131329" w:rsidTr="00B05FC3">
        <w:trPr>
          <w:trHeight w:val="1411"/>
        </w:trPr>
        <w:tc>
          <w:tcPr>
            <w:tcW w:w="4562" w:type="dxa"/>
          </w:tcPr>
          <w:p w:rsidR="00131329" w:rsidRDefault="006C5C23">
            <w:pPr>
              <w:pStyle w:val="TableParagraph"/>
              <w:spacing w:before="7"/>
              <w:rPr>
                <w:b/>
                <w:sz w:val="28"/>
              </w:rPr>
            </w:pPr>
            <w:r>
              <w:t>Pupils working below AR</w:t>
            </w:r>
            <w:r w:rsidR="00C26E71">
              <w:t>E</w:t>
            </w:r>
          </w:p>
          <w:p w:rsidR="006C5C23" w:rsidRDefault="006C5C23">
            <w:pPr>
              <w:pStyle w:val="TableParagraph"/>
              <w:spacing w:before="7"/>
              <w:rPr>
                <w:b/>
                <w:sz w:val="28"/>
              </w:rPr>
            </w:pPr>
          </w:p>
          <w:p w:rsidR="00131329" w:rsidRDefault="00131329" w:rsidP="00131329">
            <w:pPr>
              <w:pStyle w:val="TableParagraph"/>
              <w:rPr>
                <w:sz w:val="24"/>
              </w:rPr>
            </w:pPr>
          </w:p>
        </w:tc>
        <w:tc>
          <w:tcPr>
            <w:tcW w:w="4820" w:type="dxa"/>
          </w:tcPr>
          <w:p w:rsidR="00145818" w:rsidRDefault="006C5C23" w:rsidP="006C5C23">
            <w:pPr>
              <w:pStyle w:val="TableParagraph"/>
              <w:spacing w:before="53"/>
              <w:ind w:left="107" w:right="1240"/>
            </w:pPr>
            <w:r>
              <w:t xml:space="preserve">To ensure all teachers have clear </w:t>
            </w:r>
            <w:r w:rsidR="00145818">
              <w:t xml:space="preserve">understanding of the curriculum </w:t>
            </w:r>
            <w:r>
              <w:t xml:space="preserve">gaps that need covering in the current year of teaching from previous years objectives </w:t>
            </w:r>
          </w:p>
          <w:p w:rsidR="00131329" w:rsidRDefault="006C5C23" w:rsidP="006C5C23">
            <w:pPr>
              <w:pStyle w:val="TableParagraph"/>
              <w:spacing w:before="53"/>
              <w:ind w:left="107" w:right="1240"/>
            </w:pPr>
            <w:r>
              <w:t>Gaps Analysis</w:t>
            </w:r>
          </w:p>
          <w:p w:rsidR="006C5C23" w:rsidRDefault="006C5C23" w:rsidP="006C5C23">
            <w:pPr>
              <w:pStyle w:val="TableParagraph"/>
              <w:spacing w:before="53"/>
              <w:ind w:left="107" w:right="1240"/>
            </w:pPr>
            <w:r>
              <w:t>English and Maths Lead given time to analyse curriculums Maths and English lead given time to complete 1:1 Curriculum CPD with identified teachers</w:t>
            </w:r>
          </w:p>
          <w:p w:rsidR="00F31C9B" w:rsidRDefault="00F31C9B" w:rsidP="006C5C23">
            <w:pPr>
              <w:pStyle w:val="TableParagraph"/>
              <w:spacing w:before="53"/>
              <w:ind w:left="107" w:right="1240"/>
            </w:pPr>
          </w:p>
          <w:p w:rsidR="006C5C23" w:rsidRDefault="006C5C23" w:rsidP="006C5C23">
            <w:pPr>
              <w:pStyle w:val="TableParagraph"/>
              <w:spacing w:before="53"/>
              <w:ind w:left="107" w:right="1240"/>
            </w:pPr>
          </w:p>
          <w:p w:rsidR="006C5C23" w:rsidRPr="006C5C23" w:rsidRDefault="006C5C23" w:rsidP="006C5C23">
            <w:pPr>
              <w:pStyle w:val="TableParagraph"/>
              <w:spacing w:before="53"/>
              <w:ind w:left="107" w:right="1240"/>
              <w:rPr>
                <w:sz w:val="24"/>
              </w:rPr>
            </w:pPr>
          </w:p>
        </w:tc>
        <w:tc>
          <w:tcPr>
            <w:tcW w:w="5244" w:type="dxa"/>
          </w:tcPr>
          <w:p w:rsidR="00131329" w:rsidRDefault="006C5C23">
            <w:pPr>
              <w:pStyle w:val="TableParagraph"/>
              <w:spacing w:before="7"/>
            </w:pPr>
            <w:r>
              <w:t xml:space="preserve">Teachers </w:t>
            </w:r>
            <w:r w:rsidR="00C26E71">
              <w:t xml:space="preserve">are fully equipped to ensure that they implement quality first teaching as a result of diagnostic assessments.  </w:t>
            </w:r>
            <w:r>
              <w:t>All teachers have a clear understanding of the curriculum gaps they need to teach. Teachers will have increased levels of confidence in meeting the needs of their children.</w:t>
            </w:r>
          </w:p>
          <w:p w:rsidR="006C5C23" w:rsidRDefault="006C5C23">
            <w:pPr>
              <w:pStyle w:val="TableParagraph"/>
              <w:spacing w:before="7"/>
            </w:pPr>
          </w:p>
          <w:p w:rsidR="006C5C23" w:rsidRDefault="006C5C23">
            <w:pPr>
              <w:pStyle w:val="TableParagraph"/>
              <w:spacing w:before="7"/>
              <w:rPr>
                <w:b/>
                <w:sz w:val="28"/>
              </w:rPr>
            </w:pPr>
            <w:r>
              <w:t xml:space="preserve">Teachers will improve their coaching and mentoring </w:t>
            </w:r>
            <w:r w:rsidR="00C26E71">
              <w:t xml:space="preserve">skills through training </w:t>
            </w:r>
          </w:p>
        </w:tc>
      </w:tr>
      <w:tr w:rsidR="00131329" w:rsidTr="00B05FC3">
        <w:trPr>
          <w:trHeight w:val="1828"/>
        </w:trPr>
        <w:tc>
          <w:tcPr>
            <w:tcW w:w="4562" w:type="dxa"/>
          </w:tcPr>
          <w:p w:rsidR="00131329" w:rsidRDefault="006C5C23">
            <w:pPr>
              <w:pStyle w:val="TableParagraph"/>
              <w:spacing w:before="53"/>
              <w:ind w:left="105" w:right="161"/>
              <w:rPr>
                <w:sz w:val="24"/>
              </w:rPr>
            </w:pPr>
            <w:r>
              <w:lastRenderedPageBreak/>
              <w:t xml:space="preserve">Due to pupils being indoors and less active during </w:t>
            </w:r>
            <w:proofErr w:type="spellStart"/>
            <w:r>
              <w:t>Covid</w:t>
            </w:r>
            <w:proofErr w:type="spellEnd"/>
            <w:r>
              <w:t xml:space="preserve"> isolation their health and well-being have decreased making it even more essential that they are engaging in high levels of physical activity and establishing good active behaviours for later life.</w:t>
            </w:r>
          </w:p>
        </w:tc>
        <w:tc>
          <w:tcPr>
            <w:tcW w:w="4820" w:type="dxa"/>
          </w:tcPr>
          <w:p w:rsidR="00131329" w:rsidRDefault="006C5C23">
            <w:pPr>
              <w:pStyle w:val="TableParagraph"/>
              <w:spacing w:before="53"/>
              <w:ind w:left="105" w:right="161"/>
              <w:rPr>
                <w:sz w:val="24"/>
              </w:rPr>
            </w:pPr>
            <w:r>
              <w:t>PE lessons to be prioritised using outdoor equipment as much as possible. CPD to be delivered on outdoor learning to staff.</w:t>
            </w:r>
          </w:p>
        </w:tc>
        <w:tc>
          <w:tcPr>
            <w:tcW w:w="5244" w:type="dxa"/>
          </w:tcPr>
          <w:p w:rsidR="00131329" w:rsidRDefault="006C5C23">
            <w:pPr>
              <w:pStyle w:val="TableParagraph"/>
              <w:spacing w:before="53"/>
              <w:ind w:left="105" w:right="161"/>
            </w:pPr>
            <w:r>
              <w:t>Fitness levels of pupils return to pre-</w:t>
            </w:r>
            <w:proofErr w:type="spellStart"/>
            <w:r>
              <w:t>Covid</w:t>
            </w:r>
            <w:proofErr w:type="spellEnd"/>
            <w:r>
              <w:t xml:space="preserve"> standards. Pupils are engaged in an outdoor lifestyle which encourages a love of nature and builds confidence and independence.</w:t>
            </w:r>
          </w:p>
          <w:p w:rsidR="00D35CC0" w:rsidRDefault="00D35CC0">
            <w:pPr>
              <w:pStyle w:val="TableParagraph"/>
              <w:spacing w:before="53"/>
              <w:ind w:left="105" w:right="161"/>
              <w:rPr>
                <w:sz w:val="24"/>
              </w:rPr>
            </w:pPr>
            <w:r>
              <w:t xml:space="preserve">Professional coach in place in order to model for staff and train teachers. </w:t>
            </w:r>
          </w:p>
        </w:tc>
      </w:tr>
      <w:tr w:rsidR="006C5C23" w:rsidTr="00B05FC3">
        <w:trPr>
          <w:trHeight w:val="1828"/>
        </w:trPr>
        <w:tc>
          <w:tcPr>
            <w:tcW w:w="4562" w:type="dxa"/>
          </w:tcPr>
          <w:p w:rsidR="006C5C23" w:rsidRDefault="006C5C23">
            <w:pPr>
              <w:pStyle w:val="TableParagraph"/>
              <w:spacing w:before="53"/>
              <w:ind w:left="105" w:right="161"/>
            </w:pPr>
            <w:r>
              <w:t>Nursery -&gt; Reception -&gt; year 1 pupils missed most of the EYFS curriculum and face specific difficulties.</w:t>
            </w:r>
          </w:p>
        </w:tc>
        <w:tc>
          <w:tcPr>
            <w:tcW w:w="4820" w:type="dxa"/>
          </w:tcPr>
          <w:p w:rsidR="006C5C23" w:rsidRDefault="006C5C23">
            <w:pPr>
              <w:pStyle w:val="TableParagraph"/>
              <w:spacing w:before="53"/>
              <w:ind w:left="105" w:right="161"/>
            </w:pPr>
            <w:r>
              <w:t>EYFS and Year 1 teachers collaborate to ensure Year 1 pupils have a balanced curriculum following the EYFS ethos for the first half term to help pupils transition into year 1 after lost learning</w:t>
            </w:r>
          </w:p>
        </w:tc>
        <w:tc>
          <w:tcPr>
            <w:tcW w:w="5244" w:type="dxa"/>
          </w:tcPr>
          <w:p w:rsidR="006C5C23" w:rsidRDefault="006C5C23">
            <w:pPr>
              <w:pStyle w:val="TableParagraph"/>
              <w:spacing w:before="53"/>
              <w:ind w:left="105" w:right="161"/>
            </w:pPr>
            <w:r>
              <w:t>For teachers to have the resources available to continue a play based approach to learning. Pupils will have reduced levels of anxiety around the key stage transition.</w:t>
            </w:r>
          </w:p>
        </w:tc>
      </w:tr>
      <w:tr w:rsidR="006C5C23" w:rsidTr="00B05FC3">
        <w:trPr>
          <w:trHeight w:val="1828"/>
        </w:trPr>
        <w:tc>
          <w:tcPr>
            <w:tcW w:w="4562" w:type="dxa"/>
          </w:tcPr>
          <w:p w:rsidR="006C5C23" w:rsidRDefault="006C5C23">
            <w:pPr>
              <w:pStyle w:val="TableParagraph"/>
              <w:spacing w:before="53"/>
              <w:ind w:left="105" w:right="161"/>
            </w:pPr>
            <w:r>
              <w:t>Pupils and parents anxiety on returning to school. High proportion of parents and carers reporting to have anxiety issues.</w:t>
            </w:r>
          </w:p>
        </w:tc>
        <w:tc>
          <w:tcPr>
            <w:tcW w:w="4820" w:type="dxa"/>
          </w:tcPr>
          <w:p w:rsidR="006C5C23" w:rsidRDefault="006C5C23" w:rsidP="006C5C23">
            <w:pPr>
              <w:pStyle w:val="TableParagraph"/>
              <w:spacing w:before="53"/>
              <w:ind w:left="105" w:right="161"/>
            </w:pPr>
            <w:r>
              <w:t xml:space="preserve">Mental health and anxiety support through the </w:t>
            </w:r>
            <w:proofErr w:type="spellStart"/>
            <w:r>
              <w:t>SENCo</w:t>
            </w:r>
            <w:proofErr w:type="spellEnd"/>
            <w:r>
              <w:t xml:space="preserve"> and Parental Engagement Officer</w:t>
            </w:r>
          </w:p>
        </w:tc>
        <w:tc>
          <w:tcPr>
            <w:tcW w:w="5244" w:type="dxa"/>
          </w:tcPr>
          <w:p w:rsidR="006C5C23" w:rsidRDefault="006C5C23">
            <w:pPr>
              <w:pStyle w:val="TableParagraph"/>
              <w:spacing w:before="53"/>
              <w:ind w:left="105" w:right="161"/>
            </w:pPr>
            <w:r>
              <w:t>Additional support available to break down anxiety and ensure pupil attendance.</w:t>
            </w:r>
          </w:p>
        </w:tc>
      </w:tr>
      <w:tr w:rsidR="006C5C23" w:rsidTr="00B05FC3">
        <w:trPr>
          <w:trHeight w:val="1828"/>
        </w:trPr>
        <w:tc>
          <w:tcPr>
            <w:tcW w:w="4562" w:type="dxa"/>
          </w:tcPr>
          <w:p w:rsidR="006C5C23" w:rsidRDefault="00646D94">
            <w:pPr>
              <w:pStyle w:val="TableParagraph"/>
              <w:spacing w:before="53"/>
              <w:ind w:left="105" w:right="161"/>
            </w:pPr>
            <w:r>
              <w:t>Support the closure of gaps</w:t>
            </w:r>
          </w:p>
        </w:tc>
        <w:tc>
          <w:tcPr>
            <w:tcW w:w="4820" w:type="dxa"/>
          </w:tcPr>
          <w:p w:rsidR="006C5C23" w:rsidRDefault="006C5C23" w:rsidP="006C5C23">
            <w:pPr>
              <w:pStyle w:val="TableParagraph"/>
              <w:spacing w:before="53"/>
              <w:ind w:left="105" w:right="161"/>
            </w:pPr>
            <w:r>
              <w:t>All Teachers will have additional time and support to monitor their specific subject. Teachers will have the opportunity to conduct learning walks, book reviews and progress analysis. Teachers will have the opportunity to complete subject action plans alongside CPD opportunities.</w:t>
            </w:r>
          </w:p>
        </w:tc>
        <w:tc>
          <w:tcPr>
            <w:tcW w:w="5244" w:type="dxa"/>
          </w:tcPr>
          <w:p w:rsidR="006C5C23" w:rsidRDefault="006C5C23">
            <w:pPr>
              <w:pStyle w:val="TableParagraph"/>
              <w:spacing w:before="53"/>
              <w:ind w:left="105" w:right="161"/>
            </w:pPr>
            <w:r>
              <w:t>Improved teacher knowledge of their subject. Teachers to have a deeper understanding of the expectations of progressive skills. Teachers experience the restorative curriculum Deeper understanding of curriculum progression.</w:t>
            </w:r>
          </w:p>
        </w:tc>
      </w:tr>
      <w:tr w:rsidR="006C5C23" w:rsidTr="00B05FC3">
        <w:trPr>
          <w:trHeight w:val="1828"/>
        </w:trPr>
        <w:tc>
          <w:tcPr>
            <w:tcW w:w="4562" w:type="dxa"/>
          </w:tcPr>
          <w:p w:rsidR="006C5C23" w:rsidRDefault="006C5C23">
            <w:pPr>
              <w:pStyle w:val="TableParagraph"/>
              <w:spacing w:before="53"/>
              <w:ind w:left="105" w:right="161"/>
            </w:pPr>
            <w:r>
              <w:t>KS1 pupils lost learning (Phonics)</w:t>
            </w:r>
          </w:p>
          <w:p w:rsidR="00BB2808" w:rsidRDefault="00BB2808">
            <w:pPr>
              <w:pStyle w:val="TableParagraph"/>
              <w:spacing w:before="53"/>
              <w:ind w:left="105" w:right="161"/>
            </w:pPr>
          </w:p>
          <w:p w:rsidR="00BB2808" w:rsidRDefault="00BB2808">
            <w:pPr>
              <w:pStyle w:val="TableParagraph"/>
              <w:spacing w:before="53"/>
              <w:ind w:left="105" w:right="161"/>
            </w:pPr>
          </w:p>
          <w:p w:rsidR="00BB2808" w:rsidRDefault="00BB2808">
            <w:pPr>
              <w:pStyle w:val="TableParagraph"/>
              <w:spacing w:before="53"/>
              <w:ind w:left="105" w:right="161"/>
            </w:pPr>
          </w:p>
          <w:p w:rsidR="00BB2808" w:rsidRDefault="00BB2808">
            <w:pPr>
              <w:pStyle w:val="TableParagraph"/>
              <w:spacing w:before="53"/>
              <w:ind w:left="105" w:right="161"/>
            </w:pPr>
          </w:p>
          <w:p w:rsidR="00BB2808" w:rsidRDefault="00BB2808">
            <w:pPr>
              <w:pStyle w:val="TableParagraph"/>
              <w:spacing w:before="53"/>
              <w:ind w:left="105" w:right="161"/>
            </w:pPr>
          </w:p>
          <w:p w:rsidR="00BB2808" w:rsidRDefault="00BB2808">
            <w:pPr>
              <w:pStyle w:val="TableParagraph"/>
              <w:spacing w:before="53"/>
              <w:ind w:left="105" w:right="161"/>
            </w:pPr>
          </w:p>
          <w:p w:rsidR="00BB2808" w:rsidRDefault="00BB2808">
            <w:pPr>
              <w:pStyle w:val="TableParagraph"/>
              <w:spacing w:before="53"/>
              <w:ind w:left="105" w:right="161"/>
            </w:pPr>
          </w:p>
          <w:p w:rsidR="00BB2808" w:rsidRDefault="00BB2808">
            <w:pPr>
              <w:pStyle w:val="TableParagraph"/>
              <w:spacing w:before="53"/>
              <w:ind w:left="105" w:right="161"/>
              <w:rPr>
                <w:sz w:val="24"/>
              </w:rPr>
            </w:pPr>
          </w:p>
          <w:p w:rsidR="00BB2808" w:rsidRDefault="00BB2808">
            <w:pPr>
              <w:pStyle w:val="TableParagraph"/>
              <w:spacing w:before="53"/>
              <w:ind w:left="105" w:right="161"/>
            </w:pPr>
            <w:r>
              <w:rPr>
                <w:sz w:val="24"/>
              </w:rPr>
              <w:t xml:space="preserve">Children will have greater opportunities to access learning at home independently. Increase motivation and focus at home and the desire to learn </w:t>
            </w:r>
            <w:r>
              <w:rPr>
                <w:sz w:val="24"/>
              </w:rPr>
              <w:lastRenderedPageBreak/>
              <w:t>independently</w:t>
            </w:r>
          </w:p>
        </w:tc>
        <w:tc>
          <w:tcPr>
            <w:tcW w:w="4820" w:type="dxa"/>
          </w:tcPr>
          <w:p w:rsidR="006C5C23" w:rsidRDefault="00D35CC0" w:rsidP="006C5C23">
            <w:pPr>
              <w:pStyle w:val="TableParagraph"/>
              <w:spacing w:before="53"/>
              <w:ind w:left="105" w:right="161"/>
            </w:pPr>
            <w:r>
              <w:lastRenderedPageBreak/>
              <w:t xml:space="preserve">Purchase </w:t>
            </w:r>
            <w:r w:rsidR="006C5C23">
              <w:t>phonics lessons</w:t>
            </w:r>
            <w:r>
              <w:t xml:space="preserve"> and </w:t>
            </w:r>
            <w:proofErr w:type="spellStart"/>
            <w:r>
              <w:t>tinvest</w:t>
            </w:r>
            <w:proofErr w:type="spellEnd"/>
            <w:r>
              <w:t xml:space="preserve"> in epic reading to support children from home. </w:t>
            </w:r>
          </w:p>
          <w:p w:rsidR="00F31C9B" w:rsidRDefault="00F31C9B" w:rsidP="00F31C9B">
            <w:pPr>
              <w:pStyle w:val="TableParagraph"/>
              <w:numPr>
                <w:ilvl w:val="0"/>
                <w:numId w:val="1"/>
              </w:numPr>
              <w:tabs>
                <w:tab w:val="left" w:pos="827"/>
                <w:tab w:val="left" w:pos="828"/>
              </w:tabs>
              <w:spacing w:line="293" w:lineRule="exact"/>
              <w:ind w:hanging="361"/>
              <w:rPr>
                <w:sz w:val="24"/>
              </w:rPr>
            </w:pPr>
            <w:r>
              <w:rPr>
                <w:sz w:val="24"/>
              </w:rPr>
              <w:t>Phonics catch up interventions in Reception and Year 1</w:t>
            </w:r>
          </w:p>
          <w:p w:rsidR="00F31C9B" w:rsidRDefault="00F31C9B" w:rsidP="00F31C9B">
            <w:pPr>
              <w:pStyle w:val="TableParagraph"/>
              <w:numPr>
                <w:ilvl w:val="0"/>
                <w:numId w:val="1"/>
              </w:numPr>
              <w:tabs>
                <w:tab w:val="left" w:pos="827"/>
                <w:tab w:val="left" w:pos="828"/>
              </w:tabs>
              <w:spacing w:line="293" w:lineRule="exact"/>
              <w:ind w:hanging="361"/>
              <w:rPr>
                <w:sz w:val="24"/>
              </w:rPr>
            </w:pPr>
            <w:r>
              <w:rPr>
                <w:sz w:val="24"/>
              </w:rPr>
              <w:t>Project X phonics intervention in Years 2 and 3</w:t>
            </w:r>
          </w:p>
          <w:p w:rsidR="00F31C9B" w:rsidRDefault="00F31C9B" w:rsidP="00F31C9B">
            <w:pPr>
              <w:pStyle w:val="TableParagraph"/>
              <w:numPr>
                <w:ilvl w:val="0"/>
                <w:numId w:val="1"/>
              </w:numPr>
              <w:tabs>
                <w:tab w:val="left" w:pos="827"/>
                <w:tab w:val="left" w:pos="828"/>
              </w:tabs>
              <w:spacing w:line="293" w:lineRule="exact"/>
              <w:ind w:hanging="361"/>
              <w:rPr>
                <w:sz w:val="24"/>
              </w:rPr>
            </w:pPr>
            <w:proofErr w:type="spellStart"/>
            <w:r>
              <w:rPr>
                <w:sz w:val="24"/>
              </w:rPr>
              <w:t>Wellcomm</w:t>
            </w:r>
            <w:proofErr w:type="spellEnd"/>
            <w:r>
              <w:rPr>
                <w:sz w:val="24"/>
              </w:rPr>
              <w:t xml:space="preserve"> speech and language assessments and interventions</w:t>
            </w:r>
          </w:p>
          <w:p w:rsidR="00F31C9B" w:rsidRDefault="00646D94" w:rsidP="00BB2808">
            <w:pPr>
              <w:pStyle w:val="TableParagraph"/>
              <w:spacing w:before="53"/>
              <w:ind w:right="161"/>
              <w:rPr>
                <w:sz w:val="24"/>
              </w:rPr>
            </w:pPr>
            <w:r>
              <w:rPr>
                <w:sz w:val="24"/>
              </w:rPr>
              <w:t>Essential Maths diagnostic assessments as part of the Summer success project</w:t>
            </w:r>
          </w:p>
          <w:p w:rsidR="00BB2808" w:rsidRDefault="00BB2808" w:rsidP="00BB2808">
            <w:pPr>
              <w:pStyle w:val="TableParagraph"/>
              <w:ind w:right="612"/>
              <w:rPr>
                <w:sz w:val="24"/>
              </w:rPr>
            </w:pPr>
            <w:r w:rsidRPr="0010708C">
              <w:rPr>
                <w:sz w:val="24"/>
              </w:rPr>
              <w:t xml:space="preserve">Purchase </w:t>
            </w:r>
            <w:r>
              <w:rPr>
                <w:sz w:val="24"/>
              </w:rPr>
              <w:t xml:space="preserve">big cat e-library to support children with reading phonetically decodable books at home </w:t>
            </w:r>
          </w:p>
          <w:p w:rsidR="00BB2808" w:rsidRDefault="00BB2808" w:rsidP="00BB2808">
            <w:pPr>
              <w:pStyle w:val="TableParagraph"/>
              <w:spacing w:before="53"/>
              <w:ind w:left="105" w:right="161"/>
              <w:rPr>
                <w:sz w:val="24"/>
              </w:rPr>
            </w:pPr>
            <w:r>
              <w:rPr>
                <w:sz w:val="24"/>
              </w:rPr>
              <w:t xml:space="preserve">Continue to promote times tables </w:t>
            </w:r>
            <w:proofErr w:type="spellStart"/>
            <w:r>
              <w:rPr>
                <w:sz w:val="24"/>
              </w:rPr>
              <w:lastRenderedPageBreak/>
              <w:t>rockstars</w:t>
            </w:r>
            <w:proofErr w:type="spellEnd"/>
            <w:r>
              <w:rPr>
                <w:sz w:val="24"/>
              </w:rPr>
              <w:t>.</w:t>
            </w:r>
          </w:p>
          <w:p w:rsidR="00BB2808" w:rsidRDefault="00BB2808" w:rsidP="00F31C9B">
            <w:pPr>
              <w:pStyle w:val="TableParagraph"/>
              <w:spacing w:before="53"/>
              <w:ind w:left="105" w:right="161"/>
              <w:rPr>
                <w:sz w:val="24"/>
              </w:rPr>
            </w:pPr>
          </w:p>
          <w:p w:rsidR="00BB2808" w:rsidRDefault="00BB2808" w:rsidP="00F31C9B">
            <w:pPr>
              <w:pStyle w:val="TableParagraph"/>
              <w:spacing w:before="53"/>
              <w:ind w:left="105" w:right="161"/>
            </w:pPr>
          </w:p>
          <w:p w:rsidR="00F31C9B" w:rsidRDefault="00F31C9B" w:rsidP="006C5C23">
            <w:pPr>
              <w:pStyle w:val="TableParagraph"/>
              <w:spacing w:before="53"/>
              <w:ind w:left="105" w:right="161"/>
            </w:pPr>
          </w:p>
        </w:tc>
        <w:tc>
          <w:tcPr>
            <w:tcW w:w="5244" w:type="dxa"/>
          </w:tcPr>
          <w:p w:rsidR="006C5C23" w:rsidRDefault="006C5C23">
            <w:pPr>
              <w:pStyle w:val="TableParagraph"/>
              <w:spacing w:before="53"/>
              <w:ind w:left="105" w:right="161"/>
            </w:pPr>
            <w:r>
              <w:lastRenderedPageBreak/>
              <w:t>Pupils continue to have access to phonics lessons during bubble closures and lockdown. Staff Training.</w:t>
            </w:r>
          </w:p>
          <w:p w:rsidR="00B0442C" w:rsidRDefault="00B0442C">
            <w:pPr>
              <w:pStyle w:val="TableParagraph"/>
              <w:spacing w:before="53"/>
              <w:ind w:left="105" w:right="161"/>
            </w:pPr>
            <w:r>
              <w:t xml:space="preserve">Investment in </w:t>
            </w:r>
            <w:r w:rsidR="00B05FC3">
              <w:t xml:space="preserve">the write stuff- to support </w:t>
            </w:r>
            <w:r w:rsidR="00D35CC0">
              <w:t>catch-up</w:t>
            </w:r>
            <w:r w:rsidR="00B05FC3">
              <w:t xml:space="preserve"> staff training and investment. </w:t>
            </w:r>
            <w:r w:rsidR="00D35CC0">
              <w:t xml:space="preserve">Already seeing the results of this. </w:t>
            </w:r>
          </w:p>
        </w:tc>
      </w:tr>
    </w:tbl>
    <w:tbl>
      <w:tblPr>
        <w:tblpPr w:leftFromText="180" w:rightFromText="180" w:vertAnchor="text" w:horzAnchor="margin" w:tblpY="7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91"/>
        <w:gridCol w:w="1306"/>
      </w:tblGrid>
      <w:tr w:rsidR="00B05FC3" w:rsidTr="00B05FC3">
        <w:trPr>
          <w:trHeight w:val="466"/>
        </w:trPr>
        <w:tc>
          <w:tcPr>
            <w:tcW w:w="13891" w:type="dxa"/>
            <w:tcBorders>
              <w:top w:val="single" w:sz="4" w:space="0" w:color="000000"/>
              <w:left w:val="single" w:sz="4" w:space="0" w:color="000000"/>
              <w:bottom w:val="single" w:sz="4" w:space="0" w:color="000000"/>
              <w:right w:val="single" w:sz="4" w:space="0" w:color="000000"/>
            </w:tcBorders>
          </w:tcPr>
          <w:p w:rsidR="00B05FC3" w:rsidRDefault="00B05FC3" w:rsidP="00BB2808">
            <w:pPr>
              <w:pStyle w:val="TableParagraph"/>
              <w:spacing w:before="53"/>
              <w:ind w:right="92"/>
              <w:rPr>
                <w:b/>
                <w:sz w:val="24"/>
              </w:rPr>
            </w:pPr>
            <w:r>
              <w:rPr>
                <w:b/>
                <w:sz w:val="24"/>
              </w:rPr>
              <w:t>Total budgeted cost</w:t>
            </w:r>
            <w:r w:rsidR="00BB2808">
              <w:rPr>
                <w:b/>
                <w:sz w:val="24"/>
              </w:rPr>
              <w:t xml:space="preserve"> 20-21</w:t>
            </w:r>
          </w:p>
        </w:tc>
        <w:tc>
          <w:tcPr>
            <w:tcW w:w="1306" w:type="dxa"/>
            <w:tcBorders>
              <w:top w:val="single" w:sz="4" w:space="0" w:color="000000"/>
              <w:left w:val="single" w:sz="4" w:space="0" w:color="000000"/>
              <w:bottom w:val="single" w:sz="4" w:space="0" w:color="000000"/>
              <w:right w:val="single" w:sz="4" w:space="0" w:color="000000"/>
            </w:tcBorders>
          </w:tcPr>
          <w:p w:rsidR="00B05FC3" w:rsidRDefault="00BB2808" w:rsidP="00B05FC3">
            <w:pPr>
              <w:pStyle w:val="TableParagraph"/>
              <w:spacing w:before="53"/>
              <w:ind w:left="110" w:right="165"/>
              <w:rPr>
                <w:b/>
                <w:sz w:val="24"/>
              </w:rPr>
            </w:pPr>
            <w:r>
              <w:rPr>
                <w:b/>
                <w:sz w:val="24"/>
              </w:rPr>
              <w:t>£16320</w:t>
            </w:r>
          </w:p>
        </w:tc>
      </w:tr>
      <w:tr w:rsidR="00BB2808" w:rsidTr="00B05FC3">
        <w:trPr>
          <w:trHeight w:val="466"/>
        </w:trPr>
        <w:tc>
          <w:tcPr>
            <w:tcW w:w="13891" w:type="dxa"/>
            <w:tcBorders>
              <w:top w:val="single" w:sz="4" w:space="0" w:color="000000"/>
              <w:left w:val="single" w:sz="4" w:space="0" w:color="000000"/>
              <w:bottom w:val="single" w:sz="4" w:space="0" w:color="000000"/>
              <w:right w:val="single" w:sz="4" w:space="0" w:color="000000"/>
            </w:tcBorders>
          </w:tcPr>
          <w:p w:rsidR="00BB2808" w:rsidRDefault="00BB2808" w:rsidP="00BB2808">
            <w:pPr>
              <w:pStyle w:val="TableParagraph"/>
              <w:spacing w:before="53"/>
              <w:ind w:right="92"/>
              <w:rPr>
                <w:b/>
                <w:sz w:val="24"/>
              </w:rPr>
            </w:pPr>
            <w:r>
              <w:rPr>
                <w:b/>
                <w:sz w:val="24"/>
              </w:rPr>
              <w:t>Total budgeted cost 21-22</w:t>
            </w:r>
          </w:p>
        </w:tc>
        <w:tc>
          <w:tcPr>
            <w:tcW w:w="1306" w:type="dxa"/>
            <w:tcBorders>
              <w:top w:val="single" w:sz="4" w:space="0" w:color="000000"/>
              <w:left w:val="single" w:sz="4" w:space="0" w:color="000000"/>
              <w:bottom w:val="single" w:sz="4" w:space="0" w:color="000000"/>
              <w:right w:val="single" w:sz="4" w:space="0" w:color="000000"/>
            </w:tcBorders>
          </w:tcPr>
          <w:p w:rsidR="00BB2808" w:rsidRDefault="00BB2808" w:rsidP="00B05FC3">
            <w:pPr>
              <w:pStyle w:val="TableParagraph"/>
              <w:spacing w:before="53"/>
              <w:ind w:left="110" w:right="165"/>
              <w:rPr>
                <w:b/>
                <w:sz w:val="24"/>
              </w:rPr>
            </w:pPr>
            <w:r>
              <w:rPr>
                <w:b/>
                <w:sz w:val="24"/>
              </w:rPr>
              <w:t>£6595</w:t>
            </w:r>
          </w:p>
        </w:tc>
      </w:tr>
    </w:tbl>
    <w:p w:rsidR="009D62C8" w:rsidRDefault="009D62C8">
      <w:pPr>
        <w:rPr>
          <w:sz w:val="24"/>
        </w:rPr>
        <w:sectPr w:rsidR="009D62C8">
          <w:pgSz w:w="16840" w:h="11910" w:orient="landscape"/>
          <w:pgMar w:top="420" w:right="440" w:bottom="0" w:left="740" w:header="720" w:footer="720" w:gutter="0"/>
          <w:cols w:space="720"/>
        </w:sectPr>
      </w:pPr>
    </w:p>
    <w:p w:rsidR="00B84D37" w:rsidRDefault="00B84D37" w:rsidP="006C5C23">
      <w:pPr>
        <w:pStyle w:val="BodyText"/>
        <w:rPr>
          <w:sz w:val="20"/>
        </w:rPr>
      </w:pPr>
    </w:p>
    <w:p w:rsidR="00B84D37" w:rsidRPr="00B84D37" w:rsidRDefault="00B84D37" w:rsidP="00B84D37"/>
    <w:p w:rsidR="005566F0" w:rsidRPr="005566F0" w:rsidRDefault="005566F0" w:rsidP="005566F0">
      <w:pPr>
        <w:rPr>
          <w:rFonts w:ascii="Times New Roman"/>
          <w:sz w:val="24"/>
        </w:rPr>
      </w:pPr>
    </w:p>
    <w:p w:rsidR="009D62C8" w:rsidRDefault="009D62C8">
      <w:pPr>
        <w:pStyle w:val="BodyText"/>
        <w:rPr>
          <w:b/>
          <w:sz w:val="20"/>
        </w:rPr>
      </w:pPr>
    </w:p>
    <w:p w:rsidR="009D62C8" w:rsidRDefault="009D62C8">
      <w:pPr>
        <w:pStyle w:val="BodyText"/>
        <w:rPr>
          <w:b/>
          <w:sz w:val="20"/>
        </w:rPr>
      </w:pPr>
    </w:p>
    <w:sectPr w:rsidR="009D62C8">
      <w:pgSz w:w="16840" w:h="11910" w:orient="landscape"/>
      <w:pgMar w:top="420" w:right="4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F37"/>
    <w:multiLevelType w:val="hybridMultilevel"/>
    <w:tmpl w:val="C01EE818"/>
    <w:lvl w:ilvl="0" w:tplc="99CA6150">
      <w:numFmt w:val="bullet"/>
      <w:lvlText w:val="➢"/>
      <w:lvlJc w:val="left"/>
      <w:pPr>
        <w:ind w:left="828" w:hanging="361"/>
      </w:pPr>
      <w:rPr>
        <w:rFonts w:ascii="Segoe UI Symbol" w:eastAsia="Segoe UI Symbol" w:hAnsi="Segoe UI Symbol" w:cs="Segoe UI Symbol" w:hint="default"/>
        <w:w w:val="89"/>
        <w:sz w:val="24"/>
        <w:szCs w:val="24"/>
        <w:lang w:val="en-GB" w:eastAsia="en-GB" w:bidi="en-GB"/>
      </w:rPr>
    </w:lvl>
    <w:lvl w:ilvl="1" w:tplc="9CF855A4">
      <w:numFmt w:val="bullet"/>
      <w:lvlText w:val="•"/>
      <w:lvlJc w:val="left"/>
      <w:pPr>
        <w:ind w:left="1507" w:hanging="361"/>
      </w:pPr>
      <w:rPr>
        <w:rFonts w:hint="default"/>
        <w:lang w:val="en-GB" w:eastAsia="en-GB" w:bidi="en-GB"/>
      </w:rPr>
    </w:lvl>
    <w:lvl w:ilvl="2" w:tplc="D13A1A44">
      <w:numFmt w:val="bullet"/>
      <w:lvlText w:val="•"/>
      <w:lvlJc w:val="left"/>
      <w:pPr>
        <w:ind w:left="2195" w:hanging="361"/>
      </w:pPr>
      <w:rPr>
        <w:rFonts w:hint="default"/>
        <w:lang w:val="en-GB" w:eastAsia="en-GB" w:bidi="en-GB"/>
      </w:rPr>
    </w:lvl>
    <w:lvl w:ilvl="3" w:tplc="1A06B5D8">
      <w:numFmt w:val="bullet"/>
      <w:lvlText w:val="•"/>
      <w:lvlJc w:val="left"/>
      <w:pPr>
        <w:ind w:left="2883" w:hanging="361"/>
      </w:pPr>
      <w:rPr>
        <w:rFonts w:hint="default"/>
        <w:lang w:val="en-GB" w:eastAsia="en-GB" w:bidi="en-GB"/>
      </w:rPr>
    </w:lvl>
    <w:lvl w:ilvl="4" w:tplc="8E42E1BC">
      <w:numFmt w:val="bullet"/>
      <w:lvlText w:val="•"/>
      <w:lvlJc w:val="left"/>
      <w:pPr>
        <w:ind w:left="3570" w:hanging="361"/>
      </w:pPr>
      <w:rPr>
        <w:rFonts w:hint="default"/>
        <w:lang w:val="en-GB" w:eastAsia="en-GB" w:bidi="en-GB"/>
      </w:rPr>
    </w:lvl>
    <w:lvl w:ilvl="5" w:tplc="6FDA778E">
      <w:numFmt w:val="bullet"/>
      <w:lvlText w:val="•"/>
      <w:lvlJc w:val="left"/>
      <w:pPr>
        <w:ind w:left="4258" w:hanging="361"/>
      </w:pPr>
      <w:rPr>
        <w:rFonts w:hint="default"/>
        <w:lang w:val="en-GB" w:eastAsia="en-GB" w:bidi="en-GB"/>
      </w:rPr>
    </w:lvl>
    <w:lvl w:ilvl="6" w:tplc="FFB0CC7A">
      <w:numFmt w:val="bullet"/>
      <w:lvlText w:val="•"/>
      <w:lvlJc w:val="left"/>
      <w:pPr>
        <w:ind w:left="4946" w:hanging="361"/>
      </w:pPr>
      <w:rPr>
        <w:rFonts w:hint="default"/>
        <w:lang w:val="en-GB" w:eastAsia="en-GB" w:bidi="en-GB"/>
      </w:rPr>
    </w:lvl>
    <w:lvl w:ilvl="7" w:tplc="ECF05E24">
      <w:numFmt w:val="bullet"/>
      <w:lvlText w:val="•"/>
      <w:lvlJc w:val="left"/>
      <w:pPr>
        <w:ind w:left="5633" w:hanging="361"/>
      </w:pPr>
      <w:rPr>
        <w:rFonts w:hint="default"/>
        <w:lang w:val="en-GB" w:eastAsia="en-GB" w:bidi="en-GB"/>
      </w:rPr>
    </w:lvl>
    <w:lvl w:ilvl="8" w:tplc="22BCE8FE">
      <w:numFmt w:val="bullet"/>
      <w:lvlText w:val="•"/>
      <w:lvlJc w:val="left"/>
      <w:pPr>
        <w:ind w:left="6321" w:hanging="361"/>
      </w:pPr>
      <w:rPr>
        <w:rFonts w:hint="default"/>
        <w:lang w:val="en-GB" w:eastAsia="en-GB" w:bidi="en-GB"/>
      </w:rPr>
    </w:lvl>
  </w:abstractNum>
  <w:abstractNum w:abstractNumId="1" w15:restartNumberingAfterBreak="0">
    <w:nsid w:val="38C50A2F"/>
    <w:multiLevelType w:val="hybridMultilevel"/>
    <w:tmpl w:val="A30A1DC6"/>
    <w:lvl w:ilvl="0" w:tplc="871A6C42">
      <w:numFmt w:val="bullet"/>
      <w:lvlText w:val="➢"/>
      <w:lvlJc w:val="left"/>
      <w:pPr>
        <w:ind w:left="828" w:hanging="361"/>
      </w:pPr>
      <w:rPr>
        <w:rFonts w:hint="default"/>
        <w:w w:val="90"/>
        <w:lang w:val="en-GB" w:eastAsia="en-GB" w:bidi="en-GB"/>
      </w:rPr>
    </w:lvl>
    <w:lvl w:ilvl="1" w:tplc="AFB67232">
      <w:numFmt w:val="bullet"/>
      <w:lvlText w:val="•"/>
      <w:lvlJc w:val="left"/>
      <w:pPr>
        <w:ind w:left="1507" w:hanging="361"/>
      </w:pPr>
      <w:rPr>
        <w:rFonts w:hint="default"/>
        <w:lang w:val="en-GB" w:eastAsia="en-GB" w:bidi="en-GB"/>
      </w:rPr>
    </w:lvl>
    <w:lvl w:ilvl="2" w:tplc="8AF8D16C">
      <w:numFmt w:val="bullet"/>
      <w:lvlText w:val="•"/>
      <w:lvlJc w:val="left"/>
      <w:pPr>
        <w:ind w:left="2195" w:hanging="361"/>
      </w:pPr>
      <w:rPr>
        <w:rFonts w:hint="default"/>
        <w:lang w:val="en-GB" w:eastAsia="en-GB" w:bidi="en-GB"/>
      </w:rPr>
    </w:lvl>
    <w:lvl w:ilvl="3" w:tplc="C2164B24">
      <w:numFmt w:val="bullet"/>
      <w:lvlText w:val="•"/>
      <w:lvlJc w:val="left"/>
      <w:pPr>
        <w:ind w:left="2883" w:hanging="361"/>
      </w:pPr>
      <w:rPr>
        <w:rFonts w:hint="default"/>
        <w:lang w:val="en-GB" w:eastAsia="en-GB" w:bidi="en-GB"/>
      </w:rPr>
    </w:lvl>
    <w:lvl w:ilvl="4" w:tplc="2C763884">
      <w:numFmt w:val="bullet"/>
      <w:lvlText w:val="•"/>
      <w:lvlJc w:val="left"/>
      <w:pPr>
        <w:ind w:left="3570" w:hanging="361"/>
      </w:pPr>
      <w:rPr>
        <w:rFonts w:hint="default"/>
        <w:lang w:val="en-GB" w:eastAsia="en-GB" w:bidi="en-GB"/>
      </w:rPr>
    </w:lvl>
    <w:lvl w:ilvl="5" w:tplc="A95816B0">
      <w:numFmt w:val="bullet"/>
      <w:lvlText w:val="•"/>
      <w:lvlJc w:val="left"/>
      <w:pPr>
        <w:ind w:left="4258" w:hanging="361"/>
      </w:pPr>
      <w:rPr>
        <w:rFonts w:hint="default"/>
        <w:lang w:val="en-GB" w:eastAsia="en-GB" w:bidi="en-GB"/>
      </w:rPr>
    </w:lvl>
    <w:lvl w:ilvl="6" w:tplc="B69C2234">
      <w:numFmt w:val="bullet"/>
      <w:lvlText w:val="•"/>
      <w:lvlJc w:val="left"/>
      <w:pPr>
        <w:ind w:left="4946" w:hanging="361"/>
      </w:pPr>
      <w:rPr>
        <w:rFonts w:hint="default"/>
        <w:lang w:val="en-GB" w:eastAsia="en-GB" w:bidi="en-GB"/>
      </w:rPr>
    </w:lvl>
    <w:lvl w:ilvl="7" w:tplc="94483BC0">
      <w:numFmt w:val="bullet"/>
      <w:lvlText w:val="•"/>
      <w:lvlJc w:val="left"/>
      <w:pPr>
        <w:ind w:left="5633" w:hanging="361"/>
      </w:pPr>
      <w:rPr>
        <w:rFonts w:hint="default"/>
        <w:lang w:val="en-GB" w:eastAsia="en-GB" w:bidi="en-GB"/>
      </w:rPr>
    </w:lvl>
    <w:lvl w:ilvl="8" w:tplc="BD66A74E">
      <w:numFmt w:val="bullet"/>
      <w:lvlText w:val="•"/>
      <w:lvlJc w:val="left"/>
      <w:pPr>
        <w:ind w:left="6321" w:hanging="361"/>
      </w:pPr>
      <w:rPr>
        <w:rFonts w:hint="default"/>
        <w:lang w:val="en-GB" w:eastAsia="en-GB" w:bidi="en-GB"/>
      </w:rPr>
    </w:lvl>
  </w:abstractNum>
  <w:abstractNum w:abstractNumId="2" w15:restartNumberingAfterBreak="0">
    <w:nsid w:val="74EE1C2D"/>
    <w:multiLevelType w:val="hybridMultilevel"/>
    <w:tmpl w:val="5FDC00D6"/>
    <w:lvl w:ilvl="0" w:tplc="55AE832E">
      <w:numFmt w:val="bullet"/>
      <w:lvlText w:val=""/>
      <w:lvlJc w:val="left"/>
      <w:pPr>
        <w:ind w:left="827" w:hanging="360"/>
      </w:pPr>
      <w:rPr>
        <w:rFonts w:ascii="Symbol" w:eastAsia="Symbol" w:hAnsi="Symbol" w:cs="Symbol" w:hint="default"/>
        <w:w w:val="100"/>
        <w:sz w:val="24"/>
        <w:szCs w:val="24"/>
        <w:lang w:val="en-GB" w:eastAsia="en-GB" w:bidi="en-GB"/>
      </w:rPr>
    </w:lvl>
    <w:lvl w:ilvl="1" w:tplc="E1D43ED2">
      <w:numFmt w:val="bullet"/>
      <w:lvlText w:val="•"/>
      <w:lvlJc w:val="left"/>
      <w:pPr>
        <w:ind w:left="1261" w:hanging="360"/>
      </w:pPr>
      <w:rPr>
        <w:rFonts w:hint="default"/>
        <w:lang w:val="en-GB" w:eastAsia="en-GB" w:bidi="en-GB"/>
      </w:rPr>
    </w:lvl>
    <w:lvl w:ilvl="2" w:tplc="553A0C56">
      <w:numFmt w:val="bullet"/>
      <w:lvlText w:val="•"/>
      <w:lvlJc w:val="left"/>
      <w:pPr>
        <w:ind w:left="1703" w:hanging="360"/>
      </w:pPr>
      <w:rPr>
        <w:rFonts w:hint="default"/>
        <w:lang w:val="en-GB" w:eastAsia="en-GB" w:bidi="en-GB"/>
      </w:rPr>
    </w:lvl>
    <w:lvl w:ilvl="3" w:tplc="864EE4C4">
      <w:numFmt w:val="bullet"/>
      <w:lvlText w:val="•"/>
      <w:lvlJc w:val="left"/>
      <w:pPr>
        <w:ind w:left="2145" w:hanging="360"/>
      </w:pPr>
      <w:rPr>
        <w:rFonts w:hint="default"/>
        <w:lang w:val="en-GB" w:eastAsia="en-GB" w:bidi="en-GB"/>
      </w:rPr>
    </w:lvl>
    <w:lvl w:ilvl="4" w:tplc="AFE0B7CA">
      <w:numFmt w:val="bullet"/>
      <w:lvlText w:val="•"/>
      <w:lvlJc w:val="left"/>
      <w:pPr>
        <w:ind w:left="2586" w:hanging="360"/>
      </w:pPr>
      <w:rPr>
        <w:rFonts w:hint="default"/>
        <w:lang w:val="en-GB" w:eastAsia="en-GB" w:bidi="en-GB"/>
      </w:rPr>
    </w:lvl>
    <w:lvl w:ilvl="5" w:tplc="71182DA4">
      <w:numFmt w:val="bullet"/>
      <w:lvlText w:val="•"/>
      <w:lvlJc w:val="left"/>
      <w:pPr>
        <w:ind w:left="3028" w:hanging="360"/>
      </w:pPr>
      <w:rPr>
        <w:rFonts w:hint="default"/>
        <w:lang w:val="en-GB" w:eastAsia="en-GB" w:bidi="en-GB"/>
      </w:rPr>
    </w:lvl>
    <w:lvl w:ilvl="6" w:tplc="791ED5AE">
      <w:numFmt w:val="bullet"/>
      <w:lvlText w:val="•"/>
      <w:lvlJc w:val="left"/>
      <w:pPr>
        <w:ind w:left="3470" w:hanging="360"/>
      </w:pPr>
      <w:rPr>
        <w:rFonts w:hint="default"/>
        <w:lang w:val="en-GB" w:eastAsia="en-GB" w:bidi="en-GB"/>
      </w:rPr>
    </w:lvl>
    <w:lvl w:ilvl="7" w:tplc="FE28FC08">
      <w:numFmt w:val="bullet"/>
      <w:lvlText w:val="•"/>
      <w:lvlJc w:val="left"/>
      <w:pPr>
        <w:ind w:left="3911" w:hanging="360"/>
      </w:pPr>
      <w:rPr>
        <w:rFonts w:hint="default"/>
        <w:lang w:val="en-GB" w:eastAsia="en-GB" w:bidi="en-GB"/>
      </w:rPr>
    </w:lvl>
    <w:lvl w:ilvl="8" w:tplc="8A462986">
      <w:numFmt w:val="bullet"/>
      <w:lvlText w:val="•"/>
      <w:lvlJc w:val="left"/>
      <w:pPr>
        <w:ind w:left="4353"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C8"/>
    <w:rsid w:val="000C21C7"/>
    <w:rsid w:val="0010708C"/>
    <w:rsid w:val="00131329"/>
    <w:rsid w:val="00145818"/>
    <w:rsid w:val="00350381"/>
    <w:rsid w:val="004151D0"/>
    <w:rsid w:val="004A6EED"/>
    <w:rsid w:val="005566F0"/>
    <w:rsid w:val="005A6024"/>
    <w:rsid w:val="0061264A"/>
    <w:rsid w:val="006375A1"/>
    <w:rsid w:val="00646D94"/>
    <w:rsid w:val="006C5C23"/>
    <w:rsid w:val="006F6311"/>
    <w:rsid w:val="007A7010"/>
    <w:rsid w:val="007C329B"/>
    <w:rsid w:val="00836D6B"/>
    <w:rsid w:val="00836E98"/>
    <w:rsid w:val="009A1055"/>
    <w:rsid w:val="009C6746"/>
    <w:rsid w:val="009C7D82"/>
    <w:rsid w:val="009D62C8"/>
    <w:rsid w:val="00A74CD8"/>
    <w:rsid w:val="00B0442C"/>
    <w:rsid w:val="00B05FC3"/>
    <w:rsid w:val="00B84D37"/>
    <w:rsid w:val="00BA6C83"/>
    <w:rsid w:val="00BB2808"/>
    <w:rsid w:val="00BF3040"/>
    <w:rsid w:val="00C26E71"/>
    <w:rsid w:val="00C61E3D"/>
    <w:rsid w:val="00C97CF7"/>
    <w:rsid w:val="00D35CC0"/>
    <w:rsid w:val="00D8427B"/>
    <w:rsid w:val="00DD269A"/>
    <w:rsid w:val="00E71988"/>
    <w:rsid w:val="00F31C9B"/>
    <w:rsid w:val="00F8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47CC2-5B91-4B69-A7CE-589E1A58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Claire Williams</cp:lastModifiedBy>
  <cp:revision>2</cp:revision>
  <dcterms:created xsi:type="dcterms:W3CDTF">2021-09-27T16:21:00Z</dcterms:created>
  <dcterms:modified xsi:type="dcterms:W3CDTF">2021-09-27T16:21:00Z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2021-02-08T00:00:00Z</vt:filetime>
  </property>
</Properties>
</file>